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ind w:firstLine="0" w:firstLineChars="0"/>
        <w:jc w:val="center"/>
        <w:rPr>
          <w:sz w:val="36"/>
          <w:szCs w:val="36"/>
        </w:rPr>
      </w:pPr>
    </w:p>
    <w:p>
      <w:pPr>
        <w:adjustRightInd w:val="0"/>
        <w:snapToGrid w:val="0"/>
        <w:spacing w:line="360" w:lineRule="auto"/>
        <w:ind w:firstLine="0" w:firstLineChars="0"/>
        <w:jc w:val="center"/>
        <w:rPr>
          <w:sz w:val="36"/>
          <w:szCs w:val="36"/>
        </w:rPr>
      </w:pPr>
    </w:p>
    <w:p>
      <w:pPr>
        <w:adjustRightInd w:val="0"/>
        <w:snapToGrid w:val="0"/>
        <w:spacing w:line="360" w:lineRule="auto"/>
        <w:ind w:firstLine="0" w:firstLineChars="0"/>
        <w:jc w:val="center"/>
        <w:rPr>
          <w:sz w:val="36"/>
          <w:szCs w:val="36"/>
        </w:rPr>
      </w:pPr>
    </w:p>
    <w:p>
      <w:pPr>
        <w:adjustRightInd w:val="0"/>
        <w:snapToGrid w:val="0"/>
        <w:spacing w:line="360" w:lineRule="auto"/>
        <w:ind w:firstLine="0" w:firstLineChars="0"/>
        <w:jc w:val="center"/>
        <w:rPr>
          <w:bCs/>
          <w:sz w:val="72"/>
          <w:szCs w:val="72"/>
        </w:rPr>
      </w:pPr>
      <w:r>
        <w:rPr>
          <w:bCs/>
          <w:sz w:val="72"/>
          <w:szCs w:val="72"/>
        </w:rPr>
        <w:t>建设项目环境影响报告表</w:t>
      </w:r>
    </w:p>
    <w:p>
      <w:pPr>
        <w:adjustRightInd w:val="0"/>
        <w:snapToGrid w:val="0"/>
        <w:spacing w:line="360" w:lineRule="auto"/>
        <w:ind w:firstLine="0" w:firstLineChars="0"/>
        <w:jc w:val="center"/>
        <w:rPr>
          <w:bCs/>
          <w:sz w:val="48"/>
          <w:szCs w:val="48"/>
        </w:rPr>
      </w:pPr>
      <w:r>
        <w:rPr>
          <w:bCs/>
          <w:sz w:val="48"/>
          <w:szCs w:val="48"/>
        </w:rPr>
        <w:t>（污染影响类）</w:t>
      </w:r>
    </w:p>
    <w:p>
      <w:pPr>
        <w:adjustRightInd w:val="0"/>
        <w:snapToGrid w:val="0"/>
        <w:spacing w:line="360" w:lineRule="auto"/>
        <w:ind w:firstLine="0" w:firstLineChars="0"/>
        <w:jc w:val="center"/>
        <w:rPr>
          <w:bCs/>
          <w:sz w:val="48"/>
          <w:szCs w:val="48"/>
        </w:rPr>
      </w:pPr>
      <w:r>
        <w:rPr>
          <w:rFonts w:hint="eastAsia"/>
          <w:bCs/>
          <w:sz w:val="48"/>
          <w:szCs w:val="48"/>
        </w:rPr>
        <w:t>（公示本）</w:t>
      </w:r>
    </w:p>
    <w:p>
      <w:pPr>
        <w:adjustRightInd w:val="0"/>
        <w:snapToGrid w:val="0"/>
        <w:spacing w:line="360" w:lineRule="auto"/>
        <w:ind w:firstLine="0" w:firstLineChars="0"/>
        <w:jc w:val="center"/>
        <w:rPr>
          <w:kern w:val="44"/>
          <w:sz w:val="44"/>
          <w:szCs w:val="44"/>
        </w:rPr>
      </w:pPr>
    </w:p>
    <w:p>
      <w:pPr>
        <w:ind w:firstLine="0" w:firstLineChars="0"/>
        <w:jc w:val="center"/>
        <w:rPr>
          <w:sz w:val="52"/>
          <w:szCs w:val="52"/>
        </w:rPr>
      </w:pPr>
    </w:p>
    <w:p>
      <w:pPr>
        <w:ind w:firstLine="0" w:firstLineChars="0"/>
        <w:jc w:val="center"/>
        <w:rPr>
          <w:sz w:val="44"/>
          <w:szCs w:val="44"/>
        </w:rPr>
      </w:pPr>
    </w:p>
    <w:p>
      <w:pPr>
        <w:ind w:firstLine="0" w:firstLineChars="0"/>
        <w:jc w:val="center"/>
        <w:rPr>
          <w:sz w:val="44"/>
          <w:szCs w:val="44"/>
        </w:rPr>
      </w:pPr>
    </w:p>
    <w:p>
      <w:pPr>
        <w:ind w:firstLine="0" w:firstLineChars="0"/>
        <w:jc w:val="center"/>
        <w:rPr>
          <w:sz w:val="44"/>
          <w:szCs w:val="44"/>
        </w:rPr>
      </w:pPr>
    </w:p>
    <w:p>
      <w:pPr>
        <w:ind w:firstLine="0" w:firstLineChars="0"/>
        <w:jc w:val="center"/>
        <w:rPr>
          <w:sz w:val="44"/>
          <w:szCs w:val="44"/>
        </w:rPr>
      </w:pPr>
    </w:p>
    <w:p>
      <w:pPr>
        <w:adjustRightInd w:val="0"/>
        <w:snapToGrid w:val="0"/>
        <w:spacing w:line="360" w:lineRule="auto"/>
        <w:ind w:left="2266" w:leftChars="267" w:hanging="1625" w:hangingChars="508"/>
        <w:rPr>
          <w:sz w:val="32"/>
          <w:szCs w:val="36"/>
          <w:u w:val="single"/>
        </w:rPr>
      </w:pPr>
      <w:r>
        <w:rPr>
          <w:sz w:val="32"/>
          <w:szCs w:val="36"/>
        </w:rPr>
        <w:t>项目名称：</w:t>
      </w:r>
      <w:r>
        <w:rPr>
          <w:sz w:val="32"/>
          <w:szCs w:val="36"/>
          <w:u w:val="single"/>
        </w:rPr>
        <w:t xml:space="preserve">        </w:t>
      </w:r>
      <w:r>
        <w:rPr>
          <w:rFonts w:hint="eastAsia"/>
          <w:sz w:val="32"/>
          <w:szCs w:val="36"/>
          <w:u w:val="single"/>
        </w:rPr>
        <w:t xml:space="preserve">水质分析实验室建设项目 </w:t>
      </w:r>
      <w:r>
        <w:rPr>
          <w:sz w:val="32"/>
          <w:szCs w:val="36"/>
          <w:u w:val="single"/>
        </w:rPr>
        <w:t xml:space="preserve"> </w:t>
      </w:r>
      <w:r>
        <w:rPr>
          <w:rFonts w:hint="eastAsia"/>
          <w:sz w:val="32"/>
          <w:szCs w:val="36"/>
          <w:u w:val="single"/>
        </w:rPr>
        <w:t xml:space="preserve"> </w:t>
      </w:r>
      <w:r>
        <w:rPr>
          <w:sz w:val="32"/>
          <w:szCs w:val="36"/>
          <w:u w:val="single"/>
        </w:rPr>
        <w:t xml:space="preserve"> </w:t>
      </w:r>
      <w:r>
        <w:rPr>
          <w:rFonts w:hint="eastAsia"/>
          <w:sz w:val="32"/>
          <w:szCs w:val="36"/>
          <w:u w:val="single"/>
        </w:rPr>
        <w:t xml:space="preserve"> </w:t>
      </w:r>
      <w:r>
        <w:rPr>
          <w:sz w:val="32"/>
          <w:szCs w:val="36"/>
          <w:u w:val="single"/>
        </w:rPr>
        <w:t xml:space="preserve">   </w:t>
      </w:r>
    </w:p>
    <w:p>
      <w:pPr>
        <w:adjustRightInd w:val="0"/>
        <w:snapToGrid w:val="0"/>
        <w:spacing w:line="360" w:lineRule="auto"/>
        <w:ind w:firstLine="640"/>
        <w:rPr>
          <w:sz w:val="32"/>
          <w:szCs w:val="36"/>
          <w:u w:val="single"/>
        </w:rPr>
      </w:pPr>
      <w:r>
        <w:rPr>
          <w:sz w:val="32"/>
          <w:szCs w:val="36"/>
        </w:rPr>
        <w:t>建设单位（盖章）：</w:t>
      </w:r>
      <w:r>
        <w:rPr>
          <w:sz w:val="32"/>
          <w:szCs w:val="36"/>
          <w:u w:val="single"/>
        </w:rPr>
        <w:t xml:space="preserve"> </w:t>
      </w:r>
      <w:r>
        <w:rPr>
          <w:rFonts w:hint="eastAsia"/>
          <w:sz w:val="32"/>
          <w:szCs w:val="36"/>
          <w:u w:val="single"/>
        </w:rPr>
        <w:t xml:space="preserve">四川省巴中水文水资源勘测中心  </w:t>
      </w:r>
    </w:p>
    <w:p>
      <w:pPr>
        <w:adjustRightInd w:val="0"/>
        <w:snapToGrid w:val="0"/>
        <w:spacing w:line="360" w:lineRule="auto"/>
        <w:ind w:firstLine="640"/>
        <w:rPr>
          <w:sz w:val="36"/>
          <w:szCs w:val="36"/>
          <w:u w:val="single"/>
        </w:rPr>
      </w:pPr>
      <w:r>
        <w:rPr>
          <w:sz w:val="32"/>
          <w:szCs w:val="36"/>
        </w:rPr>
        <w:t>编制日期：</w:t>
      </w:r>
      <w:r>
        <w:rPr>
          <w:sz w:val="32"/>
          <w:szCs w:val="36"/>
          <w:u w:val="single"/>
        </w:rPr>
        <w:t xml:space="preserve">             二〇二</w:t>
      </w:r>
      <w:r>
        <w:rPr>
          <w:rFonts w:hint="eastAsia"/>
          <w:sz w:val="32"/>
          <w:szCs w:val="36"/>
          <w:u w:val="single"/>
        </w:rPr>
        <w:t>三</w:t>
      </w:r>
      <w:r>
        <w:rPr>
          <w:sz w:val="32"/>
          <w:szCs w:val="36"/>
          <w:u w:val="single"/>
        </w:rPr>
        <w:t>年</w:t>
      </w:r>
      <w:r>
        <w:rPr>
          <w:rFonts w:hint="eastAsia"/>
          <w:sz w:val="32"/>
          <w:szCs w:val="36"/>
          <w:u w:val="single"/>
        </w:rPr>
        <w:t>八</w:t>
      </w:r>
      <w:r>
        <w:rPr>
          <w:sz w:val="32"/>
          <w:szCs w:val="36"/>
          <w:u w:val="single"/>
        </w:rPr>
        <w:t xml:space="preserve">月           </w:t>
      </w:r>
    </w:p>
    <w:p>
      <w:pPr>
        <w:adjustRightInd w:val="0"/>
        <w:snapToGrid w:val="0"/>
        <w:spacing w:line="288" w:lineRule="auto"/>
        <w:ind w:firstLine="0" w:firstLineChars="0"/>
        <w:jc w:val="center"/>
        <w:rPr>
          <w:sz w:val="36"/>
          <w:szCs w:val="36"/>
          <w:u w:val="single"/>
        </w:rPr>
      </w:pPr>
      <w:bookmarkStart w:id="0" w:name="_Hlk57884087"/>
    </w:p>
    <w:p>
      <w:pPr>
        <w:adjustRightInd w:val="0"/>
        <w:snapToGrid w:val="0"/>
        <w:spacing w:line="288" w:lineRule="auto"/>
        <w:ind w:firstLine="0" w:firstLineChars="0"/>
        <w:jc w:val="center"/>
        <w:rPr>
          <w:sz w:val="36"/>
          <w:szCs w:val="36"/>
          <w:u w:val="single"/>
        </w:rPr>
      </w:pPr>
    </w:p>
    <w:p>
      <w:pPr>
        <w:adjustRightInd w:val="0"/>
        <w:snapToGrid w:val="0"/>
        <w:spacing w:line="288" w:lineRule="auto"/>
        <w:ind w:firstLine="0" w:firstLineChars="0"/>
        <w:jc w:val="center"/>
        <w:rPr>
          <w:sz w:val="36"/>
          <w:szCs w:val="36"/>
          <w:u w:val="single"/>
        </w:rPr>
      </w:pPr>
    </w:p>
    <w:p>
      <w:pPr>
        <w:adjustRightInd w:val="0"/>
        <w:snapToGrid w:val="0"/>
        <w:spacing w:line="288" w:lineRule="auto"/>
        <w:ind w:firstLine="0" w:firstLineChars="0"/>
        <w:jc w:val="center"/>
        <w:rPr>
          <w:sz w:val="36"/>
          <w:szCs w:val="36"/>
          <w:u w:val="single"/>
        </w:rPr>
      </w:pPr>
    </w:p>
    <w:p>
      <w:pPr>
        <w:adjustRightInd w:val="0"/>
        <w:snapToGrid w:val="0"/>
        <w:spacing w:line="288" w:lineRule="auto"/>
        <w:ind w:firstLine="0" w:firstLineChars="0"/>
        <w:jc w:val="center"/>
        <w:rPr>
          <w:sz w:val="36"/>
          <w:szCs w:val="36"/>
        </w:rPr>
      </w:pPr>
    </w:p>
    <w:p>
      <w:pPr>
        <w:adjustRightInd w:val="0"/>
        <w:snapToGrid w:val="0"/>
        <w:spacing w:line="288" w:lineRule="auto"/>
        <w:ind w:firstLine="0" w:firstLineChars="0"/>
        <w:jc w:val="center"/>
        <w:rPr>
          <w:sz w:val="36"/>
          <w:szCs w:val="36"/>
        </w:rPr>
      </w:pPr>
    </w:p>
    <w:bookmarkEnd w:id="0"/>
    <w:p>
      <w:pPr>
        <w:adjustRightInd w:val="0"/>
        <w:snapToGrid w:val="0"/>
        <w:spacing w:line="288" w:lineRule="auto"/>
        <w:ind w:firstLine="0" w:firstLineChars="0"/>
        <w:jc w:val="center"/>
        <w:rPr>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851" w:footer="958" w:gutter="0"/>
          <w:pgNumType w:start="1"/>
          <w:cols w:space="720" w:num="1"/>
          <w:docGrid w:linePitch="312" w:charSpace="0"/>
        </w:sectPr>
      </w:pPr>
      <w:r>
        <w:rPr>
          <w:sz w:val="36"/>
          <w:szCs w:val="36"/>
        </w:rPr>
        <w:t>中华人民共和国生态环境部制</w:t>
      </w:r>
    </w:p>
    <w:p>
      <w:pPr>
        <w:adjustRightInd w:val="0"/>
        <w:snapToGrid w:val="0"/>
        <w:spacing w:line="288" w:lineRule="auto"/>
        <w:ind w:firstLine="0" w:firstLineChars="0"/>
        <w:jc w:val="center"/>
        <w:rPr>
          <w:b/>
          <w:bCs/>
          <w:sz w:val="36"/>
          <w:szCs w:val="36"/>
        </w:rPr>
      </w:pPr>
      <w:r>
        <w:rPr>
          <w:rFonts w:hint="eastAsia"/>
          <w:b/>
          <w:bCs/>
          <w:sz w:val="36"/>
          <w:szCs w:val="36"/>
        </w:rPr>
        <w:t>目录</w:t>
      </w:r>
    </w:p>
    <w:p>
      <w:pPr>
        <w:pStyle w:val="22"/>
        <w:tabs>
          <w:tab w:val="right" w:leader="dot" w:pos="8302"/>
        </w:tabs>
        <w:adjustRightInd w:val="0"/>
        <w:snapToGrid w:val="0"/>
        <w:spacing w:line="360" w:lineRule="auto"/>
        <w:ind w:firstLine="0" w:firstLineChars="0"/>
        <w:rPr>
          <w:rFonts w:asciiTheme="minorHAnsi" w:hAnsiTheme="minorHAnsi" w:eastAsiaTheme="minorEastAsia" w:cstheme="minorBidi"/>
          <w:sz w:val="21"/>
          <w:szCs w:val="22"/>
        </w:rPr>
      </w:pPr>
      <w:r>
        <w:rPr>
          <w:sz w:val="36"/>
          <w:szCs w:val="36"/>
        </w:rPr>
        <w:fldChar w:fldCharType="begin"/>
      </w:r>
      <w:r>
        <w:rPr>
          <w:sz w:val="36"/>
          <w:szCs w:val="36"/>
        </w:rPr>
        <w:instrText xml:space="preserve"> </w:instrText>
      </w:r>
      <w:r>
        <w:rPr>
          <w:rFonts w:hint="eastAsia"/>
          <w:sz w:val="36"/>
          <w:szCs w:val="36"/>
        </w:rPr>
        <w:instrText xml:space="preserve">TOC \o "1-1" \h \z \u</w:instrText>
      </w:r>
      <w:r>
        <w:rPr>
          <w:sz w:val="36"/>
          <w:szCs w:val="36"/>
        </w:rPr>
        <w:instrText xml:space="preserve"> </w:instrText>
      </w:r>
      <w:r>
        <w:rPr>
          <w:sz w:val="36"/>
          <w:szCs w:val="36"/>
        </w:rPr>
        <w:fldChar w:fldCharType="separate"/>
      </w:r>
      <w:r>
        <w:fldChar w:fldCharType="begin"/>
      </w:r>
      <w:r>
        <w:instrText xml:space="preserve"> HYPERLINK \l "_Toc108119956" </w:instrText>
      </w:r>
      <w:r>
        <w:fldChar w:fldCharType="separate"/>
      </w:r>
      <w:r>
        <w:rPr>
          <w:rStyle w:val="42"/>
          <w:rFonts w:cs="宋体"/>
          <w:bCs/>
          <w:snapToGrid w:val="0"/>
          <w:color w:val="auto"/>
        </w:rPr>
        <w:t>一、建设项目基本情况</w:t>
      </w:r>
      <w:r>
        <w:tab/>
      </w:r>
      <w:r>
        <w:fldChar w:fldCharType="begin"/>
      </w:r>
      <w:r>
        <w:instrText xml:space="preserve"> PAGEREF _Toc108119956 \h </w:instrText>
      </w:r>
      <w:r>
        <w:fldChar w:fldCharType="separate"/>
      </w:r>
      <w:r>
        <w:t>- 1 -</w:t>
      </w:r>
      <w:r>
        <w:fldChar w:fldCharType="end"/>
      </w:r>
      <w:r>
        <w:fldChar w:fldCharType="end"/>
      </w:r>
    </w:p>
    <w:p>
      <w:pPr>
        <w:pStyle w:val="22"/>
        <w:tabs>
          <w:tab w:val="right" w:leader="dot" w:pos="8302"/>
        </w:tabs>
        <w:adjustRightInd w:val="0"/>
        <w:snapToGrid w:val="0"/>
        <w:spacing w:line="360" w:lineRule="auto"/>
        <w:ind w:firstLine="0" w:firstLineChars="0"/>
        <w:rPr>
          <w:rFonts w:asciiTheme="minorHAnsi" w:hAnsiTheme="minorHAnsi" w:eastAsiaTheme="minorEastAsia" w:cstheme="minorBidi"/>
          <w:sz w:val="21"/>
          <w:szCs w:val="22"/>
        </w:rPr>
      </w:pPr>
      <w:r>
        <w:fldChar w:fldCharType="begin"/>
      </w:r>
      <w:r>
        <w:instrText xml:space="preserve"> HYPERLINK \l "_Toc108119957" </w:instrText>
      </w:r>
      <w:r>
        <w:fldChar w:fldCharType="separate"/>
      </w:r>
      <w:r>
        <w:rPr>
          <w:rStyle w:val="42"/>
          <w:rFonts w:cs="宋体"/>
          <w:bCs/>
          <w:snapToGrid w:val="0"/>
          <w:color w:val="auto"/>
        </w:rPr>
        <w:t>二、建设项目工程分析</w:t>
      </w:r>
      <w:r>
        <w:tab/>
      </w:r>
      <w:r>
        <w:fldChar w:fldCharType="begin"/>
      </w:r>
      <w:r>
        <w:instrText xml:space="preserve"> PAGEREF _Toc108119957 \h </w:instrText>
      </w:r>
      <w:r>
        <w:fldChar w:fldCharType="separate"/>
      </w:r>
      <w:r>
        <w:t>- 23 -</w:t>
      </w:r>
      <w:r>
        <w:fldChar w:fldCharType="end"/>
      </w:r>
      <w:r>
        <w:fldChar w:fldCharType="end"/>
      </w:r>
    </w:p>
    <w:p>
      <w:pPr>
        <w:pStyle w:val="22"/>
        <w:tabs>
          <w:tab w:val="right" w:leader="dot" w:pos="8302"/>
        </w:tabs>
        <w:adjustRightInd w:val="0"/>
        <w:snapToGrid w:val="0"/>
        <w:spacing w:line="360" w:lineRule="auto"/>
        <w:ind w:firstLine="0" w:firstLineChars="0"/>
        <w:rPr>
          <w:rFonts w:asciiTheme="minorHAnsi" w:hAnsiTheme="minorHAnsi" w:eastAsiaTheme="minorEastAsia" w:cstheme="minorBidi"/>
          <w:sz w:val="21"/>
          <w:szCs w:val="22"/>
        </w:rPr>
      </w:pPr>
      <w:r>
        <w:fldChar w:fldCharType="begin"/>
      </w:r>
      <w:r>
        <w:instrText xml:space="preserve"> HYPERLINK \l "_Toc108119958" </w:instrText>
      </w:r>
      <w:r>
        <w:fldChar w:fldCharType="separate"/>
      </w:r>
      <w:r>
        <w:rPr>
          <w:rStyle w:val="42"/>
          <w:rFonts w:cs="宋体"/>
          <w:bCs/>
          <w:snapToGrid w:val="0"/>
          <w:color w:val="auto"/>
        </w:rPr>
        <w:t>三、区域环境质量现状、环境保护目标及评价标准</w:t>
      </w:r>
      <w:r>
        <w:tab/>
      </w:r>
      <w:r>
        <w:fldChar w:fldCharType="begin"/>
      </w:r>
      <w:r>
        <w:instrText xml:space="preserve"> PAGEREF _Toc108119958 \h </w:instrText>
      </w:r>
      <w:r>
        <w:fldChar w:fldCharType="separate"/>
      </w:r>
      <w:r>
        <w:t>- 41 -</w:t>
      </w:r>
      <w:r>
        <w:fldChar w:fldCharType="end"/>
      </w:r>
      <w:r>
        <w:fldChar w:fldCharType="end"/>
      </w:r>
    </w:p>
    <w:p>
      <w:pPr>
        <w:pStyle w:val="22"/>
        <w:tabs>
          <w:tab w:val="right" w:leader="dot" w:pos="8302"/>
        </w:tabs>
        <w:adjustRightInd w:val="0"/>
        <w:snapToGrid w:val="0"/>
        <w:spacing w:line="360" w:lineRule="auto"/>
        <w:ind w:firstLine="0" w:firstLineChars="0"/>
        <w:rPr>
          <w:rFonts w:asciiTheme="minorHAnsi" w:hAnsiTheme="minorHAnsi" w:eastAsiaTheme="minorEastAsia" w:cstheme="minorBidi"/>
          <w:sz w:val="21"/>
          <w:szCs w:val="22"/>
        </w:rPr>
      </w:pPr>
      <w:r>
        <w:fldChar w:fldCharType="begin"/>
      </w:r>
      <w:r>
        <w:instrText xml:space="preserve"> HYPERLINK \l "_Toc108119959" </w:instrText>
      </w:r>
      <w:r>
        <w:fldChar w:fldCharType="separate"/>
      </w:r>
      <w:r>
        <w:rPr>
          <w:rStyle w:val="42"/>
          <w:rFonts w:cs="宋体"/>
          <w:bCs/>
          <w:snapToGrid w:val="0"/>
          <w:color w:val="auto"/>
        </w:rPr>
        <w:t>四、主要环境影响和保护措施</w:t>
      </w:r>
      <w:r>
        <w:tab/>
      </w:r>
      <w:r>
        <w:fldChar w:fldCharType="begin"/>
      </w:r>
      <w:r>
        <w:instrText xml:space="preserve"> PAGEREF _Toc108119959 \h </w:instrText>
      </w:r>
      <w:r>
        <w:fldChar w:fldCharType="separate"/>
      </w:r>
      <w:r>
        <w:t>- 41 -</w:t>
      </w:r>
      <w:r>
        <w:fldChar w:fldCharType="end"/>
      </w:r>
      <w:r>
        <w:fldChar w:fldCharType="end"/>
      </w:r>
    </w:p>
    <w:p>
      <w:pPr>
        <w:pStyle w:val="22"/>
        <w:tabs>
          <w:tab w:val="right" w:leader="dot" w:pos="8302"/>
        </w:tabs>
        <w:adjustRightInd w:val="0"/>
        <w:snapToGrid w:val="0"/>
        <w:spacing w:line="360" w:lineRule="auto"/>
        <w:ind w:firstLine="0" w:firstLineChars="0"/>
        <w:rPr>
          <w:rFonts w:asciiTheme="minorHAnsi" w:hAnsiTheme="minorHAnsi" w:eastAsiaTheme="minorEastAsia" w:cstheme="minorBidi"/>
          <w:sz w:val="21"/>
          <w:szCs w:val="22"/>
        </w:rPr>
      </w:pPr>
      <w:r>
        <w:fldChar w:fldCharType="begin"/>
      </w:r>
      <w:r>
        <w:instrText xml:space="preserve"> HYPERLINK \l "_Toc108119960" </w:instrText>
      </w:r>
      <w:r>
        <w:fldChar w:fldCharType="separate"/>
      </w:r>
      <w:r>
        <w:rPr>
          <w:rStyle w:val="42"/>
          <w:rFonts w:cs="宋体"/>
          <w:bCs/>
          <w:snapToGrid w:val="0"/>
          <w:color w:val="auto"/>
        </w:rPr>
        <w:t>五、环境保护措施监督检查清单</w:t>
      </w:r>
      <w:r>
        <w:tab/>
      </w:r>
      <w:r>
        <w:fldChar w:fldCharType="begin"/>
      </w:r>
      <w:r>
        <w:instrText xml:space="preserve"> PAGEREF _Toc108119960 \h </w:instrText>
      </w:r>
      <w:r>
        <w:fldChar w:fldCharType="separate"/>
      </w:r>
      <w:r>
        <w:t>- 76 -</w:t>
      </w:r>
      <w:r>
        <w:fldChar w:fldCharType="end"/>
      </w:r>
      <w:r>
        <w:fldChar w:fldCharType="end"/>
      </w:r>
    </w:p>
    <w:p>
      <w:pPr>
        <w:pStyle w:val="22"/>
        <w:tabs>
          <w:tab w:val="right" w:leader="dot" w:pos="8302"/>
        </w:tabs>
        <w:adjustRightInd w:val="0"/>
        <w:snapToGrid w:val="0"/>
        <w:spacing w:line="360" w:lineRule="auto"/>
        <w:ind w:firstLine="0" w:firstLineChars="0"/>
        <w:rPr>
          <w:rFonts w:asciiTheme="minorHAnsi" w:hAnsiTheme="minorHAnsi" w:eastAsiaTheme="minorEastAsia" w:cstheme="minorBidi"/>
          <w:sz w:val="21"/>
          <w:szCs w:val="22"/>
        </w:rPr>
      </w:pPr>
      <w:r>
        <w:fldChar w:fldCharType="begin"/>
      </w:r>
      <w:r>
        <w:instrText xml:space="preserve"> HYPERLINK \l "_Toc108119961" </w:instrText>
      </w:r>
      <w:r>
        <w:fldChar w:fldCharType="separate"/>
      </w:r>
      <w:r>
        <w:rPr>
          <w:rStyle w:val="42"/>
          <w:rFonts w:cs="宋体"/>
          <w:bCs/>
          <w:snapToGrid w:val="0"/>
          <w:color w:val="auto"/>
        </w:rPr>
        <w:t>六、结论</w:t>
      </w:r>
      <w:r>
        <w:tab/>
      </w:r>
      <w:r>
        <w:fldChar w:fldCharType="begin"/>
      </w:r>
      <w:r>
        <w:instrText xml:space="preserve"> PAGEREF _Toc108119961 \h </w:instrText>
      </w:r>
      <w:r>
        <w:fldChar w:fldCharType="separate"/>
      </w:r>
      <w:r>
        <w:t>- 77 -</w:t>
      </w:r>
      <w:r>
        <w:fldChar w:fldCharType="end"/>
      </w:r>
      <w:r>
        <w:fldChar w:fldCharType="end"/>
      </w:r>
    </w:p>
    <w:p>
      <w:pPr>
        <w:pStyle w:val="22"/>
        <w:tabs>
          <w:tab w:val="right" w:leader="dot" w:pos="8302"/>
        </w:tabs>
        <w:adjustRightInd w:val="0"/>
        <w:snapToGrid w:val="0"/>
        <w:spacing w:line="360" w:lineRule="auto"/>
        <w:ind w:firstLine="0" w:firstLineChars="0"/>
        <w:rPr>
          <w:rFonts w:asciiTheme="minorHAnsi" w:hAnsiTheme="minorHAnsi" w:eastAsiaTheme="minorEastAsia" w:cstheme="minorBidi"/>
          <w:sz w:val="21"/>
          <w:szCs w:val="22"/>
        </w:rPr>
      </w:pPr>
      <w:r>
        <w:fldChar w:fldCharType="begin"/>
      </w:r>
      <w:r>
        <w:instrText xml:space="preserve"> HYPERLINK \l "_Toc108119962" </w:instrText>
      </w:r>
      <w:r>
        <w:fldChar w:fldCharType="separate"/>
      </w:r>
      <w:r>
        <w:rPr>
          <w:rStyle w:val="42"/>
          <w:rFonts w:cs="宋体"/>
          <w:bCs/>
          <w:snapToGrid w:val="0"/>
          <w:color w:val="auto"/>
        </w:rPr>
        <w:t>附表  建设项目污染物排放量汇总表</w:t>
      </w:r>
      <w:r>
        <w:tab/>
      </w:r>
      <w:r>
        <w:fldChar w:fldCharType="begin"/>
      </w:r>
      <w:r>
        <w:instrText xml:space="preserve"> PAGEREF _Toc108119962 \h </w:instrText>
      </w:r>
      <w:r>
        <w:fldChar w:fldCharType="separate"/>
      </w:r>
      <w:r>
        <w:t>- 78 -</w:t>
      </w:r>
      <w:r>
        <w:fldChar w:fldCharType="end"/>
      </w:r>
      <w:r>
        <w:fldChar w:fldCharType="end"/>
      </w:r>
    </w:p>
    <w:p>
      <w:pPr>
        <w:adjustRightInd w:val="0"/>
        <w:snapToGrid w:val="0"/>
        <w:spacing w:line="440" w:lineRule="exact"/>
        <w:ind w:firstLine="0" w:firstLineChars="0"/>
        <w:jc w:val="left"/>
        <w:rPr>
          <w:szCs w:val="24"/>
        </w:rPr>
      </w:pPr>
      <w:r>
        <w:rPr>
          <w:sz w:val="36"/>
          <w:szCs w:val="36"/>
        </w:rPr>
        <w:fldChar w:fldCharType="end"/>
      </w:r>
      <w:r>
        <w:rPr>
          <w:szCs w:val="24"/>
        </w:rPr>
        <w:t xml:space="preserve"> </w:t>
      </w:r>
    </w:p>
    <w:p>
      <w:pPr>
        <w:adjustRightInd w:val="0"/>
        <w:snapToGrid w:val="0"/>
        <w:spacing w:line="288" w:lineRule="auto"/>
        <w:ind w:firstLine="0" w:firstLineChars="0"/>
        <w:jc w:val="center"/>
        <w:rPr>
          <w:sz w:val="36"/>
          <w:szCs w:val="36"/>
        </w:rPr>
        <w:sectPr>
          <w:pgSz w:w="11906" w:h="16838"/>
          <w:pgMar w:top="1440" w:right="1797" w:bottom="1440" w:left="1797" w:header="851" w:footer="958" w:gutter="0"/>
          <w:pgNumType w:start="1"/>
          <w:cols w:space="720" w:num="1"/>
          <w:docGrid w:linePitch="312" w:charSpace="0"/>
        </w:sectPr>
      </w:pPr>
    </w:p>
    <w:p>
      <w:pPr>
        <w:pStyle w:val="29"/>
        <w:spacing w:before="0" w:beforeAutospacing="0" w:after="0" w:afterAutospacing="0" w:line="240" w:lineRule="auto"/>
        <w:ind w:firstLine="0" w:firstLineChars="0"/>
        <w:jc w:val="both"/>
        <w:outlineLvl w:val="0"/>
        <w:rPr>
          <w:rFonts w:cs="宋体"/>
          <w:b/>
          <w:bCs/>
          <w:snapToGrid w:val="0"/>
          <w:sz w:val="30"/>
          <w:szCs w:val="30"/>
        </w:rPr>
      </w:pPr>
      <w:bookmarkStart w:id="1" w:name="_Toc108119956"/>
      <w:r>
        <w:rPr>
          <w:rFonts w:cs="宋体"/>
          <w:b/>
          <w:bCs/>
          <w:snapToGrid w:val="0"/>
          <w:sz w:val="30"/>
          <w:szCs w:val="30"/>
        </w:rPr>
        <w:t>一、建设项目基本情况</w:t>
      </w:r>
      <w:bookmarkEnd w:id="1"/>
    </w:p>
    <w:tbl>
      <w:tblPr>
        <w:tblStyle w:val="34"/>
        <w:tblW w:w="833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
        <w:gridCol w:w="431"/>
        <w:gridCol w:w="1659"/>
        <w:gridCol w:w="1722"/>
        <w:gridCol w:w="1821"/>
        <w:gridCol w:w="26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96" w:type="dxa"/>
            <w:gridSpan w:val="3"/>
            <w:tcMar>
              <w:top w:w="16" w:type="dxa"/>
              <w:left w:w="16" w:type="dxa"/>
              <w:right w:w="16" w:type="dxa"/>
            </w:tcMar>
            <w:vAlign w:val="center"/>
          </w:tcPr>
          <w:p>
            <w:pPr>
              <w:adjustRightInd w:val="0"/>
              <w:snapToGrid w:val="0"/>
              <w:ind w:firstLine="0" w:firstLineChars="0"/>
              <w:jc w:val="center"/>
              <w:rPr>
                <w:szCs w:val="21"/>
              </w:rPr>
            </w:pPr>
            <w:r>
              <w:rPr>
                <w:szCs w:val="21"/>
              </w:rPr>
              <w:t>建设项目名称</w:t>
            </w:r>
          </w:p>
        </w:tc>
        <w:tc>
          <w:tcPr>
            <w:tcW w:w="6237" w:type="dxa"/>
            <w:gridSpan w:val="3"/>
            <w:vAlign w:val="center"/>
          </w:tcPr>
          <w:p>
            <w:pPr>
              <w:adjustRightInd w:val="0"/>
              <w:snapToGrid w:val="0"/>
              <w:ind w:firstLine="0" w:firstLineChars="0"/>
              <w:jc w:val="center"/>
              <w:rPr>
                <w:szCs w:val="21"/>
              </w:rPr>
            </w:pPr>
            <w:bookmarkStart w:id="2" w:name="_Hlk141448225"/>
            <w:r>
              <w:rPr>
                <w:rFonts w:hint="eastAsia"/>
                <w:szCs w:val="21"/>
              </w:rPr>
              <w:t>水质分析实验室建设项目</w:t>
            </w:r>
            <w:bookmarkEnd w:id="2"/>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96" w:type="dxa"/>
            <w:gridSpan w:val="3"/>
            <w:tcMar>
              <w:top w:w="16" w:type="dxa"/>
              <w:left w:w="16" w:type="dxa"/>
              <w:right w:w="16" w:type="dxa"/>
            </w:tcMar>
            <w:vAlign w:val="center"/>
          </w:tcPr>
          <w:p>
            <w:pPr>
              <w:adjustRightInd w:val="0"/>
              <w:snapToGrid w:val="0"/>
              <w:ind w:firstLine="0" w:firstLineChars="0"/>
              <w:jc w:val="center"/>
              <w:rPr>
                <w:szCs w:val="21"/>
              </w:rPr>
            </w:pPr>
            <w:r>
              <w:rPr>
                <w:szCs w:val="21"/>
              </w:rPr>
              <w:t>项目代码</w:t>
            </w:r>
          </w:p>
        </w:tc>
        <w:tc>
          <w:tcPr>
            <w:tcW w:w="6237" w:type="dxa"/>
            <w:gridSpan w:val="3"/>
            <w:vAlign w:val="center"/>
          </w:tcPr>
          <w:p>
            <w:pPr>
              <w:adjustRightInd w:val="0"/>
              <w:snapToGrid w:val="0"/>
              <w:ind w:firstLine="0" w:firstLineChars="0"/>
              <w:jc w:val="center"/>
              <w:rPr>
                <w:szCs w:val="21"/>
              </w:rPr>
            </w:pPr>
            <w:r>
              <w:rPr>
                <w:rFonts w:hint="eastAsia"/>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96" w:type="dxa"/>
            <w:gridSpan w:val="3"/>
            <w:tcMar>
              <w:top w:w="16" w:type="dxa"/>
              <w:left w:w="16" w:type="dxa"/>
              <w:right w:w="16" w:type="dxa"/>
            </w:tcMar>
            <w:vAlign w:val="center"/>
          </w:tcPr>
          <w:p>
            <w:pPr>
              <w:adjustRightInd w:val="0"/>
              <w:snapToGrid w:val="0"/>
              <w:ind w:firstLine="0" w:firstLineChars="0"/>
              <w:jc w:val="center"/>
              <w:rPr>
                <w:szCs w:val="21"/>
              </w:rPr>
            </w:pPr>
            <w:r>
              <w:rPr>
                <w:szCs w:val="21"/>
              </w:rPr>
              <w:t>建设单位联系人</w:t>
            </w:r>
          </w:p>
        </w:tc>
        <w:tc>
          <w:tcPr>
            <w:tcW w:w="1722" w:type="dxa"/>
            <w:vAlign w:val="center"/>
          </w:tcPr>
          <w:p>
            <w:pPr>
              <w:adjustRightInd w:val="0"/>
              <w:snapToGrid w:val="0"/>
              <w:ind w:firstLine="0" w:firstLineChars="0"/>
              <w:jc w:val="center"/>
              <w:rPr>
                <w:szCs w:val="21"/>
              </w:rPr>
            </w:pPr>
            <w:r>
              <w:rPr>
                <w:rFonts w:hint="eastAsia"/>
                <w:szCs w:val="21"/>
              </w:rPr>
              <w:t>*</w:t>
            </w:r>
            <w:r>
              <w:rPr>
                <w:szCs w:val="21"/>
              </w:rPr>
              <w:t>*</w:t>
            </w:r>
          </w:p>
        </w:tc>
        <w:tc>
          <w:tcPr>
            <w:tcW w:w="1821" w:type="dxa"/>
            <w:vAlign w:val="center"/>
          </w:tcPr>
          <w:p>
            <w:pPr>
              <w:adjustRightInd w:val="0"/>
              <w:snapToGrid w:val="0"/>
              <w:ind w:firstLine="0" w:firstLineChars="0"/>
              <w:jc w:val="center"/>
              <w:rPr>
                <w:szCs w:val="21"/>
              </w:rPr>
            </w:pPr>
            <w:r>
              <w:rPr>
                <w:szCs w:val="21"/>
              </w:rPr>
              <w:t>联系方式</w:t>
            </w:r>
          </w:p>
        </w:tc>
        <w:tc>
          <w:tcPr>
            <w:tcW w:w="2694" w:type="dxa"/>
            <w:vAlign w:val="center"/>
          </w:tcPr>
          <w:p>
            <w:pPr>
              <w:adjustRightInd w:val="0"/>
              <w:snapToGrid w:val="0"/>
              <w:ind w:firstLine="0" w:firstLineChars="0"/>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96" w:type="dxa"/>
            <w:gridSpan w:val="3"/>
            <w:tcMar>
              <w:top w:w="16" w:type="dxa"/>
              <w:left w:w="16" w:type="dxa"/>
              <w:right w:w="16" w:type="dxa"/>
            </w:tcMar>
            <w:vAlign w:val="center"/>
          </w:tcPr>
          <w:p>
            <w:pPr>
              <w:adjustRightInd w:val="0"/>
              <w:snapToGrid w:val="0"/>
              <w:ind w:firstLine="0" w:firstLineChars="0"/>
              <w:jc w:val="center"/>
              <w:rPr>
                <w:szCs w:val="21"/>
              </w:rPr>
            </w:pPr>
            <w:r>
              <w:rPr>
                <w:szCs w:val="21"/>
              </w:rPr>
              <w:t>建设地点</w:t>
            </w:r>
          </w:p>
        </w:tc>
        <w:tc>
          <w:tcPr>
            <w:tcW w:w="6237" w:type="dxa"/>
            <w:gridSpan w:val="3"/>
            <w:vAlign w:val="center"/>
          </w:tcPr>
          <w:p>
            <w:pPr>
              <w:adjustRightInd w:val="0"/>
              <w:snapToGrid w:val="0"/>
              <w:ind w:firstLine="0" w:firstLineChars="0"/>
              <w:jc w:val="center"/>
              <w:rPr>
                <w:szCs w:val="21"/>
              </w:rPr>
            </w:pPr>
            <w:r>
              <w:rPr>
                <w:rFonts w:hint="eastAsia"/>
              </w:rPr>
              <w:t>四川巴中经济开发区时新街道宝峰社区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96" w:type="dxa"/>
            <w:gridSpan w:val="3"/>
            <w:tcMar>
              <w:top w:w="16" w:type="dxa"/>
              <w:left w:w="16" w:type="dxa"/>
              <w:right w:w="16" w:type="dxa"/>
            </w:tcMar>
            <w:vAlign w:val="center"/>
          </w:tcPr>
          <w:p>
            <w:pPr>
              <w:adjustRightInd w:val="0"/>
              <w:snapToGrid w:val="0"/>
              <w:ind w:firstLine="0" w:firstLineChars="0"/>
              <w:jc w:val="center"/>
              <w:rPr>
                <w:szCs w:val="21"/>
              </w:rPr>
            </w:pPr>
            <w:r>
              <w:rPr>
                <w:szCs w:val="21"/>
              </w:rPr>
              <w:t>地理坐标</w:t>
            </w:r>
          </w:p>
        </w:tc>
        <w:tc>
          <w:tcPr>
            <w:tcW w:w="6237" w:type="dxa"/>
            <w:gridSpan w:val="3"/>
            <w:vAlign w:val="center"/>
          </w:tcPr>
          <w:p>
            <w:pPr>
              <w:adjustRightInd w:val="0"/>
              <w:snapToGrid w:val="0"/>
              <w:ind w:firstLine="0" w:firstLineChars="0"/>
              <w:jc w:val="center"/>
              <w:rPr>
                <w:szCs w:val="21"/>
              </w:rPr>
            </w:pPr>
            <w:r>
              <w:rPr>
                <w:szCs w:val="21"/>
              </w:rPr>
              <w:t>（</w:t>
            </w:r>
            <w:r>
              <w:rPr>
                <w:szCs w:val="21"/>
                <w:u w:val="single"/>
              </w:rPr>
              <w:t xml:space="preserve"> N31 </w:t>
            </w:r>
            <w:r>
              <w:rPr>
                <w:szCs w:val="21"/>
              </w:rPr>
              <w:t>度</w:t>
            </w:r>
            <w:r>
              <w:rPr>
                <w:szCs w:val="21"/>
                <w:u w:val="single"/>
              </w:rPr>
              <w:t xml:space="preserve"> 51 </w:t>
            </w:r>
            <w:r>
              <w:rPr>
                <w:szCs w:val="21"/>
              </w:rPr>
              <w:t>分</w:t>
            </w:r>
            <w:r>
              <w:rPr>
                <w:szCs w:val="21"/>
                <w:u w:val="single"/>
              </w:rPr>
              <w:t xml:space="preserve"> 56.994</w:t>
            </w:r>
            <w:r>
              <w:rPr>
                <w:szCs w:val="21"/>
              </w:rPr>
              <w:t>秒，</w:t>
            </w:r>
            <w:r>
              <w:rPr>
                <w:szCs w:val="21"/>
                <w:u w:val="single"/>
              </w:rPr>
              <w:t xml:space="preserve"> E106</w:t>
            </w:r>
            <w:r>
              <w:rPr>
                <w:szCs w:val="21"/>
              </w:rPr>
              <w:t>度</w:t>
            </w:r>
            <w:r>
              <w:rPr>
                <w:szCs w:val="21"/>
                <w:u w:val="single"/>
              </w:rPr>
              <w:t xml:space="preserve"> 50 </w:t>
            </w:r>
            <w:r>
              <w:rPr>
                <w:szCs w:val="21"/>
              </w:rPr>
              <w:t>分</w:t>
            </w:r>
            <w:r>
              <w:rPr>
                <w:szCs w:val="21"/>
                <w:u w:val="single"/>
              </w:rPr>
              <w:t xml:space="preserve"> 22.870</w:t>
            </w:r>
            <w:r>
              <w:rPr>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96" w:type="dxa"/>
            <w:gridSpan w:val="3"/>
            <w:tcMar>
              <w:top w:w="16" w:type="dxa"/>
              <w:left w:w="16" w:type="dxa"/>
              <w:right w:w="16" w:type="dxa"/>
            </w:tcMar>
            <w:vAlign w:val="center"/>
          </w:tcPr>
          <w:p>
            <w:pPr>
              <w:adjustRightInd w:val="0"/>
              <w:snapToGrid w:val="0"/>
              <w:ind w:firstLine="0" w:firstLineChars="0"/>
              <w:jc w:val="center"/>
              <w:rPr>
                <w:szCs w:val="21"/>
              </w:rPr>
            </w:pPr>
            <w:r>
              <w:rPr>
                <w:szCs w:val="21"/>
              </w:rPr>
              <w:t>国民经济</w:t>
            </w:r>
          </w:p>
          <w:p>
            <w:pPr>
              <w:adjustRightInd w:val="0"/>
              <w:snapToGrid w:val="0"/>
              <w:ind w:firstLine="0" w:firstLineChars="0"/>
              <w:jc w:val="center"/>
              <w:rPr>
                <w:szCs w:val="21"/>
              </w:rPr>
            </w:pPr>
            <w:r>
              <w:rPr>
                <w:szCs w:val="21"/>
              </w:rPr>
              <w:t>行业类别</w:t>
            </w:r>
          </w:p>
        </w:tc>
        <w:tc>
          <w:tcPr>
            <w:tcW w:w="1722" w:type="dxa"/>
            <w:vAlign w:val="center"/>
          </w:tcPr>
          <w:p>
            <w:pPr>
              <w:adjustRightInd w:val="0"/>
              <w:snapToGrid w:val="0"/>
              <w:ind w:firstLine="0" w:firstLineChars="0"/>
              <w:jc w:val="center"/>
              <w:rPr>
                <w:szCs w:val="21"/>
              </w:rPr>
            </w:pPr>
            <w:r>
              <w:rPr>
                <w:rFonts w:hint="eastAsia"/>
                <w:szCs w:val="21"/>
              </w:rPr>
              <w:t>M</w:t>
            </w:r>
            <w:r>
              <w:rPr>
                <w:szCs w:val="21"/>
              </w:rPr>
              <w:t>7461</w:t>
            </w:r>
            <w:r>
              <w:rPr>
                <w:rFonts w:hint="eastAsia"/>
                <w:szCs w:val="21"/>
              </w:rPr>
              <w:t>环境保护监测</w:t>
            </w:r>
          </w:p>
        </w:tc>
        <w:tc>
          <w:tcPr>
            <w:tcW w:w="1821" w:type="dxa"/>
            <w:vAlign w:val="center"/>
          </w:tcPr>
          <w:p>
            <w:pPr>
              <w:adjustRightInd w:val="0"/>
              <w:snapToGrid w:val="0"/>
              <w:ind w:firstLine="0" w:firstLineChars="0"/>
              <w:jc w:val="center"/>
              <w:rPr>
                <w:szCs w:val="21"/>
              </w:rPr>
            </w:pPr>
            <w:bookmarkStart w:id="3" w:name="_Hlk49843745"/>
            <w:r>
              <w:rPr>
                <w:szCs w:val="21"/>
              </w:rPr>
              <w:t>建设项目</w:t>
            </w:r>
          </w:p>
          <w:p>
            <w:pPr>
              <w:adjustRightInd w:val="0"/>
              <w:snapToGrid w:val="0"/>
              <w:ind w:firstLine="0" w:firstLineChars="0"/>
              <w:jc w:val="center"/>
              <w:rPr>
                <w:szCs w:val="21"/>
              </w:rPr>
            </w:pPr>
            <w:r>
              <w:rPr>
                <w:szCs w:val="21"/>
              </w:rPr>
              <w:t>行业类别</w:t>
            </w:r>
            <w:bookmarkEnd w:id="3"/>
          </w:p>
        </w:tc>
        <w:tc>
          <w:tcPr>
            <w:tcW w:w="2694" w:type="dxa"/>
            <w:vAlign w:val="center"/>
          </w:tcPr>
          <w:p>
            <w:pPr>
              <w:adjustRightInd w:val="0"/>
              <w:snapToGrid w:val="0"/>
              <w:ind w:firstLine="0" w:firstLineChars="0"/>
              <w:rPr>
                <w:szCs w:val="21"/>
              </w:rPr>
            </w:pPr>
            <w:r>
              <w:rPr>
                <w:rFonts w:hint="eastAsia"/>
                <w:szCs w:val="21"/>
              </w:rPr>
              <w:t>四十五、研究和试验发展</w:t>
            </w:r>
          </w:p>
          <w:p>
            <w:pPr>
              <w:adjustRightInd w:val="0"/>
              <w:snapToGrid w:val="0"/>
              <w:ind w:firstLine="0" w:firstLineChars="0"/>
              <w:rPr>
                <w:szCs w:val="21"/>
              </w:rPr>
            </w:pPr>
            <w:r>
              <w:rPr>
                <w:rFonts w:hint="eastAsia"/>
                <w:szCs w:val="21"/>
              </w:rPr>
              <w:t>9</w:t>
            </w:r>
            <w:r>
              <w:rPr>
                <w:szCs w:val="21"/>
              </w:rPr>
              <w:t>8.</w:t>
            </w:r>
            <w:r>
              <w:rPr>
                <w:rFonts w:hint="eastAsia"/>
                <w:szCs w:val="21"/>
              </w:rPr>
              <w:t>专业实验室、研发（试验）基地中的“其他（不产生实验废气、废水、危险废物的除外）”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96" w:type="dxa"/>
            <w:gridSpan w:val="3"/>
            <w:tcMar>
              <w:top w:w="16" w:type="dxa"/>
              <w:left w:w="16" w:type="dxa"/>
              <w:right w:w="16" w:type="dxa"/>
            </w:tcMar>
            <w:vAlign w:val="center"/>
          </w:tcPr>
          <w:p>
            <w:pPr>
              <w:adjustRightInd w:val="0"/>
              <w:snapToGrid w:val="0"/>
              <w:spacing w:line="500" w:lineRule="exact"/>
              <w:ind w:firstLine="0" w:firstLineChars="0"/>
              <w:jc w:val="center"/>
              <w:rPr>
                <w:szCs w:val="21"/>
              </w:rPr>
            </w:pPr>
            <w:r>
              <w:rPr>
                <w:szCs w:val="21"/>
              </w:rPr>
              <w:t>建设性质</w:t>
            </w:r>
          </w:p>
        </w:tc>
        <w:tc>
          <w:tcPr>
            <w:tcW w:w="1722" w:type="dxa"/>
            <w:vAlign w:val="center"/>
          </w:tcPr>
          <w:p>
            <w:pPr>
              <w:adjustRightInd w:val="0"/>
              <w:snapToGrid w:val="0"/>
              <w:spacing w:line="500" w:lineRule="exact"/>
              <w:ind w:firstLine="0" w:firstLineChars="0"/>
              <w:rPr>
                <w:szCs w:val="21"/>
              </w:rPr>
            </w:pPr>
            <w:r>
              <w:rPr>
                <w:rFonts w:ascii="Segoe UI Symbol" w:hAnsi="Segoe UI Symbol" w:cs="Segoe UI Symbol"/>
                <w:sz w:val="28"/>
                <w:szCs w:val="21"/>
              </w:rPr>
              <w:t>☑</w:t>
            </w:r>
            <w:r>
              <w:rPr>
                <w:szCs w:val="21"/>
              </w:rPr>
              <w:t>新建（迁建）</w:t>
            </w:r>
          </w:p>
          <w:p>
            <w:pPr>
              <w:adjustRightInd w:val="0"/>
              <w:snapToGrid w:val="0"/>
              <w:spacing w:line="500" w:lineRule="exact"/>
              <w:ind w:firstLine="0" w:firstLineChars="0"/>
              <w:rPr>
                <w:szCs w:val="21"/>
              </w:rPr>
            </w:pPr>
            <w:r>
              <w:rPr>
                <w:rFonts w:ascii="宋体" w:hAnsi="宋体"/>
                <w:szCs w:val="21"/>
              </w:rPr>
              <w:t>□</w:t>
            </w:r>
            <w:r>
              <w:rPr>
                <w:szCs w:val="21"/>
              </w:rPr>
              <w:t>改建</w:t>
            </w:r>
          </w:p>
          <w:p>
            <w:pPr>
              <w:adjustRightInd w:val="0"/>
              <w:snapToGrid w:val="0"/>
              <w:spacing w:line="500" w:lineRule="exact"/>
              <w:ind w:firstLine="0" w:firstLineChars="0"/>
              <w:rPr>
                <w:szCs w:val="21"/>
              </w:rPr>
            </w:pPr>
            <w:r>
              <w:rPr>
                <w:rFonts w:ascii="宋体" w:hAnsi="宋体"/>
                <w:szCs w:val="21"/>
              </w:rPr>
              <w:t>□</w:t>
            </w:r>
            <w:r>
              <w:rPr>
                <w:szCs w:val="21"/>
              </w:rPr>
              <w:t>扩建</w:t>
            </w:r>
          </w:p>
          <w:p>
            <w:pPr>
              <w:adjustRightInd w:val="0"/>
              <w:snapToGrid w:val="0"/>
              <w:spacing w:line="500" w:lineRule="exact"/>
              <w:ind w:firstLine="0" w:firstLineChars="0"/>
              <w:rPr>
                <w:szCs w:val="21"/>
              </w:rPr>
            </w:pPr>
            <w:r>
              <w:rPr>
                <w:rFonts w:ascii="宋体" w:hAnsi="宋体"/>
                <w:szCs w:val="21"/>
              </w:rPr>
              <w:t>□</w:t>
            </w:r>
            <w:r>
              <w:rPr>
                <w:szCs w:val="21"/>
              </w:rPr>
              <w:t>技术改造</w:t>
            </w:r>
          </w:p>
        </w:tc>
        <w:tc>
          <w:tcPr>
            <w:tcW w:w="1821" w:type="dxa"/>
            <w:vAlign w:val="center"/>
          </w:tcPr>
          <w:p>
            <w:pPr>
              <w:adjustRightInd w:val="0"/>
              <w:snapToGrid w:val="0"/>
              <w:spacing w:line="500" w:lineRule="exact"/>
              <w:ind w:firstLine="0" w:firstLineChars="0"/>
              <w:jc w:val="center"/>
              <w:rPr>
                <w:szCs w:val="21"/>
              </w:rPr>
            </w:pPr>
            <w:r>
              <w:rPr>
                <w:szCs w:val="21"/>
              </w:rPr>
              <w:t>建设项目</w:t>
            </w:r>
          </w:p>
          <w:p>
            <w:pPr>
              <w:adjustRightInd w:val="0"/>
              <w:snapToGrid w:val="0"/>
              <w:spacing w:line="500" w:lineRule="exact"/>
              <w:ind w:firstLine="0" w:firstLineChars="0"/>
              <w:jc w:val="center"/>
              <w:rPr>
                <w:szCs w:val="21"/>
              </w:rPr>
            </w:pPr>
            <w:r>
              <w:rPr>
                <w:szCs w:val="21"/>
              </w:rPr>
              <w:t>申报情形</w:t>
            </w:r>
          </w:p>
        </w:tc>
        <w:tc>
          <w:tcPr>
            <w:tcW w:w="2694" w:type="dxa"/>
            <w:vAlign w:val="center"/>
          </w:tcPr>
          <w:p>
            <w:pPr>
              <w:adjustRightInd w:val="0"/>
              <w:snapToGrid w:val="0"/>
              <w:spacing w:line="500" w:lineRule="exact"/>
              <w:ind w:firstLine="0" w:firstLineChars="0"/>
              <w:rPr>
                <w:szCs w:val="21"/>
              </w:rPr>
            </w:pPr>
            <w:r>
              <w:rPr>
                <w:rFonts w:ascii="Segoe UI Symbol" w:hAnsi="Segoe UI Symbol" w:cs="Segoe UI Symbol"/>
                <w:sz w:val="28"/>
                <w:szCs w:val="21"/>
              </w:rPr>
              <w:t>☑</w:t>
            </w:r>
            <w:r>
              <w:rPr>
                <w:szCs w:val="21"/>
              </w:rPr>
              <w:t>首次申报项目</w:t>
            </w:r>
          </w:p>
          <w:p>
            <w:pPr>
              <w:adjustRightInd w:val="0"/>
              <w:snapToGrid w:val="0"/>
              <w:spacing w:line="500" w:lineRule="exact"/>
              <w:ind w:firstLine="0" w:firstLineChars="0"/>
              <w:rPr>
                <w:szCs w:val="21"/>
              </w:rPr>
            </w:pPr>
            <w:r>
              <w:rPr>
                <w:rFonts w:ascii="宋体" w:hAnsi="宋体"/>
                <w:szCs w:val="21"/>
              </w:rPr>
              <w:t>□</w:t>
            </w:r>
            <w:r>
              <w:rPr>
                <w:szCs w:val="21"/>
              </w:rPr>
              <w:t>不予批准后再次申报项目</w:t>
            </w:r>
          </w:p>
          <w:p>
            <w:pPr>
              <w:adjustRightInd w:val="0"/>
              <w:snapToGrid w:val="0"/>
              <w:spacing w:line="500" w:lineRule="exact"/>
              <w:ind w:firstLine="0" w:firstLineChars="0"/>
              <w:rPr>
                <w:szCs w:val="21"/>
              </w:rPr>
            </w:pPr>
            <w:r>
              <w:rPr>
                <w:rFonts w:ascii="宋体" w:hAnsi="宋体"/>
                <w:szCs w:val="21"/>
              </w:rPr>
              <w:t>□</w:t>
            </w:r>
            <w:r>
              <w:rPr>
                <w:szCs w:val="21"/>
              </w:rPr>
              <w:t>超五年重新审核项目</w:t>
            </w:r>
          </w:p>
          <w:p>
            <w:pPr>
              <w:adjustRightInd w:val="0"/>
              <w:snapToGrid w:val="0"/>
              <w:spacing w:line="500" w:lineRule="exact"/>
              <w:ind w:firstLine="0" w:firstLineChars="0"/>
              <w:rPr>
                <w:szCs w:val="21"/>
              </w:rPr>
            </w:pPr>
            <w:r>
              <w:rPr>
                <w:rFonts w:ascii="宋体" w:hAnsi="宋体"/>
                <w:szCs w:val="21"/>
              </w:rPr>
              <w:t>□</w:t>
            </w:r>
            <w:r>
              <w:rPr>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96" w:type="dxa"/>
            <w:gridSpan w:val="3"/>
            <w:tcMar>
              <w:top w:w="16" w:type="dxa"/>
              <w:left w:w="16" w:type="dxa"/>
              <w:right w:w="16" w:type="dxa"/>
            </w:tcMar>
            <w:vAlign w:val="center"/>
          </w:tcPr>
          <w:p>
            <w:pPr>
              <w:adjustRightInd w:val="0"/>
              <w:snapToGrid w:val="0"/>
              <w:ind w:firstLine="0" w:firstLineChars="0"/>
              <w:jc w:val="center"/>
              <w:rPr>
                <w:szCs w:val="21"/>
              </w:rPr>
            </w:pPr>
            <w:r>
              <w:rPr>
                <w:szCs w:val="21"/>
              </w:rPr>
              <w:t>项目审批（核准/备案）部门（选填）</w:t>
            </w:r>
          </w:p>
        </w:tc>
        <w:tc>
          <w:tcPr>
            <w:tcW w:w="1722" w:type="dxa"/>
            <w:vAlign w:val="center"/>
          </w:tcPr>
          <w:p>
            <w:pPr>
              <w:adjustRightInd w:val="0"/>
              <w:snapToGrid w:val="0"/>
              <w:ind w:firstLine="0" w:firstLineChars="0"/>
              <w:jc w:val="center"/>
              <w:rPr>
                <w:szCs w:val="21"/>
              </w:rPr>
            </w:pPr>
            <w:r>
              <w:rPr>
                <w:rFonts w:hint="eastAsia"/>
                <w:szCs w:val="21"/>
              </w:rPr>
              <w:t>四川省水文水资源勘测中心</w:t>
            </w:r>
          </w:p>
        </w:tc>
        <w:tc>
          <w:tcPr>
            <w:tcW w:w="1821" w:type="dxa"/>
            <w:vAlign w:val="center"/>
          </w:tcPr>
          <w:p>
            <w:pPr>
              <w:adjustRightInd w:val="0"/>
              <w:snapToGrid w:val="0"/>
              <w:ind w:firstLine="0" w:firstLineChars="0"/>
              <w:rPr>
                <w:szCs w:val="21"/>
              </w:rPr>
            </w:pPr>
            <w:r>
              <w:rPr>
                <w:szCs w:val="21"/>
              </w:rPr>
              <w:t>项目审批（核准/备案）文号（选填）</w:t>
            </w:r>
          </w:p>
        </w:tc>
        <w:tc>
          <w:tcPr>
            <w:tcW w:w="2694" w:type="dxa"/>
            <w:vAlign w:val="center"/>
          </w:tcPr>
          <w:p>
            <w:pPr>
              <w:adjustRightInd w:val="0"/>
              <w:snapToGrid w:val="0"/>
              <w:ind w:firstLine="0" w:firstLineChars="0"/>
              <w:jc w:val="center"/>
              <w:rPr>
                <w:szCs w:val="21"/>
                <w:highlight w:val="yellow"/>
              </w:rPr>
            </w:pPr>
            <w:r>
              <w:rPr>
                <w:rFonts w:hint="eastAsia"/>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96" w:type="dxa"/>
            <w:gridSpan w:val="3"/>
            <w:tcMar>
              <w:top w:w="16" w:type="dxa"/>
              <w:left w:w="16" w:type="dxa"/>
              <w:right w:w="16" w:type="dxa"/>
            </w:tcMar>
            <w:vAlign w:val="center"/>
          </w:tcPr>
          <w:p>
            <w:pPr>
              <w:adjustRightInd w:val="0"/>
              <w:snapToGrid w:val="0"/>
              <w:ind w:firstLine="0" w:firstLineChars="0"/>
              <w:jc w:val="center"/>
              <w:rPr>
                <w:szCs w:val="21"/>
              </w:rPr>
            </w:pPr>
            <w:r>
              <w:rPr>
                <w:szCs w:val="21"/>
              </w:rPr>
              <w:t>总投资（万元）</w:t>
            </w:r>
          </w:p>
        </w:tc>
        <w:tc>
          <w:tcPr>
            <w:tcW w:w="1722" w:type="dxa"/>
            <w:vAlign w:val="center"/>
          </w:tcPr>
          <w:p>
            <w:pPr>
              <w:adjustRightInd w:val="0"/>
              <w:snapToGrid w:val="0"/>
              <w:ind w:firstLine="0" w:firstLineChars="0"/>
              <w:jc w:val="center"/>
              <w:rPr>
                <w:szCs w:val="21"/>
              </w:rPr>
            </w:pPr>
            <w:r>
              <w:rPr>
                <w:rFonts w:hint="eastAsia"/>
                <w:szCs w:val="21"/>
              </w:rPr>
              <w:t>4</w:t>
            </w:r>
            <w:r>
              <w:rPr>
                <w:szCs w:val="21"/>
              </w:rPr>
              <w:t>51.00</w:t>
            </w:r>
          </w:p>
        </w:tc>
        <w:tc>
          <w:tcPr>
            <w:tcW w:w="1821" w:type="dxa"/>
            <w:tcMar>
              <w:top w:w="16" w:type="dxa"/>
              <w:left w:w="16" w:type="dxa"/>
              <w:right w:w="16" w:type="dxa"/>
            </w:tcMar>
            <w:vAlign w:val="center"/>
          </w:tcPr>
          <w:p>
            <w:pPr>
              <w:adjustRightInd w:val="0"/>
              <w:snapToGrid w:val="0"/>
              <w:ind w:firstLine="0" w:firstLineChars="0"/>
              <w:jc w:val="center"/>
              <w:rPr>
                <w:szCs w:val="21"/>
              </w:rPr>
            </w:pPr>
            <w:r>
              <w:rPr>
                <w:szCs w:val="21"/>
              </w:rPr>
              <w:t>环保投资（万元）</w:t>
            </w:r>
          </w:p>
        </w:tc>
        <w:tc>
          <w:tcPr>
            <w:tcW w:w="2694" w:type="dxa"/>
            <w:vAlign w:val="center"/>
          </w:tcPr>
          <w:p>
            <w:pPr>
              <w:adjustRightInd w:val="0"/>
              <w:snapToGrid w:val="0"/>
              <w:ind w:firstLine="0" w:firstLineChars="0"/>
              <w:jc w:val="center"/>
              <w:rPr>
                <w:szCs w:val="21"/>
              </w:rPr>
            </w:pPr>
            <w:r>
              <w:rPr>
                <w:rFonts w:hint="eastAsia"/>
                <w:szCs w:val="21"/>
              </w:rPr>
              <w:t>3</w:t>
            </w:r>
            <w:r>
              <w:rPr>
                <w:szCs w:val="21"/>
              </w:rPr>
              <w:t>2.50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96" w:type="dxa"/>
            <w:gridSpan w:val="3"/>
            <w:tcMar>
              <w:top w:w="16" w:type="dxa"/>
              <w:left w:w="16" w:type="dxa"/>
              <w:right w:w="16" w:type="dxa"/>
            </w:tcMar>
            <w:vAlign w:val="center"/>
          </w:tcPr>
          <w:p>
            <w:pPr>
              <w:adjustRightInd w:val="0"/>
              <w:snapToGrid w:val="0"/>
              <w:ind w:firstLine="0" w:firstLineChars="0"/>
              <w:rPr>
                <w:szCs w:val="21"/>
              </w:rPr>
            </w:pPr>
            <w:r>
              <w:rPr>
                <w:szCs w:val="21"/>
              </w:rPr>
              <w:t>环保投资占比（%）</w:t>
            </w:r>
          </w:p>
        </w:tc>
        <w:tc>
          <w:tcPr>
            <w:tcW w:w="1722" w:type="dxa"/>
            <w:vAlign w:val="center"/>
          </w:tcPr>
          <w:p>
            <w:pPr>
              <w:adjustRightInd w:val="0"/>
              <w:snapToGrid w:val="0"/>
              <w:ind w:firstLine="0" w:firstLineChars="0"/>
              <w:jc w:val="center"/>
              <w:rPr>
                <w:szCs w:val="21"/>
              </w:rPr>
            </w:pPr>
            <w:r>
              <w:rPr>
                <w:rFonts w:hint="eastAsia"/>
                <w:szCs w:val="21"/>
              </w:rPr>
              <w:t>7</w:t>
            </w:r>
            <w:r>
              <w:rPr>
                <w:szCs w:val="21"/>
              </w:rPr>
              <w:t>.21</w:t>
            </w:r>
          </w:p>
        </w:tc>
        <w:tc>
          <w:tcPr>
            <w:tcW w:w="1821" w:type="dxa"/>
            <w:tcMar>
              <w:top w:w="16" w:type="dxa"/>
              <w:left w:w="16" w:type="dxa"/>
              <w:right w:w="16" w:type="dxa"/>
            </w:tcMar>
            <w:vAlign w:val="center"/>
          </w:tcPr>
          <w:p>
            <w:pPr>
              <w:adjustRightInd w:val="0"/>
              <w:snapToGrid w:val="0"/>
              <w:ind w:firstLine="0" w:firstLineChars="0"/>
              <w:jc w:val="center"/>
              <w:rPr>
                <w:szCs w:val="21"/>
              </w:rPr>
            </w:pPr>
            <w:r>
              <w:rPr>
                <w:szCs w:val="21"/>
              </w:rPr>
              <w:t>施工工期</w:t>
            </w:r>
          </w:p>
        </w:tc>
        <w:tc>
          <w:tcPr>
            <w:tcW w:w="2694" w:type="dxa"/>
            <w:vAlign w:val="center"/>
          </w:tcPr>
          <w:p>
            <w:pPr>
              <w:adjustRightInd w:val="0"/>
              <w:snapToGrid w:val="0"/>
              <w:ind w:firstLine="0" w:firstLineChars="0"/>
              <w:jc w:val="center"/>
              <w:rPr>
                <w:szCs w:val="21"/>
              </w:rPr>
            </w:pPr>
            <w:r>
              <w:rPr>
                <w:szCs w:val="21"/>
              </w:rPr>
              <w:t>3</w:t>
            </w:r>
            <w:r>
              <w:rPr>
                <w:rFonts w:hint="eastAsia"/>
                <w:szCs w:val="21"/>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096" w:type="dxa"/>
            <w:gridSpan w:val="3"/>
            <w:tcMar>
              <w:top w:w="16" w:type="dxa"/>
              <w:left w:w="16" w:type="dxa"/>
              <w:right w:w="16" w:type="dxa"/>
            </w:tcMar>
            <w:vAlign w:val="center"/>
          </w:tcPr>
          <w:p>
            <w:pPr>
              <w:adjustRightInd w:val="0"/>
              <w:snapToGrid w:val="0"/>
              <w:ind w:firstLine="0" w:firstLineChars="0"/>
              <w:jc w:val="center"/>
              <w:rPr>
                <w:szCs w:val="21"/>
              </w:rPr>
            </w:pPr>
            <w:r>
              <w:rPr>
                <w:szCs w:val="21"/>
              </w:rPr>
              <w:t>是否开工建设</w:t>
            </w:r>
          </w:p>
        </w:tc>
        <w:tc>
          <w:tcPr>
            <w:tcW w:w="1722" w:type="dxa"/>
            <w:vAlign w:val="center"/>
          </w:tcPr>
          <w:p>
            <w:pPr>
              <w:adjustRightInd w:val="0"/>
              <w:snapToGrid w:val="0"/>
              <w:spacing w:line="500" w:lineRule="exact"/>
              <w:ind w:firstLine="0" w:firstLineChars="0"/>
              <w:rPr>
                <w:szCs w:val="21"/>
              </w:rPr>
            </w:pPr>
            <w:r>
              <w:rPr>
                <w:rFonts w:ascii="Segoe UI Symbol" w:hAnsi="Segoe UI Symbol" w:cs="Segoe UI Symbol"/>
                <w:sz w:val="28"/>
                <w:szCs w:val="21"/>
              </w:rPr>
              <w:t>☑</w:t>
            </w:r>
            <w:r>
              <w:rPr>
                <w:szCs w:val="21"/>
              </w:rPr>
              <w:t>否</w:t>
            </w:r>
          </w:p>
          <w:p>
            <w:pPr>
              <w:adjustRightInd w:val="0"/>
              <w:snapToGrid w:val="0"/>
              <w:spacing w:line="500" w:lineRule="exact"/>
              <w:ind w:firstLine="0" w:firstLineChars="0"/>
              <w:rPr>
                <w:szCs w:val="21"/>
              </w:rPr>
            </w:pPr>
            <w:r>
              <w:rPr>
                <w:rFonts w:ascii="宋体" w:hAnsi="宋体"/>
                <w:szCs w:val="21"/>
              </w:rPr>
              <w:t>□</w:t>
            </w:r>
            <w:r>
              <w:rPr>
                <w:szCs w:val="21"/>
              </w:rPr>
              <w:t>是：</w:t>
            </w:r>
            <w:r>
              <w:rPr>
                <w:rFonts w:hint="eastAsia"/>
                <w:szCs w:val="21"/>
                <w:u w:val="single"/>
              </w:rPr>
              <w:t xml:space="preserve"> </w:t>
            </w:r>
            <w:r>
              <w:rPr>
                <w:szCs w:val="21"/>
                <w:u w:val="single"/>
              </w:rPr>
              <w:t xml:space="preserve">    </w:t>
            </w:r>
          </w:p>
        </w:tc>
        <w:tc>
          <w:tcPr>
            <w:tcW w:w="1821" w:type="dxa"/>
            <w:tcMar>
              <w:top w:w="16" w:type="dxa"/>
              <w:left w:w="16" w:type="dxa"/>
              <w:right w:w="16" w:type="dxa"/>
            </w:tcMar>
            <w:vAlign w:val="center"/>
          </w:tcPr>
          <w:p>
            <w:pPr>
              <w:adjustRightInd w:val="0"/>
              <w:snapToGrid w:val="0"/>
              <w:ind w:firstLine="0" w:firstLineChars="0"/>
              <w:jc w:val="center"/>
              <w:rPr>
                <w:szCs w:val="21"/>
              </w:rPr>
            </w:pPr>
            <w:r>
              <w:rPr>
                <w:spacing w:val="-6"/>
                <w:szCs w:val="21"/>
              </w:rPr>
              <w:t>用地（用海）面积（m</w:t>
            </w:r>
            <w:r>
              <w:rPr>
                <w:spacing w:val="-6"/>
                <w:szCs w:val="21"/>
                <w:vertAlign w:val="superscript"/>
              </w:rPr>
              <w:t>2</w:t>
            </w:r>
            <w:r>
              <w:rPr>
                <w:spacing w:val="-6"/>
                <w:szCs w:val="21"/>
              </w:rPr>
              <w:t>）</w:t>
            </w:r>
          </w:p>
        </w:tc>
        <w:tc>
          <w:tcPr>
            <w:tcW w:w="2694" w:type="dxa"/>
            <w:vAlign w:val="center"/>
          </w:tcPr>
          <w:p>
            <w:pPr>
              <w:adjustRightInd w:val="0"/>
              <w:snapToGrid w:val="0"/>
              <w:ind w:firstLine="0" w:firstLineChars="0"/>
              <w:jc w:val="center"/>
              <w:rPr>
                <w:szCs w:val="21"/>
              </w:rPr>
            </w:pPr>
            <w:r>
              <w:rPr>
                <w:rFonts w:hint="eastAsia"/>
                <w:szCs w:val="21"/>
              </w:rPr>
              <w:t>不新增用地（建筑面积约8</w:t>
            </w:r>
            <w:r>
              <w:rPr>
                <w:szCs w:val="21"/>
              </w:rPr>
              <w:t>00.00</w:t>
            </w:r>
            <w:r>
              <w:rPr>
                <w:rFonts w:hint="eastAsia"/>
                <w:szCs w:val="21"/>
              </w:rPr>
              <w:t>m</w:t>
            </w:r>
            <w:r>
              <w:rPr>
                <w:szCs w:val="21"/>
                <w:vertAlign w:val="superscript"/>
              </w:rPr>
              <w:t>2</w:t>
            </w: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096" w:type="dxa"/>
            <w:gridSpan w:val="3"/>
            <w:vAlign w:val="center"/>
          </w:tcPr>
          <w:p>
            <w:pPr>
              <w:autoSpaceDE w:val="0"/>
              <w:autoSpaceDN w:val="0"/>
              <w:adjustRightInd w:val="0"/>
              <w:snapToGrid w:val="0"/>
              <w:ind w:firstLine="0" w:firstLineChars="0"/>
              <w:jc w:val="center"/>
              <w:rPr>
                <w:kern w:val="0"/>
                <w:szCs w:val="21"/>
              </w:rPr>
            </w:pPr>
            <w:r>
              <w:rPr>
                <w:kern w:val="0"/>
                <w:szCs w:val="21"/>
              </w:rPr>
              <w:t>专项评价设置情况</w:t>
            </w:r>
          </w:p>
        </w:tc>
        <w:tc>
          <w:tcPr>
            <w:tcW w:w="6237" w:type="dxa"/>
            <w:gridSpan w:val="3"/>
            <w:vAlign w:val="center"/>
          </w:tcPr>
          <w:p>
            <w:pPr>
              <w:autoSpaceDE w:val="0"/>
              <w:autoSpaceDN w:val="0"/>
              <w:adjustRightInd w:val="0"/>
              <w:snapToGrid w:val="0"/>
              <w:ind w:firstLine="0" w:firstLineChars="0"/>
              <w:jc w:val="center"/>
              <w:rPr>
                <w:kern w:val="0"/>
                <w:szCs w:val="21"/>
              </w:rPr>
            </w:pPr>
            <w:r>
              <w:rPr>
                <w:rFonts w:hint="eastAsia"/>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6" w:type="dxa"/>
          <w:trHeight w:val="983" w:hRule="atLeast"/>
        </w:trPr>
        <w:tc>
          <w:tcPr>
            <w:tcW w:w="431"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400" w:lineRule="exact"/>
              <w:ind w:firstLine="0" w:firstLineChars="0"/>
              <w:jc w:val="center"/>
              <w:rPr>
                <w:kern w:val="0"/>
                <w:szCs w:val="21"/>
              </w:rPr>
            </w:pPr>
            <w:r>
              <w:rPr>
                <w:szCs w:val="21"/>
              </w:rPr>
              <w:t>规划情况</w:t>
            </w:r>
          </w:p>
        </w:tc>
        <w:tc>
          <w:tcPr>
            <w:tcW w:w="7896" w:type="dxa"/>
            <w:gridSpan w:val="4"/>
            <w:tcBorders>
              <w:top w:val="single" w:color="auto" w:sz="4" w:space="0"/>
              <w:left w:val="single" w:color="auto" w:sz="4" w:space="0"/>
              <w:bottom w:val="single" w:color="auto" w:sz="4" w:space="0"/>
              <w:right w:val="single" w:color="auto" w:sz="8" w:space="0"/>
            </w:tcBorders>
            <w:vAlign w:val="center"/>
          </w:tcPr>
          <w:p>
            <w:pPr>
              <w:pStyle w:val="158"/>
              <w:rPr>
                <w:b w:val="0"/>
                <w:bCs/>
              </w:rPr>
            </w:pPr>
            <w:r>
              <w:rPr>
                <w:rFonts w:hint="eastAsia"/>
                <w:b w:val="0"/>
                <w:bCs/>
              </w:rPr>
              <w:t>规划名称：《四川巴中经济开发区控制性详细规划修编（2</w:t>
            </w:r>
            <w:r>
              <w:rPr>
                <w:b w:val="0"/>
                <w:bCs/>
              </w:rPr>
              <w:t>020</w:t>
            </w:r>
            <w:r>
              <w:rPr>
                <w:rFonts w:hint="eastAsia"/>
                <w:b w:val="0"/>
                <w:bCs/>
              </w:rPr>
              <w:t>年版）》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6" w:type="dxa"/>
          <w:trHeight w:val="983" w:hRule="atLeast"/>
        </w:trPr>
        <w:tc>
          <w:tcPr>
            <w:tcW w:w="431"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400" w:lineRule="exact"/>
              <w:ind w:firstLine="0" w:firstLineChars="0"/>
              <w:jc w:val="center"/>
              <w:rPr>
                <w:kern w:val="0"/>
                <w:szCs w:val="21"/>
              </w:rPr>
            </w:pPr>
            <w:r>
              <w:rPr>
                <w:szCs w:val="21"/>
              </w:rPr>
              <w:t>规划环境影响评价情况</w:t>
            </w:r>
          </w:p>
        </w:tc>
        <w:tc>
          <w:tcPr>
            <w:tcW w:w="7896" w:type="dxa"/>
            <w:gridSpan w:val="4"/>
            <w:tcBorders>
              <w:top w:val="single" w:color="auto" w:sz="4" w:space="0"/>
              <w:left w:val="single" w:color="auto" w:sz="4" w:space="0"/>
              <w:bottom w:val="single" w:color="auto" w:sz="4" w:space="0"/>
              <w:right w:val="single" w:color="auto" w:sz="8" w:space="0"/>
            </w:tcBorders>
            <w:vAlign w:val="center"/>
          </w:tcPr>
          <w:p>
            <w:pPr>
              <w:pStyle w:val="158"/>
              <w:jc w:val="both"/>
              <w:rPr>
                <w:b w:val="0"/>
                <w:bCs/>
              </w:rPr>
            </w:pPr>
            <w:r>
              <w:rPr>
                <w:rFonts w:hint="eastAsia"/>
                <w:b w:val="0"/>
                <w:bCs/>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6" w:type="dxa"/>
          <w:trHeight w:val="983" w:hRule="atLeast"/>
        </w:trPr>
        <w:tc>
          <w:tcPr>
            <w:tcW w:w="431"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400" w:lineRule="exact"/>
              <w:ind w:firstLine="0" w:firstLineChars="0"/>
              <w:jc w:val="center"/>
              <w:rPr>
                <w:kern w:val="0"/>
                <w:szCs w:val="21"/>
              </w:rPr>
            </w:pPr>
            <w:r>
              <w:rPr>
                <w:kern w:val="0"/>
                <w:szCs w:val="21"/>
              </w:rPr>
              <w:t>规划及规划环境影响评价符合性分析</w:t>
            </w:r>
          </w:p>
        </w:tc>
        <w:tc>
          <w:tcPr>
            <w:tcW w:w="7896" w:type="dxa"/>
            <w:gridSpan w:val="4"/>
            <w:tcBorders>
              <w:top w:val="single" w:color="auto" w:sz="4" w:space="0"/>
              <w:left w:val="single" w:color="auto" w:sz="4" w:space="0"/>
              <w:bottom w:val="single" w:color="auto" w:sz="4" w:space="0"/>
              <w:right w:val="single" w:color="auto" w:sz="8" w:space="0"/>
            </w:tcBorders>
            <w:vAlign w:val="center"/>
          </w:tcPr>
          <w:p>
            <w:pPr>
              <w:pStyle w:val="158"/>
            </w:pPr>
            <w:r>
              <w:rPr>
                <w:rFonts w:hint="eastAsia"/>
              </w:rPr>
              <w:t>1</w:t>
            </w:r>
            <w:r>
              <w:t>、</w:t>
            </w:r>
            <w:r>
              <w:rPr>
                <w:rFonts w:hint="eastAsia"/>
              </w:rPr>
              <w:t>规划符合性分析</w:t>
            </w:r>
          </w:p>
          <w:p>
            <w:pPr>
              <w:ind w:firstLine="480"/>
            </w:pPr>
            <w:r>
              <w:rPr>
                <w:rFonts w:hint="eastAsia"/>
              </w:rPr>
              <w:t>2012年，四川巴中经济开发区管委会编制了《四川巴中经济开发区区位调整规划》，规划范围9.7624km</w:t>
            </w:r>
            <w:r>
              <w:rPr>
                <w:rFonts w:hint="eastAsia"/>
                <w:vertAlign w:val="superscript"/>
              </w:rPr>
              <w:t>2</w:t>
            </w:r>
            <w:r>
              <w:rPr>
                <w:rFonts w:hint="eastAsia"/>
              </w:rPr>
              <w:t>，主导产业：电子机械、服装纺织、食品医药。2</w:t>
            </w:r>
            <w:r>
              <w:t>019</w:t>
            </w:r>
            <w:r>
              <w:rPr>
                <w:rFonts w:hint="eastAsia"/>
              </w:rPr>
              <w:t>年，四川巴中经济开发区管理委员编制了《</w:t>
            </w:r>
            <w:r>
              <w:t>四川巴中经济开发区控制性详细规划</w:t>
            </w:r>
            <w:r>
              <w:rPr>
                <w:rFonts w:hint="eastAsia"/>
              </w:rPr>
              <w:t>》，经济开发区</w:t>
            </w:r>
            <w:r>
              <w:t>规划总面积13.07</w:t>
            </w:r>
            <w:r>
              <w:rPr>
                <w:rFonts w:hint="eastAsia"/>
              </w:rPr>
              <w:t xml:space="preserve"> km</w:t>
            </w:r>
            <w:r>
              <w:rPr>
                <w:rFonts w:hint="eastAsia"/>
                <w:vertAlign w:val="superscript"/>
              </w:rPr>
              <w:t>2</w:t>
            </w:r>
            <w:r>
              <w:t>，规划范围北至唐家庙，东至巴中东高速出入口，西以国道G85为界；主导产业：机械制造、电子信息、食品医药</w:t>
            </w:r>
            <w:r>
              <w:rPr>
                <w:rFonts w:hint="eastAsia"/>
              </w:rPr>
              <w:t>。</w:t>
            </w:r>
          </w:p>
          <w:p>
            <w:pPr>
              <w:ind w:firstLine="480"/>
            </w:pPr>
            <w:r>
              <w:t>本项目位于</w:t>
            </w:r>
            <w:r>
              <w:rPr>
                <w:rFonts w:hint="eastAsia"/>
              </w:rPr>
              <w:t>四川巴中经济开发区时新街道宝峰社区，在四川省巴中水文水资源勘测中心办公楼4F、5F内建设</w:t>
            </w:r>
            <w:r>
              <w:t>，</w:t>
            </w:r>
            <w:r>
              <w:rPr>
                <w:rFonts w:hint="eastAsia"/>
              </w:rPr>
              <w:t>属于四川省巴中水文水资源勘测中心配套水质监测实验室。根据四川巴中经济开发区土地利用规划图，本项目区域为规划的行政办公用地。本项目用地性质符合规划要求。</w:t>
            </w:r>
          </w:p>
          <w:p>
            <w:pPr>
              <w:ind w:firstLine="482"/>
              <w:rPr>
                <w:b/>
                <w:bCs/>
              </w:rPr>
            </w:pPr>
            <w:r>
              <w:rPr>
                <w:rFonts w:hint="eastAsia"/>
                <w:b/>
                <w:bCs/>
              </w:rPr>
              <w:t>需要说明的是，四川巴中经济开发区管委会2</w:t>
            </w:r>
            <w:r>
              <w:rPr>
                <w:b/>
                <w:bCs/>
              </w:rPr>
              <w:t>020</w:t>
            </w:r>
            <w:r>
              <w:rPr>
                <w:rFonts w:hint="eastAsia"/>
                <w:b/>
                <w:bCs/>
              </w:rPr>
              <w:t>年组织编制的《</w:t>
            </w:r>
            <w:r>
              <w:rPr>
                <w:b/>
                <w:bCs/>
              </w:rPr>
              <w:t>四川巴中经济开发区控制性详细规划修编</w:t>
            </w:r>
            <w:r>
              <w:rPr>
                <w:rFonts w:hint="eastAsia"/>
                <w:b/>
                <w:bCs/>
              </w:rPr>
              <w:t>环境影响报告书》中规划范围未包括本项目所在区域。因此，本次评价未进行规划环评符合性分析。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6" w:type="dxa"/>
          <w:trHeight w:val="983" w:hRule="atLeast"/>
        </w:trPr>
        <w:tc>
          <w:tcPr>
            <w:tcW w:w="431"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400" w:lineRule="exact"/>
              <w:ind w:firstLine="0" w:firstLineChars="0"/>
              <w:jc w:val="center"/>
              <w:rPr>
                <w:kern w:val="0"/>
                <w:szCs w:val="21"/>
              </w:rPr>
            </w:pPr>
            <w:r>
              <w:rPr>
                <w:kern w:val="0"/>
                <w:szCs w:val="21"/>
              </w:rPr>
              <w:t>其他符合性分析</w:t>
            </w:r>
          </w:p>
        </w:tc>
        <w:tc>
          <w:tcPr>
            <w:tcW w:w="7896" w:type="dxa"/>
            <w:gridSpan w:val="4"/>
            <w:tcBorders>
              <w:top w:val="single" w:color="auto" w:sz="4" w:space="0"/>
              <w:left w:val="single" w:color="auto" w:sz="4" w:space="0"/>
              <w:bottom w:val="single" w:color="auto" w:sz="4" w:space="0"/>
              <w:right w:val="single" w:color="auto" w:sz="8" w:space="0"/>
            </w:tcBorders>
            <w:vAlign w:val="center"/>
          </w:tcPr>
          <w:p>
            <w:pPr>
              <w:pStyle w:val="158"/>
            </w:pPr>
            <w:r>
              <w:t>1、产业政策符合性</w:t>
            </w:r>
            <w:bookmarkStart w:id="16" w:name="_GoBack"/>
            <w:bookmarkEnd w:id="16"/>
          </w:p>
          <w:p>
            <w:pPr>
              <w:ind w:firstLine="480"/>
            </w:pPr>
            <w:r>
              <w:t>根据《国民经济行业分类》（GB/T4754-2017），本项目属于</w:t>
            </w:r>
            <w:r>
              <w:rPr>
                <w:rFonts w:hint="eastAsia"/>
                <w:szCs w:val="21"/>
              </w:rPr>
              <w:t>“</w:t>
            </w:r>
            <w:r>
              <w:rPr>
                <w:rFonts w:hint="eastAsia"/>
                <w:b/>
                <w:bCs/>
                <w:szCs w:val="21"/>
              </w:rPr>
              <w:t>M</w:t>
            </w:r>
            <w:r>
              <w:rPr>
                <w:b/>
                <w:bCs/>
                <w:szCs w:val="21"/>
              </w:rPr>
              <w:t>7461</w:t>
            </w:r>
            <w:r>
              <w:rPr>
                <w:rFonts w:hint="eastAsia"/>
                <w:b/>
                <w:bCs/>
                <w:szCs w:val="21"/>
              </w:rPr>
              <w:t>环境保护监测</w:t>
            </w:r>
            <w:r>
              <w:rPr>
                <w:rFonts w:hint="eastAsia"/>
                <w:szCs w:val="21"/>
              </w:rPr>
              <w:t>”</w:t>
            </w:r>
            <w:r>
              <w:t>。</w:t>
            </w:r>
            <w:r>
              <w:rPr>
                <w:rFonts w:hint="eastAsia"/>
              </w:rPr>
              <w:t>对照</w:t>
            </w:r>
            <w:r>
              <w:t>国家发展和改革委员会2019第29号令《产业结构调整指导目录（2019年本）》</w:t>
            </w:r>
            <w:r>
              <w:rPr>
                <w:rFonts w:hint="eastAsia"/>
              </w:rPr>
              <w:t>，本项目属于</w:t>
            </w:r>
            <w:r>
              <w:rPr>
                <w:rFonts w:ascii="宋体" w:hAnsi="宋体"/>
                <w:u w:val="single"/>
              </w:rPr>
              <w:t>“</w:t>
            </w:r>
            <w:r>
              <w:rPr>
                <w:rFonts w:ascii="宋体" w:hAnsi="宋体"/>
                <w:b/>
                <w:bCs/>
                <w:u w:val="single"/>
              </w:rPr>
              <w:t>鼓励类</w:t>
            </w:r>
            <w:r>
              <w:rPr>
                <w:rFonts w:ascii="宋体" w:hAnsi="宋体"/>
                <w:u w:val="single"/>
              </w:rPr>
              <w:t>”</w:t>
            </w:r>
            <w:r>
              <w:rPr>
                <w:u w:val="single"/>
              </w:rPr>
              <w:t>中“三十一、科技服务业 1、工业设计、气象、生物、新材料、新能源、节能、环保、测绘、海洋等专业科技服务，标准化服务、计量测试、</w:t>
            </w:r>
            <w:r>
              <w:rPr>
                <w:bCs/>
                <w:u w:val="single"/>
              </w:rPr>
              <w:t>质量认证和</w:t>
            </w:r>
            <w:r>
              <w:rPr>
                <w:b/>
                <w:u w:val="single"/>
              </w:rPr>
              <w:t>检验检测服务</w:t>
            </w:r>
            <w:r>
              <w:rPr>
                <w:u w:val="single"/>
              </w:rPr>
              <w:t>、科技普及”</w:t>
            </w:r>
            <w:r>
              <w:t>建设项目，符合国家产业政策。</w:t>
            </w:r>
          </w:p>
          <w:p>
            <w:pPr>
              <w:ind w:firstLine="480"/>
            </w:pPr>
            <w:r>
              <w:t>2023年4月</w:t>
            </w:r>
            <w:r>
              <w:rPr>
                <w:rFonts w:hint="eastAsia"/>
              </w:rPr>
              <w:t>2</w:t>
            </w:r>
            <w:r>
              <w:t>1日，</w:t>
            </w:r>
            <w:r>
              <w:rPr>
                <w:rFonts w:hint="eastAsia"/>
                <w:szCs w:val="21"/>
              </w:rPr>
              <w:t>四川省水文水资源勘测中心以《关于同意巴中水文中心建设水质分析实验室的函》同意项目建设</w:t>
            </w:r>
            <w:r>
              <w:t>。</w:t>
            </w:r>
          </w:p>
          <w:p>
            <w:pPr>
              <w:ind w:firstLine="482"/>
            </w:pPr>
            <w:r>
              <w:rPr>
                <w:b/>
              </w:rPr>
              <w:t>因此，项目的建设符合国家相应的产业政策。</w:t>
            </w:r>
          </w:p>
          <w:p>
            <w:pPr>
              <w:pStyle w:val="158"/>
            </w:pPr>
            <w:r>
              <w:t>2、</w:t>
            </w:r>
            <w:r>
              <w:rPr>
                <w:rFonts w:hint="eastAsia"/>
              </w:rPr>
              <w:t>土地利用规划符合性</w:t>
            </w:r>
          </w:p>
          <w:p>
            <w:pPr>
              <w:pStyle w:val="193"/>
              <w:framePr w:hSpace="0" w:wrap="auto" w:vAnchor="margin" w:hAnchor="text" w:yAlign="inline"/>
              <w:rPr>
                <w:color w:val="auto"/>
              </w:rPr>
            </w:pPr>
            <w:r>
              <w:rPr>
                <w:rFonts w:hint="eastAsia"/>
                <w:color w:val="auto"/>
              </w:rPr>
              <w:t>本项目选址位于四川巴中经济开发区时新街道宝峰社区，在四川省巴中水文水资源勘测中心办公楼4F、5F进行建设，建筑面积约8</w:t>
            </w:r>
            <w:r>
              <w:rPr>
                <w:color w:val="auto"/>
              </w:rPr>
              <w:t>00</w:t>
            </w:r>
            <w:r>
              <w:rPr>
                <w:rFonts w:hint="eastAsia"/>
                <w:color w:val="auto"/>
              </w:rPr>
              <w:t>m</w:t>
            </w:r>
            <w:r>
              <w:rPr>
                <w:color w:val="auto"/>
                <w:vertAlign w:val="superscript"/>
              </w:rPr>
              <w:t>2</w:t>
            </w:r>
            <w:r>
              <w:rPr>
                <w:rFonts w:hint="eastAsia"/>
                <w:color w:val="auto"/>
              </w:rPr>
              <w:t>，不新增用地面积。2</w:t>
            </w:r>
            <w:r>
              <w:rPr>
                <w:color w:val="auto"/>
              </w:rPr>
              <w:t>022</w:t>
            </w:r>
            <w:r>
              <w:rPr>
                <w:rFonts w:hint="eastAsia"/>
                <w:color w:val="auto"/>
              </w:rPr>
              <w:t>年4月，巴中市自然资源和规划局以《建设用地规划许可证》（地字第5</w:t>
            </w:r>
            <w:r>
              <w:rPr>
                <w:color w:val="auto"/>
              </w:rPr>
              <w:t>11924202200008</w:t>
            </w:r>
            <w:r>
              <w:rPr>
                <w:rFonts w:hint="eastAsia"/>
                <w:color w:val="auto"/>
              </w:rPr>
              <w:t>号）明确，项目用地性质为</w:t>
            </w:r>
            <w:r>
              <w:rPr>
                <w:rFonts w:hint="eastAsia"/>
                <w:b/>
                <w:bCs/>
                <w:color w:val="auto"/>
              </w:rPr>
              <w:t>机关团体用地</w:t>
            </w:r>
            <w:r>
              <w:rPr>
                <w:rFonts w:hint="eastAsia"/>
                <w:color w:val="auto"/>
              </w:rPr>
              <w:t>，项目用地符合国土空间规划和用途管控要求。</w:t>
            </w:r>
          </w:p>
          <w:p>
            <w:pPr>
              <w:pStyle w:val="193"/>
              <w:framePr w:hSpace="0" w:wrap="auto" w:vAnchor="margin" w:hAnchor="text" w:yAlign="inline"/>
              <w:ind w:firstLine="482"/>
              <w:rPr>
                <w:b/>
                <w:color w:val="auto"/>
              </w:rPr>
            </w:pPr>
            <w:r>
              <w:rPr>
                <w:rFonts w:hint="eastAsia"/>
                <w:b/>
                <w:color w:val="auto"/>
              </w:rPr>
              <w:t>综上，本项目用地符合规划。</w:t>
            </w:r>
          </w:p>
          <w:p>
            <w:pPr>
              <w:pStyle w:val="158"/>
            </w:pPr>
            <w:r>
              <w:rPr>
                <w:rFonts w:hint="eastAsia"/>
              </w:rPr>
              <w:t>3、与“三线一单”符合性</w:t>
            </w:r>
          </w:p>
          <w:p>
            <w:pPr>
              <w:ind w:firstLine="480"/>
            </w:pPr>
            <w:r>
              <w:rPr>
                <w:rFonts w:hint="eastAsia"/>
              </w:rPr>
              <w:t>（1）与巴中市“三线一单”管控文件的符合性分析</w:t>
            </w:r>
          </w:p>
          <w:p>
            <w:pPr>
              <w:ind w:firstLine="480"/>
            </w:pPr>
            <w:r>
              <w:t>根据</w:t>
            </w:r>
            <w:r>
              <w:rPr>
                <w:rFonts w:hint="eastAsia"/>
              </w:rPr>
              <w:t>巴中市人民政府《关于实施“三线一单”生态环境分区管控的通知》（巴府发〔2021〕5号），全市共划定环境管控单元</w:t>
            </w:r>
            <w:r>
              <w:t>39</w:t>
            </w:r>
            <w:r>
              <w:rPr>
                <w:rFonts w:hint="eastAsia"/>
              </w:rPr>
              <w:t>个，其中优先保护单元1</w:t>
            </w:r>
            <w:r>
              <w:t>3</w:t>
            </w:r>
            <w:r>
              <w:rPr>
                <w:rFonts w:hint="eastAsia"/>
              </w:rPr>
              <w:t>个，重点管控单元2</w:t>
            </w:r>
            <w:r>
              <w:t>1</w:t>
            </w:r>
            <w:r>
              <w:rPr>
                <w:rFonts w:hint="eastAsia"/>
              </w:rPr>
              <w:t>个，一般管控单元5个。本项目位于四川巴中经济开发区时新街道宝峰社区，属于要素重点管控单元，巴中市环境管控单元分布图如下：</w:t>
            </w:r>
          </w:p>
          <w:p>
            <w:pPr>
              <w:pStyle w:val="181"/>
              <w:rPr>
                <w:lang w:val="en-US"/>
              </w:rPr>
            </w:pPr>
            <w:r>
              <mc:AlternateContent>
                <mc:Choice Requires="wps">
                  <w:drawing>
                    <wp:anchor distT="0" distB="0" distL="114300" distR="114300" simplePos="0" relativeHeight="251659264" behindDoc="0" locked="0" layoutInCell="1" allowOverlap="1">
                      <wp:simplePos x="0" y="0"/>
                      <wp:positionH relativeFrom="column">
                        <wp:posOffset>259080</wp:posOffset>
                      </wp:positionH>
                      <wp:positionV relativeFrom="paragraph">
                        <wp:posOffset>1071880</wp:posOffset>
                      </wp:positionV>
                      <wp:extent cx="1056640" cy="253365"/>
                      <wp:effectExtent l="0" t="0" r="372110" b="908685"/>
                      <wp:wrapNone/>
                      <wp:docPr id="2" name="矩形标注 2"/>
                      <wp:cNvGraphicFramePr/>
                      <a:graphic xmlns:a="http://schemas.openxmlformats.org/drawingml/2006/main">
                        <a:graphicData uri="http://schemas.microsoft.com/office/word/2010/wordprocessingShape">
                          <wps:wsp>
                            <wps:cNvSpPr/>
                            <wps:spPr>
                              <a:xfrm>
                                <a:off x="1685925" y="2990850"/>
                                <a:ext cx="1056640" cy="253365"/>
                              </a:xfrm>
                              <a:prstGeom prst="wedgeRectCallout">
                                <a:avLst>
                                  <a:gd name="adj1" fmla="val 79897"/>
                                  <a:gd name="adj2" fmla="val 392784"/>
                                </a:avLst>
                              </a:prstGeom>
                              <a:no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240" w:lineRule="auto"/>
                                    <w:ind w:firstLine="0" w:firstLineChars="0"/>
                                    <w:jc w:val="center"/>
                                    <w:rPr>
                                      <w:rFonts w:ascii="黑体" w:hAnsi="黑体" w:eastAsia="黑体"/>
                                      <w:color w:val="FF00FF"/>
                                      <w:sz w:val="21"/>
                                    </w:rPr>
                                  </w:pPr>
                                  <w:r>
                                    <w:rPr>
                                      <w:rFonts w:hint="eastAsia" w:ascii="黑体" w:hAnsi="黑体" w:eastAsia="黑体"/>
                                      <w:color w:val="FF00FF"/>
                                      <w:sz w:val="21"/>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0.4pt;margin-top:84.4pt;height:19.95pt;width:83.2pt;z-index:251659264;v-text-anchor:middle;mso-width-relative:page;mso-height-relative:page;" filled="f" stroked="t" coordsize="21600,21600" o:gfxdata="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ugQNP2QAAAAoBAAAPAAAAAAAAAAEAIAAA&#10;ACIAAABkcnMvZG93bnJldi54bWxQSwECFAAUAAAACACHTuJARCpR97YCAABGBQAADgAAAAAAAAAB&#10;ACAAAAAoAQAAZHJzL2Uyb0RvYy54bWxQSwUGAAAAAAYABgBZAQAAUAYAAAAA&#10;" adj="28058,95641">
                      <v:fill on="f" focussize="0,0"/>
                      <v:stroke weight="1pt" color="#FF00FF [3204]" miterlimit="8" joinstyle="miter"/>
                      <v:imagedata o:title=""/>
                      <o:lock v:ext="edit" aspectratio="f"/>
                      <v:textbox>
                        <w:txbxContent>
                          <w:p>
                            <w:pPr>
                              <w:adjustRightInd w:val="0"/>
                              <w:snapToGrid w:val="0"/>
                              <w:spacing w:line="240" w:lineRule="auto"/>
                              <w:ind w:firstLine="0" w:firstLineChars="0"/>
                              <w:jc w:val="center"/>
                              <w:rPr>
                                <w:rFonts w:ascii="黑体" w:hAnsi="黑体" w:eastAsia="黑体"/>
                                <w:color w:val="FF00FF"/>
                                <w:sz w:val="21"/>
                              </w:rPr>
                            </w:pPr>
                            <w:r>
                              <w:rPr>
                                <w:rFonts w:hint="eastAsia" w:ascii="黑体" w:hAnsi="黑体" w:eastAsia="黑体"/>
                                <w:color w:val="FF00FF"/>
                                <w:sz w:val="21"/>
                              </w:rPr>
                              <w:t>本项目所在地</w:t>
                            </w:r>
                          </w:p>
                        </w:txbxContent>
                      </v:textbox>
                    </v:shape>
                  </w:pict>
                </mc:Fallback>
              </mc:AlternateContent>
            </w:r>
            <w:r>
              <w:drawing>
                <wp:inline distT="0" distB="0" distL="0" distR="0">
                  <wp:extent cx="5000625" cy="3542665"/>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 cstate="print">
                            <a:extLst>
                              <a:ext uri="{28A0092B-C50C-407E-A947-70E740481C1C}">
                                <a14:useLocalDpi xmlns:a14="http://schemas.microsoft.com/office/drawing/2010/main" val="0"/>
                              </a:ext>
                            </a:extLst>
                          </a:blip>
                          <a:srcRect l="2355" t="2951" r="2141" b="3834"/>
                          <a:stretch>
                            <a:fillRect/>
                          </a:stretch>
                        </pic:blipFill>
                        <pic:spPr>
                          <a:xfrm>
                            <a:off x="0" y="0"/>
                            <a:ext cx="5009571" cy="3549383"/>
                          </a:xfrm>
                          <a:prstGeom prst="rect">
                            <a:avLst/>
                          </a:prstGeom>
                          <a:noFill/>
                          <a:ln>
                            <a:noFill/>
                          </a:ln>
                        </pic:spPr>
                      </pic:pic>
                    </a:graphicData>
                  </a:graphic>
                </wp:inline>
              </w:drawing>
            </w:r>
          </w:p>
          <w:p>
            <w:pPr>
              <w:pStyle w:val="157"/>
              <w:rPr>
                <w:lang w:val="de-DE"/>
              </w:rPr>
            </w:pPr>
            <w:r>
              <w:rPr>
                <w:rFonts w:hint="eastAsia"/>
                <w:lang w:val="de-DE"/>
              </w:rPr>
              <w:t>图1</w:t>
            </w:r>
            <w:r>
              <w:rPr>
                <w:lang w:val="de-DE"/>
              </w:rPr>
              <w:t xml:space="preserve">-1  </w:t>
            </w:r>
            <w:r>
              <w:rPr>
                <w:rFonts w:hint="eastAsia"/>
                <w:lang w:val="de-DE"/>
              </w:rPr>
              <w:t>巴中市环境管控单元分布图</w:t>
            </w:r>
          </w:p>
          <w:p>
            <w:pPr>
              <w:ind w:firstLine="480"/>
              <w:rPr>
                <w:lang w:val="de-DE"/>
              </w:rPr>
            </w:pPr>
            <w:r>
              <w:rPr>
                <w:rFonts w:hint="eastAsia"/>
                <w:lang w:val="de-DE"/>
              </w:rPr>
              <w:t>对照</w:t>
            </w:r>
            <w:r>
              <w:rPr>
                <w:rFonts w:hint="eastAsia"/>
              </w:rPr>
              <w:t>巴中市</w:t>
            </w:r>
            <w:r>
              <w:rPr>
                <w:rFonts w:hint="eastAsia"/>
                <w:lang w:val="de-DE"/>
              </w:rPr>
              <w:t>生态环境管控要求，本项目与“</w:t>
            </w:r>
            <w:r>
              <w:rPr>
                <w:rFonts w:hint="eastAsia"/>
              </w:rPr>
              <w:t>巴府发〔2021〕5号</w:t>
            </w:r>
            <w:r>
              <w:rPr>
                <w:rFonts w:hint="eastAsia"/>
                <w:lang w:val="de-DE"/>
              </w:rPr>
              <w:t>”的相符性分析见下表：</w:t>
            </w:r>
          </w:p>
          <w:p>
            <w:pPr>
              <w:pStyle w:val="157"/>
              <w:rPr>
                <w:lang w:val="de-DE"/>
              </w:rPr>
            </w:pPr>
            <w:r>
              <w:rPr>
                <w:rFonts w:hint="eastAsia"/>
                <w:lang w:val="de-DE"/>
              </w:rPr>
              <w:t>表1-</w:t>
            </w:r>
            <w:r>
              <w:rPr>
                <w:lang w:val="de-DE"/>
              </w:rPr>
              <w:t xml:space="preserve">1  </w:t>
            </w:r>
            <w:r>
              <w:rPr>
                <w:rFonts w:hint="eastAsia"/>
                <w:lang w:val="de-DE"/>
              </w:rPr>
              <w:t>本项目与“</w:t>
            </w:r>
            <w:r>
              <w:rPr>
                <w:rFonts w:hint="eastAsia"/>
              </w:rPr>
              <w:t>巴府发〔2021〕5号</w:t>
            </w:r>
            <w:r>
              <w:rPr>
                <w:rFonts w:hint="eastAsia"/>
                <w:lang w:val="de-DE"/>
              </w:rPr>
              <w:t>”管控要求的符合性分析</w:t>
            </w:r>
          </w:p>
          <w:tbl>
            <w:tblPr>
              <w:tblStyle w:val="19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41"/>
              <w:gridCol w:w="4410"/>
              <w:gridCol w:w="2054"/>
              <w:gridCol w:w="6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70" w:type="pct"/>
                  <w:vAlign w:val="center"/>
                </w:tcPr>
                <w:p>
                  <w:pPr>
                    <w:pStyle w:val="136"/>
                    <w:adjustRightInd w:val="0"/>
                    <w:snapToGrid w:val="0"/>
                    <w:rPr>
                      <w:b/>
                      <w:bCs/>
                    </w:rPr>
                  </w:pPr>
                  <w:r>
                    <w:rPr>
                      <w:rFonts w:hint="eastAsia"/>
                      <w:b/>
                      <w:bCs/>
                    </w:rPr>
                    <w:t>区域</w:t>
                  </w:r>
                </w:p>
              </w:tc>
              <w:tc>
                <w:tcPr>
                  <w:tcW w:w="2798" w:type="pct"/>
                  <w:vAlign w:val="center"/>
                </w:tcPr>
                <w:p>
                  <w:pPr>
                    <w:pStyle w:val="136"/>
                    <w:adjustRightInd w:val="0"/>
                    <w:snapToGrid w:val="0"/>
                    <w:rPr>
                      <w:b/>
                      <w:bCs/>
                    </w:rPr>
                  </w:pPr>
                  <w:r>
                    <w:rPr>
                      <w:b/>
                      <w:bCs/>
                    </w:rPr>
                    <w:t>总体管控要求</w:t>
                  </w:r>
                </w:p>
              </w:tc>
              <w:tc>
                <w:tcPr>
                  <w:tcW w:w="1303" w:type="pct"/>
                  <w:vAlign w:val="center"/>
                </w:tcPr>
                <w:p>
                  <w:pPr>
                    <w:pStyle w:val="136"/>
                    <w:adjustRightInd w:val="0"/>
                    <w:snapToGrid w:val="0"/>
                    <w:rPr>
                      <w:b/>
                      <w:bCs/>
                    </w:rPr>
                  </w:pPr>
                  <w:r>
                    <w:rPr>
                      <w:b/>
                      <w:bCs/>
                    </w:rPr>
                    <w:t>本项目</w:t>
                  </w:r>
                </w:p>
              </w:tc>
              <w:tc>
                <w:tcPr>
                  <w:tcW w:w="429" w:type="pct"/>
                  <w:vAlign w:val="center"/>
                </w:tcPr>
                <w:p>
                  <w:pPr>
                    <w:pStyle w:val="136"/>
                    <w:adjustRightInd w:val="0"/>
                    <w:snapToGrid w:val="0"/>
                    <w:rPr>
                      <w:b/>
                      <w:bCs/>
                    </w:rPr>
                  </w:pPr>
                  <w:r>
                    <w:rPr>
                      <w:b/>
                      <w:bCs/>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470" w:type="pct"/>
                  <w:vMerge w:val="restart"/>
                  <w:vAlign w:val="center"/>
                </w:tcPr>
                <w:p>
                  <w:pPr>
                    <w:pStyle w:val="136"/>
                    <w:adjustRightInd w:val="0"/>
                    <w:snapToGrid w:val="0"/>
                  </w:pPr>
                  <w:r>
                    <w:t>巴中市</w:t>
                  </w:r>
                </w:p>
              </w:tc>
              <w:tc>
                <w:tcPr>
                  <w:tcW w:w="2798" w:type="pct"/>
                  <w:vAlign w:val="center"/>
                </w:tcPr>
                <w:p>
                  <w:pPr>
                    <w:pStyle w:val="136"/>
                    <w:adjustRightInd w:val="0"/>
                    <w:snapToGrid w:val="0"/>
                    <w:jc w:val="both"/>
                  </w:pPr>
                  <w:r>
                    <w:rPr>
                      <w:rFonts w:hint="eastAsia"/>
                    </w:rPr>
                    <w:t>培育和引入产业必须符合国家产业政策，严控新建、扩建“两高”项目，强化企业环境管理。</w:t>
                  </w:r>
                </w:p>
              </w:tc>
              <w:tc>
                <w:tcPr>
                  <w:tcW w:w="1303" w:type="pct"/>
                  <w:vMerge w:val="restart"/>
                  <w:vAlign w:val="center"/>
                </w:tcPr>
                <w:p>
                  <w:pPr>
                    <w:pStyle w:val="136"/>
                    <w:adjustRightInd w:val="0"/>
                    <w:snapToGrid w:val="0"/>
                  </w:pPr>
                  <w:r>
                    <w:rPr>
                      <w:rFonts w:hint="eastAsia"/>
                    </w:rPr>
                    <w:t>项目为环境监测实验室建设项目</w:t>
                  </w:r>
                  <w:r>
                    <w:t>，</w:t>
                  </w:r>
                  <w:r>
                    <w:rPr>
                      <w:rFonts w:hint="eastAsia"/>
                    </w:rPr>
                    <w:t>符合</w:t>
                  </w:r>
                  <w:r>
                    <w:t>国家产业政策</w:t>
                  </w:r>
                  <w:r>
                    <w:rPr>
                      <w:rFonts w:hint="eastAsia"/>
                    </w:rPr>
                    <w:t>，不属于“两高”项目</w:t>
                  </w:r>
                  <w:r>
                    <w:t>；废气、废水、噪声采取治理措施</w:t>
                  </w:r>
                  <w:r>
                    <w:rPr>
                      <w:rFonts w:hint="eastAsia"/>
                    </w:rPr>
                    <w:t>，</w:t>
                  </w:r>
                  <w:r>
                    <w:t>固废采取无害化处置措施，实现污染物达标排放，不会对环境造成不利影响。</w:t>
                  </w:r>
                </w:p>
              </w:tc>
              <w:tc>
                <w:tcPr>
                  <w:tcW w:w="429" w:type="pct"/>
                  <w:vMerge w:val="restart"/>
                  <w:vAlign w:val="center"/>
                </w:tcPr>
                <w:p>
                  <w:pPr>
                    <w:pStyle w:val="136"/>
                    <w:adjustRightInd w:val="0"/>
                    <w:snapToGrid w:val="0"/>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70" w:type="pct"/>
                  <w:vMerge w:val="continue"/>
                  <w:vAlign w:val="center"/>
                </w:tcPr>
                <w:p>
                  <w:pPr>
                    <w:pStyle w:val="136"/>
                    <w:adjustRightInd w:val="0"/>
                    <w:snapToGrid w:val="0"/>
                  </w:pPr>
                </w:p>
              </w:tc>
              <w:tc>
                <w:tcPr>
                  <w:tcW w:w="2798" w:type="pct"/>
                  <w:vAlign w:val="center"/>
                </w:tcPr>
                <w:p>
                  <w:pPr>
                    <w:pStyle w:val="136"/>
                    <w:adjustRightInd w:val="0"/>
                    <w:snapToGrid w:val="0"/>
                    <w:jc w:val="both"/>
                  </w:pPr>
                  <w:r>
                    <w:rPr>
                      <w:rFonts w:hint="eastAsia"/>
                    </w:rPr>
                    <w:t>强化水、大气、土壤等污染源头管控，深化环境污染治理，完善污染治理基础设施，巩固提升环境质量。</w:t>
                  </w:r>
                </w:p>
              </w:tc>
              <w:tc>
                <w:tcPr>
                  <w:tcW w:w="1303" w:type="pct"/>
                  <w:vMerge w:val="continue"/>
                  <w:vAlign w:val="center"/>
                </w:tcPr>
                <w:p>
                  <w:pPr>
                    <w:pStyle w:val="136"/>
                    <w:adjustRightInd w:val="0"/>
                    <w:snapToGrid w:val="0"/>
                  </w:pPr>
                </w:p>
              </w:tc>
              <w:tc>
                <w:tcPr>
                  <w:tcW w:w="429" w:type="pct"/>
                  <w:vMerge w:val="continue"/>
                  <w:vAlign w:val="center"/>
                </w:tcPr>
                <w:p>
                  <w:pPr>
                    <w:pStyle w:val="136"/>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70" w:type="pct"/>
                  <w:vMerge w:val="continue"/>
                  <w:vAlign w:val="center"/>
                </w:tcPr>
                <w:p>
                  <w:pPr>
                    <w:pStyle w:val="136"/>
                    <w:adjustRightInd w:val="0"/>
                    <w:snapToGrid w:val="0"/>
                  </w:pPr>
                </w:p>
              </w:tc>
              <w:tc>
                <w:tcPr>
                  <w:tcW w:w="2798" w:type="pct"/>
                  <w:vAlign w:val="center"/>
                </w:tcPr>
                <w:p>
                  <w:pPr>
                    <w:pStyle w:val="136"/>
                    <w:adjustRightInd w:val="0"/>
                    <w:snapToGrid w:val="0"/>
                    <w:jc w:val="both"/>
                  </w:pPr>
                  <w:r>
                    <w:rPr>
                      <w:rFonts w:hint="eastAsia"/>
                    </w:rPr>
                    <w:t>合理控制并优化生态环境敏感区内的旅游开发建设活动，合理开发利用水利资源，大力发展生态康养旅游产业。严格落实自然保护地、生态保护红线、集中式饮用水水源保护区等管控要求。</w:t>
                  </w:r>
                </w:p>
              </w:tc>
              <w:tc>
                <w:tcPr>
                  <w:tcW w:w="1303" w:type="pct"/>
                  <w:vMerge w:val="continue"/>
                  <w:vAlign w:val="center"/>
                </w:tcPr>
                <w:p>
                  <w:pPr>
                    <w:pStyle w:val="136"/>
                    <w:adjustRightInd w:val="0"/>
                    <w:snapToGrid w:val="0"/>
                  </w:pPr>
                </w:p>
              </w:tc>
              <w:tc>
                <w:tcPr>
                  <w:tcW w:w="429" w:type="pct"/>
                  <w:vMerge w:val="continue"/>
                  <w:vAlign w:val="center"/>
                </w:tcPr>
                <w:p>
                  <w:pPr>
                    <w:pStyle w:val="136"/>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70" w:type="pct"/>
                  <w:vMerge w:val="continue"/>
                  <w:vAlign w:val="center"/>
                </w:tcPr>
                <w:p>
                  <w:pPr>
                    <w:pStyle w:val="136"/>
                    <w:adjustRightInd w:val="0"/>
                    <w:snapToGrid w:val="0"/>
                  </w:pPr>
                </w:p>
              </w:tc>
              <w:tc>
                <w:tcPr>
                  <w:tcW w:w="2798" w:type="pct"/>
                  <w:vAlign w:val="center"/>
                </w:tcPr>
                <w:p>
                  <w:pPr>
                    <w:pStyle w:val="136"/>
                    <w:adjustRightInd w:val="0"/>
                    <w:snapToGrid w:val="0"/>
                    <w:jc w:val="both"/>
                  </w:pPr>
                  <w:r>
                    <w:rPr>
                      <w:rFonts w:hint="eastAsia"/>
                    </w:rPr>
                    <w:t>加强农村环境综合治理，积极发展生态农业和有机农业，严格控制化肥、农药、农膜使用量，合理布局畜禽养殖，持续推进畜禽粪污综合利用。</w:t>
                  </w:r>
                </w:p>
              </w:tc>
              <w:tc>
                <w:tcPr>
                  <w:tcW w:w="1303" w:type="pct"/>
                  <w:vMerge w:val="continue"/>
                  <w:vAlign w:val="center"/>
                </w:tcPr>
                <w:p>
                  <w:pPr>
                    <w:pStyle w:val="136"/>
                    <w:adjustRightInd w:val="0"/>
                    <w:snapToGrid w:val="0"/>
                  </w:pPr>
                </w:p>
              </w:tc>
              <w:tc>
                <w:tcPr>
                  <w:tcW w:w="429" w:type="pct"/>
                  <w:vMerge w:val="continue"/>
                  <w:vAlign w:val="center"/>
                </w:tcPr>
                <w:p>
                  <w:pPr>
                    <w:pStyle w:val="136"/>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70" w:type="pct"/>
                  <w:vMerge w:val="continue"/>
                  <w:vAlign w:val="center"/>
                </w:tcPr>
                <w:p>
                  <w:pPr>
                    <w:pStyle w:val="136"/>
                    <w:adjustRightInd w:val="0"/>
                    <w:snapToGrid w:val="0"/>
                  </w:pPr>
                </w:p>
              </w:tc>
              <w:tc>
                <w:tcPr>
                  <w:tcW w:w="2798" w:type="pct"/>
                  <w:vAlign w:val="center"/>
                </w:tcPr>
                <w:p>
                  <w:pPr>
                    <w:pStyle w:val="136"/>
                    <w:adjustRightInd w:val="0"/>
                    <w:snapToGrid w:val="0"/>
                    <w:jc w:val="both"/>
                  </w:pPr>
                  <w:r>
                    <w:rPr>
                      <w:rFonts w:hint="eastAsia"/>
                    </w:rPr>
                    <w:t>加强城乡集中式饮用水水源保护，确保饮用水水源安全。</w:t>
                  </w:r>
                </w:p>
              </w:tc>
              <w:tc>
                <w:tcPr>
                  <w:tcW w:w="1303" w:type="pct"/>
                  <w:vMerge w:val="continue"/>
                  <w:vAlign w:val="center"/>
                </w:tcPr>
                <w:p>
                  <w:pPr>
                    <w:pStyle w:val="136"/>
                    <w:adjustRightInd w:val="0"/>
                    <w:snapToGrid w:val="0"/>
                  </w:pPr>
                </w:p>
              </w:tc>
              <w:tc>
                <w:tcPr>
                  <w:tcW w:w="429" w:type="pct"/>
                  <w:vMerge w:val="continue"/>
                  <w:vAlign w:val="center"/>
                </w:tcPr>
                <w:p>
                  <w:pPr>
                    <w:pStyle w:val="136"/>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70" w:type="pct"/>
                  <w:vMerge w:val="continue"/>
                  <w:vAlign w:val="center"/>
                </w:tcPr>
                <w:p>
                  <w:pPr>
                    <w:pStyle w:val="136"/>
                    <w:adjustRightInd w:val="0"/>
                    <w:snapToGrid w:val="0"/>
                  </w:pPr>
                </w:p>
              </w:tc>
              <w:tc>
                <w:tcPr>
                  <w:tcW w:w="2798" w:type="pct"/>
                  <w:vAlign w:val="center"/>
                </w:tcPr>
                <w:p>
                  <w:pPr>
                    <w:pStyle w:val="136"/>
                    <w:adjustRightInd w:val="0"/>
                    <w:snapToGrid w:val="0"/>
                    <w:jc w:val="both"/>
                  </w:pPr>
                  <w:r>
                    <w:rPr>
                      <w:rFonts w:hint="eastAsia"/>
                    </w:rPr>
                    <w:t>加强与相邻省、市的环境风险联防联控。</w:t>
                  </w:r>
                </w:p>
              </w:tc>
              <w:tc>
                <w:tcPr>
                  <w:tcW w:w="1303" w:type="pct"/>
                  <w:vMerge w:val="continue"/>
                  <w:vAlign w:val="center"/>
                </w:tcPr>
                <w:p>
                  <w:pPr>
                    <w:pStyle w:val="136"/>
                    <w:adjustRightInd w:val="0"/>
                    <w:snapToGrid w:val="0"/>
                  </w:pPr>
                </w:p>
              </w:tc>
              <w:tc>
                <w:tcPr>
                  <w:tcW w:w="429" w:type="pct"/>
                  <w:vMerge w:val="continue"/>
                  <w:vAlign w:val="center"/>
                </w:tcPr>
                <w:p>
                  <w:pPr>
                    <w:pStyle w:val="136"/>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70" w:type="pct"/>
                  <w:vMerge w:val="restart"/>
                  <w:vAlign w:val="center"/>
                </w:tcPr>
                <w:p>
                  <w:pPr>
                    <w:pStyle w:val="136"/>
                    <w:adjustRightInd w:val="0"/>
                    <w:snapToGrid w:val="0"/>
                  </w:pPr>
                  <w:r>
                    <w:rPr>
                      <w:rFonts w:hint="eastAsia"/>
                    </w:rPr>
                    <w:t>巴州区</w:t>
                  </w:r>
                </w:p>
              </w:tc>
              <w:tc>
                <w:tcPr>
                  <w:tcW w:w="2798" w:type="pct"/>
                  <w:vAlign w:val="center"/>
                </w:tcPr>
                <w:p>
                  <w:pPr>
                    <w:pStyle w:val="136"/>
                    <w:adjustRightInd w:val="0"/>
                    <w:snapToGrid w:val="0"/>
                    <w:jc w:val="both"/>
                  </w:pPr>
                  <w:r>
                    <w:rPr>
                      <w:rFonts w:hint="eastAsia"/>
                    </w:rPr>
                    <w:t>加强流域水污染防治，推进流域水生态环境修复与治理</w:t>
                  </w:r>
                  <w:r>
                    <w:t>。</w:t>
                  </w:r>
                </w:p>
              </w:tc>
              <w:tc>
                <w:tcPr>
                  <w:tcW w:w="1303" w:type="pct"/>
                  <w:vMerge w:val="continue"/>
                  <w:vAlign w:val="center"/>
                </w:tcPr>
                <w:p>
                  <w:pPr>
                    <w:pStyle w:val="136"/>
                    <w:adjustRightInd w:val="0"/>
                    <w:snapToGrid w:val="0"/>
                  </w:pPr>
                </w:p>
              </w:tc>
              <w:tc>
                <w:tcPr>
                  <w:tcW w:w="429" w:type="pct"/>
                  <w:vMerge w:val="continue"/>
                  <w:vAlign w:val="center"/>
                </w:tcPr>
                <w:p>
                  <w:pPr>
                    <w:pStyle w:val="136"/>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470" w:type="pct"/>
                  <w:vMerge w:val="continue"/>
                  <w:vAlign w:val="center"/>
                </w:tcPr>
                <w:p>
                  <w:pPr>
                    <w:pStyle w:val="136"/>
                    <w:adjustRightInd w:val="0"/>
                    <w:snapToGrid w:val="0"/>
                  </w:pPr>
                </w:p>
              </w:tc>
              <w:tc>
                <w:tcPr>
                  <w:tcW w:w="2798" w:type="pct"/>
                  <w:vAlign w:val="center"/>
                </w:tcPr>
                <w:p>
                  <w:pPr>
                    <w:pStyle w:val="136"/>
                    <w:adjustRightInd w:val="0"/>
                    <w:snapToGrid w:val="0"/>
                    <w:jc w:val="both"/>
                  </w:pPr>
                  <w:r>
                    <w:rPr>
                      <w:rFonts w:hint="eastAsia"/>
                    </w:rPr>
                    <w:t>加强工业园区内和园区外企业污染排放监管，推进“散乱污”企业整治</w:t>
                  </w:r>
                  <w:r>
                    <w:t>。</w:t>
                  </w:r>
                </w:p>
              </w:tc>
              <w:tc>
                <w:tcPr>
                  <w:tcW w:w="1303" w:type="pct"/>
                  <w:vMerge w:val="continue"/>
                  <w:vAlign w:val="center"/>
                </w:tcPr>
                <w:p>
                  <w:pPr>
                    <w:pStyle w:val="136"/>
                    <w:adjustRightInd w:val="0"/>
                    <w:snapToGrid w:val="0"/>
                  </w:pPr>
                </w:p>
              </w:tc>
              <w:tc>
                <w:tcPr>
                  <w:tcW w:w="429" w:type="pct"/>
                  <w:vMerge w:val="continue"/>
                  <w:vAlign w:val="center"/>
                </w:tcPr>
                <w:p>
                  <w:pPr>
                    <w:pStyle w:val="136"/>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70" w:type="pct"/>
                  <w:vMerge w:val="continue"/>
                  <w:vAlign w:val="center"/>
                </w:tcPr>
                <w:p>
                  <w:pPr>
                    <w:pStyle w:val="136"/>
                    <w:adjustRightInd w:val="0"/>
                    <w:snapToGrid w:val="0"/>
                  </w:pPr>
                </w:p>
              </w:tc>
              <w:tc>
                <w:tcPr>
                  <w:tcW w:w="2798" w:type="pct"/>
                  <w:vAlign w:val="center"/>
                </w:tcPr>
                <w:p>
                  <w:pPr>
                    <w:pStyle w:val="136"/>
                    <w:adjustRightInd w:val="0"/>
                    <w:snapToGrid w:val="0"/>
                    <w:jc w:val="both"/>
                  </w:pPr>
                  <w:r>
                    <w:rPr>
                      <w:rFonts w:hint="eastAsia"/>
                    </w:rPr>
                    <w:t>强化扬尘源、燃烧源和移动源等大气污染防治。</w:t>
                  </w:r>
                </w:p>
              </w:tc>
              <w:tc>
                <w:tcPr>
                  <w:tcW w:w="1303" w:type="pct"/>
                  <w:vMerge w:val="continue"/>
                  <w:vAlign w:val="center"/>
                </w:tcPr>
                <w:p>
                  <w:pPr>
                    <w:pStyle w:val="136"/>
                    <w:adjustRightInd w:val="0"/>
                    <w:snapToGrid w:val="0"/>
                  </w:pPr>
                </w:p>
              </w:tc>
              <w:tc>
                <w:tcPr>
                  <w:tcW w:w="429" w:type="pct"/>
                  <w:vMerge w:val="continue"/>
                  <w:vAlign w:val="center"/>
                </w:tcPr>
                <w:p>
                  <w:pPr>
                    <w:pStyle w:val="136"/>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70" w:type="pct"/>
                  <w:vMerge w:val="continue"/>
                  <w:vAlign w:val="center"/>
                </w:tcPr>
                <w:p>
                  <w:pPr>
                    <w:pStyle w:val="136"/>
                    <w:adjustRightInd w:val="0"/>
                    <w:snapToGrid w:val="0"/>
                  </w:pPr>
                </w:p>
              </w:tc>
              <w:tc>
                <w:tcPr>
                  <w:tcW w:w="2798" w:type="pct"/>
                  <w:vAlign w:val="center"/>
                </w:tcPr>
                <w:p>
                  <w:pPr>
                    <w:pStyle w:val="136"/>
                    <w:adjustRightInd w:val="0"/>
                    <w:snapToGrid w:val="0"/>
                    <w:jc w:val="both"/>
                  </w:pPr>
                  <w:r>
                    <w:rPr>
                      <w:rFonts w:hint="eastAsia"/>
                    </w:rPr>
                    <w:t>强化建筑垃圾、生活垃圾、餐厨垃圾综合利用和无害化处置及危险废物环境风险管控。</w:t>
                  </w:r>
                </w:p>
              </w:tc>
              <w:tc>
                <w:tcPr>
                  <w:tcW w:w="1303" w:type="pct"/>
                  <w:vMerge w:val="continue"/>
                  <w:vAlign w:val="center"/>
                </w:tcPr>
                <w:p>
                  <w:pPr>
                    <w:pStyle w:val="136"/>
                    <w:adjustRightInd w:val="0"/>
                    <w:snapToGrid w:val="0"/>
                  </w:pPr>
                </w:p>
              </w:tc>
              <w:tc>
                <w:tcPr>
                  <w:tcW w:w="429" w:type="pct"/>
                  <w:vMerge w:val="continue"/>
                  <w:vAlign w:val="center"/>
                </w:tcPr>
                <w:p>
                  <w:pPr>
                    <w:pStyle w:val="136"/>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70" w:type="pct"/>
                  <w:vMerge w:val="continue"/>
                  <w:vAlign w:val="center"/>
                </w:tcPr>
                <w:p>
                  <w:pPr>
                    <w:pStyle w:val="136"/>
                    <w:adjustRightInd w:val="0"/>
                    <w:snapToGrid w:val="0"/>
                  </w:pPr>
                </w:p>
              </w:tc>
              <w:tc>
                <w:tcPr>
                  <w:tcW w:w="2798" w:type="pct"/>
                  <w:vAlign w:val="center"/>
                </w:tcPr>
                <w:p>
                  <w:pPr>
                    <w:pStyle w:val="136"/>
                    <w:adjustRightInd w:val="0"/>
                    <w:snapToGrid w:val="0"/>
                    <w:jc w:val="both"/>
                  </w:pPr>
                  <w:r>
                    <w:rPr>
                      <w:rFonts w:hint="eastAsia"/>
                    </w:rPr>
                    <w:t>加强城市精细化管理，提升市民对环境的幸福感、获得感。</w:t>
                  </w:r>
                </w:p>
              </w:tc>
              <w:tc>
                <w:tcPr>
                  <w:tcW w:w="1303" w:type="pct"/>
                  <w:vMerge w:val="continue"/>
                  <w:vAlign w:val="center"/>
                </w:tcPr>
                <w:p>
                  <w:pPr>
                    <w:pStyle w:val="136"/>
                    <w:adjustRightInd w:val="0"/>
                    <w:snapToGrid w:val="0"/>
                  </w:pPr>
                </w:p>
              </w:tc>
              <w:tc>
                <w:tcPr>
                  <w:tcW w:w="429" w:type="pct"/>
                  <w:vMerge w:val="continue"/>
                  <w:vAlign w:val="center"/>
                </w:tcPr>
                <w:p>
                  <w:pPr>
                    <w:pStyle w:val="136"/>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70" w:type="pct"/>
                  <w:vAlign w:val="center"/>
                </w:tcPr>
                <w:p>
                  <w:pPr>
                    <w:pStyle w:val="136"/>
                    <w:adjustRightInd w:val="0"/>
                    <w:snapToGrid w:val="0"/>
                  </w:pPr>
                  <w:r>
                    <w:rPr>
                      <w:rFonts w:hint="eastAsia"/>
                    </w:rPr>
                    <w:t>重点管控单元</w:t>
                  </w:r>
                </w:p>
              </w:tc>
              <w:tc>
                <w:tcPr>
                  <w:tcW w:w="2798" w:type="pct"/>
                  <w:vAlign w:val="center"/>
                </w:tcPr>
                <w:p>
                  <w:pPr>
                    <w:pStyle w:val="136"/>
                    <w:adjustRightInd w:val="0"/>
                    <w:snapToGrid w:val="0"/>
                    <w:jc w:val="both"/>
                  </w:pPr>
                  <w:r>
                    <w:t>重点管控单元中，应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r>
                    <w:rPr>
                      <w:rFonts w:hint="eastAsia"/>
                    </w:rPr>
                    <w:t>。</w:t>
                  </w:r>
                </w:p>
              </w:tc>
              <w:tc>
                <w:tcPr>
                  <w:tcW w:w="1303" w:type="pct"/>
                  <w:vAlign w:val="center"/>
                </w:tcPr>
                <w:p>
                  <w:pPr>
                    <w:pStyle w:val="136"/>
                    <w:adjustRightInd w:val="0"/>
                    <w:snapToGrid w:val="0"/>
                  </w:pPr>
                  <w:r>
                    <w:rPr>
                      <w:rFonts w:hint="eastAsia"/>
                    </w:rPr>
                    <w:t>本项目位于环境空气、水环境达标区域，项目污染物排放满足相应标准要求，并对项目特征污染物提出总量控制要求。</w:t>
                  </w:r>
                </w:p>
              </w:tc>
              <w:tc>
                <w:tcPr>
                  <w:tcW w:w="429" w:type="pct"/>
                  <w:vAlign w:val="center"/>
                </w:tcPr>
                <w:p>
                  <w:pPr>
                    <w:pStyle w:val="136"/>
                    <w:adjustRightInd w:val="0"/>
                    <w:snapToGrid w:val="0"/>
                  </w:pPr>
                  <w:r>
                    <w:rPr>
                      <w:rFonts w:hint="eastAsia"/>
                    </w:rPr>
                    <w:t>符合</w:t>
                  </w:r>
                </w:p>
              </w:tc>
            </w:tr>
          </w:tbl>
          <w:p>
            <w:pPr>
              <w:ind w:firstLine="480"/>
            </w:pPr>
            <w:r>
              <w:rPr>
                <w:rFonts w:hint="eastAsia"/>
                <w:lang w:val="de-DE"/>
              </w:rPr>
              <w:t>据分析，本项目符合巴中市、巴州区及重点管控单元相关生态管控要求。</w:t>
            </w:r>
          </w:p>
          <w:p>
            <w:pPr>
              <w:pStyle w:val="181"/>
            </w:pPr>
            <w:r>
              <mc:AlternateContent>
                <mc:Choice Requires="wps">
                  <w:drawing>
                    <wp:anchor distT="0" distB="0" distL="114300" distR="114300" simplePos="0" relativeHeight="251660288" behindDoc="0" locked="0" layoutInCell="1" allowOverlap="1">
                      <wp:simplePos x="0" y="0"/>
                      <wp:positionH relativeFrom="column">
                        <wp:posOffset>8890</wp:posOffset>
                      </wp:positionH>
                      <wp:positionV relativeFrom="paragraph">
                        <wp:posOffset>986790</wp:posOffset>
                      </wp:positionV>
                      <wp:extent cx="1056640" cy="253365"/>
                      <wp:effectExtent l="0" t="0" r="353060" b="737235"/>
                      <wp:wrapNone/>
                      <wp:docPr id="8" name="矩形标注 2"/>
                      <wp:cNvGraphicFramePr/>
                      <a:graphic xmlns:a="http://schemas.openxmlformats.org/drawingml/2006/main">
                        <a:graphicData uri="http://schemas.microsoft.com/office/word/2010/wordprocessingShape">
                          <wps:wsp>
                            <wps:cNvSpPr/>
                            <wps:spPr>
                              <a:xfrm>
                                <a:off x="1433090" y="7332853"/>
                                <a:ext cx="1056640" cy="253365"/>
                              </a:xfrm>
                              <a:prstGeom prst="wedgeRectCallout">
                                <a:avLst>
                                  <a:gd name="adj1" fmla="val 78251"/>
                                  <a:gd name="adj2" fmla="val 325376"/>
                                </a:avLst>
                              </a:prstGeom>
                              <a:no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240" w:lineRule="auto"/>
                                    <w:ind w:firstLine="0" w:firstLineChars="0"/>
                                    <w:jc w:val="center"/>
                                    <w:rPr>
                                      <w:rFonts w:ascii="黑体" w:hAnsi="黑体" w:eastAsia="黑体"/>
                                      <w:color w:val="FF00FF"/>
                                      <w:sz w:val="21"/>
                                    </w:rPr>
                                  </w:pPr>
                                  <w:r>
                                    <w:rPr>
                                      <w:rFonts w:hint="eastAsia" w:ascii="黑体" w:hAnsi="黑体" w:eastAsia="黑体"/>
                                      <w:color w:val="FF00FF"/>
                                      <w:sz w:val="21"/>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2" o:spid="_x0000_s1026" o:spt="61" type="#_x0000_t61" style="position:absolute;left:0pt;margin-left:0.7pt;margin-top:77.7pt;height:19.95pt;width:83.2pt;z-index:251660288;v-text-anchor:middle;mso-width-relative:page;mso-height-relative:page;" filled="f" stroked="t" coordsize="21600,21600" o:gfxdata="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Osz9xzTAAAACQEAAA8AAAAAAAAAAQAgAAAAIgAAAGRy&#10;cy9kb3ducmV2LnhtbFBLAQIUABQAAAAIAIdO4kB86p4MtQIAAEYFAAAOAAAAAAAAAAEAIAAAACIB&#10;AABkcnMvZTJvRG9jLnhtbFBLBQYAAAAABgAGAFkBAABJBgAAAAA=&#10;" adj="27702,81081">
                      <v:fill on="f" focussize="0,0"/>
                      <v:stroke weight="1pt" color="#FF00FF [3204]" miterlimit="8" joinstyle="miter"/>
                      <v:imagedata o:title=""/>
                      <o:lock v:ext="edit" aspectratio="f"/>
                      <v:textbox>
                        <w:txbxContent>
                          <w:p>
                            <w:pPr>
                              <w:adjustRightInd w:val="0"/>
                              <w:snapToGrid w:val="0"/>
                              <w:spacing w:line="240" w:lineRule="auto"/>
                              <w:ind w:firstLine="0" w:firstLineChars="0"/>
                              <w:jc w:val="center"/>
                              <w:rPr>
                                <w:rFonts w:ascii="黑体" w:hAnsi="黑体" w:eastAsia="黑体"/>
                                <w:color w:val="FF00FF"/>
                                <w:sz w:val="21"/>
                              </w:rPr>
                            </w:pPr>
                            <w:r>
                              <w:rPr>
                                <w:rFonts w:hint="eastAsia" w:ascii="黑体" w:hAnsi="黑体" w:eastAsia="黑体"/>
                                <w:color w:val="FF00FF"/>
                                <w:sz w:val="21"/>
                              </w:rPr>
                              <w:t>本项目所在地</w:t>
                            </w:r>
                          </w:p>
                        </w:txbxContent>
                      </v:textbox>
                    </v:shape>
                  </w:pict>
                </mc:Fallback>
              </mc:AlternateContent>
            </w:r>
            <w:r>
              <w:rPr>
                <w:rFonts w:hint="eastAsia"/>
              </w:rPr>
              <w:drawing>
                <wp:inline distT="0" distB="0" distL="114300" distR="114300">
                  <wp:extent cx="5000625" cy="3257550"/>
                  <wp:effectExtent l="0" t="0" r="0" b="0"/>
                  <wp:docPr id="3" name="图片 8" descr="生态保护红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生态保护红线"/>
                          <pic:cNvPicPr>
                            <a:picLocks noChangeAspect="1"/>
                          </pic:cNvPicPr>
                        </pic:nvPicPr>
                        <pic:blipFill>
                          <a:blip r:embed="rId16"/>
                          <a:srcRect t="650" r="899"/>
                          <a:stretch>
                            <a:fillRect/>
                          </a:stretch>
                        </pic:blipFill>
                        <pic:spPr>
                          <a:xfrm>
                            <a:off x="0" y="0"/>
                            <a:ext cx="5004702" cy="3260259"/>
                          </a:xfrm>
                          <a:prstGeom prst="rect">
                            <a:avLst/>
                          </a:prstGeom>
                          <a:noFill/>
                          <a:ln>
                            <a:noFill/>
                          </a:ln>
                        </pic:spPr>
                      </pic:pic>
                    </a:graphicData>
                  </a:graphic>
                </wp:inline>
              </w:drawing>
            </w:r>
          </w:p>
          <w:p>
            <w:pPr>
              <w:pStyle w:val="157"/>
              <w:rPr>
                <w:lang w:val="de-DE"/>
              </w:rPr>
            </w:pPr>
            <w:r>
              <w:rPr>
                <w:rFonts w:hint="eastAsia"/>
                <w:lang w:val="de-DE"/>
              </w:rPr>
              <w:t>图1-</w:t>
            </w:r>
            <w:r>
              <w:rPr>
                <w:lang w:val="de-DE"/>
              </w:rPr>
              <w:t xml:space="preserve">2  </w:t>
            </w:r>
            <w:r>
              <w:rPr>
                <w:rFonts w:hint="eastAsia"/>
                <w:lang w:val="de-DE"/>
              </w:rPr>
              <w:t>本项目与巴中市生态保护红线位置关系图</w:t>
            </w:r>
          </w:p>
          <w:p>
            <w:pPr>
              <w:ind w:firstLine="480"/>
              <w:rPr>
                <w:lang w:val="de-DE"/>
              </w:rPr>
            </w:pPr>
            <w:r>
              <w:rPr>
                <w:rFonts w:hint="eastAsia"/>
                <w:lang w:val="de-DE"/>
              </w:rPr>
              <w:t>对照</w:t>
            </w:r>
            <w:r>
              <w:rPr>
                <w:rFonts w:hint="eastAsia"/>
              </w:rPr>
              <w:t>巴中市</w:t>
            </w:r>
            <w:r>
              <w:rPr>
                <w:rFonts w:hint="eastAsia"/>
                <w:lang w:val="de-DE"/>
              </w:rPr>
              <w:t>生态保护红线分布图，本项目不涉及</w:t>
            </w:r>
            <w:r>
              <w:rPr>
                <w:rFonts w:hint="eastAsia"/>
              </w:rPr>
              <w:t>巴中市</w:t>
            </w:r>
            <w:r>
              <w:rPr>
                <w:rFonts w:hint="eastAsia"/>
                <w:lang w:val="de-DE"/>
              </w:rPr>
              <w:t>生态保护红线。</w:t>
            </w:r>
          </w:p>
          <w:p>
            <w:pPr>
              <w:ind w:firstLine="480"/>
            </w:pPr>
            <w:r>
              <w:rPr>
                <w:rFonts w:hint="eastAsia"/>
              </w:rPr>
              <w:t>（2）项目与区域“三线一单”管控要求符合性分析</w:t>
            </w:r>
          </w:p>
          <w:p>
            <w:pPr>
              <w:ind w:firstLine="480"/>
            </w:pPr>
            <w:r>
              <w:rPr>
                <w:rFonts w:hint="eastAsia"/>
              </w:rPr>
              <w:t>2021年9月，生态环境厅组织开发的四川省“三线一单”数据分析系统和“三线一单”符合性分析系统在四川政务服务网上线运行，面向公众开放。为调查项目所在管控单元，本次评价在四川政务服务网—四川省生态环境厅“三线一单”应用平台进行了线上查询。</w:t>
            </w:r>
          </w:p>
          <w:p>
            <w:pPr>
              <w:ind w:firstLine="480"/>
            </w:pPr>
            <w:r>
              <w:rPr>
                <w:rFonts w:hint="eastAsia"/>
              </w:rPr>
              <w:t>根据查询结果，本项目</w:t>
            </w:r>
            <w:r>
              <w:t>位于巴中市巴州区环境综合管控单元要素重点管控单元（管控单元名称：巴州区要素重点管控单元，管控单元编号：ZH51190220007）</w:t>
            </w:r>
            <w:r>
              <w:rPr>
                <w:rFonts w:hint="eastAsia"/>
              </w:rPr>
              <w:t>。</w:t>
            </w:r>
            <w:r>
              <w:t>项目与管控单元相对位置如下图所示：（图中</w:t>
            </w:r>
            <w:r>
              <w:rPr>
                <w:color w:val="00FFFF"/>
              </w:rPr>
              <w:t>▼</w:t>
            </w:r>
            <w:r>
              <w:t>表示项目位置）</w:t>
            </w:r>
          </w:p>
          <w:p>
            <w:pPr>
              <w:pStyle w:val="181"/>
            </w:pPr>
            <w:r>
              <w:rPr>
                <w:rFonts w:ascii="Helvetica" w:hAnsi="Helvetica" w:cs="Helvetica"/>
                <w:sz w:val="28"/>
                <w:szCs w:val="28"/>
              </w:rPr>
              <w:drawing>
                <wp:inline distT="0" distB="0" distL="0" distR="0">
                  <wp:extent cx="5000625" cy="30003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000625" cy="3000375"/>
                          </a:xfrm>
                          <a:prstGeom prst="rect">
                            <a:avLst/>
                          </a:prstGeom>
                          <a:noFill/>
                          <a:ln>
                            <a:noFill/>
                          </a:ln>
                        </pic:spPr>
                      </pic:pic>
                    </a:graphicData>
                  </a:graphic>
                </wp:inline>
              </w:drawing>
            </w:r>
          </w:p>
          <w:p>
            <w:pPr>
              <w:pStyle w:val="136"/>
              <w:rPr>
                <w:lang w:val="de-DE"/>
              </w:rPr>
            </w:pPr>
            <w:r>
              <w:rPr>
                <w:rFonts w:hint="eastAsia"/>
                <w:lang w:val="de-DE"/>
              </w:rPr>
              <w:t>图1-</w:t>
            </w:r>
            <w:r>
              <w:rPr>
                <w:lang w:val="de-DE"/>
              </w:rPr>
              <w:t>3</w:t>
            </w:r>
            <w:r>
              <w:rPr>
                <w:rFonts w:hint="eastAsia"/>
                <w:lang w:val="de-DE"/>
              </w:rPr>
              <w:t xml:space="preserve">  </w:t>
            </w:r>
            <w:r>
              <w:rPr>
                <w:lang w:val="de-DE"/>
              </w:rPr>
              <w:t>项目与</w:t>
            </w:r>
            <w:r>
              <w:rPr>
                <w:rFonts w:hint="eastAsia"/>
                <w:lang w:val="de-DE"/>
              </w:rPr>
              <w:t>管控单元相对位置</w:t>
            </w:r>
            <w:r>
              <w:rPr>
                <w:lang w:val="de-DE"/>
              </w:rPr>
              <w:t>关系图</w:t>
            </w:r>
          </w:p>
          <w:p>
            <w:pPr>
              <w:pStyle w:val="181"/>
            </w:pPr>
            <w:r>
              <w:drawing>
                <wp:inline distT="0" distB="0" distL="0" distR="0">
                  <wp:extent cx="5004435" cy="3533775"/>
                  <wp:effectExtent l="0" t="0" r="571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5004435" cy="3533775"/>
                          </a:xfrm>
                          <a:prstGeom prst="rect">
                            <a:avLst/>
                          </a:prstGeom>
                        </pic:spPr>
                      </pic:pic>
                    </a:graphicData>
                  </a:graphic>
                </wp:inline>
              </w:drawing>
            </w:r>
          </w:p>
          <w:p>
            <w:pPr>
              <w:pStyle w:val="157"/>
            </w:pPr>
            <w:r>
              <w:rPr>
                <w:rFonts w:hint="eastAsia"/>
              </w:rPr>
              <w:t>图1-</w:t>
            </w:r>
            <w:r>
              <w:t xml:space="preserve">4  </w:t>
            </w:r>
            <w:r>
              <w:rPr>
                <w:rFonts w:hint="eastAsia"/>
              </w:rPr>
              <w:t>“三线一单”符合性分析查询结果图</w:t>
            </w:r>
          </w:p>
          <w:p>
            <w:pPr>
              <w:ind w:firstLine="480"/>
            </w:pPr>
            <w:r>
              <w:rPr>
                <w:rFonts w:hint="eastAsia"/>
              </w:rPr>
              <w:t>根据查询结果，本项目涉及的环境管控单元情况如下所示：</w:t>
            </w:r>
          </w:p>
          <w:p>
            <w:pPr>
              <w:pStyle w:val="157"/>
              <w:keepNext/>
            </w:pPr>
            <w:r>
              <w:rPr>
                <w:rFonts w:hint="eastAsia"/>
              </w:rPr>
              <w:t>表1</w:t>
            </w:r>
            <w:r>
              <w:t xml:space="preserve">-2  </w:t>
            </w:r>
            <w:r>
              <w:rPr>
                <w:rFonts w:hint="eastAsia"/>
              </w:rPr>
              <w:t>项目涉及到的环境管控单元情况一览表</w:t>
            </w:r>
          </w:p>
          <w:tbl>
            <w:tblPr>
              <w:tblStyle w:val="19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630"/>
              <w:gridCol w:w="1791"/>
              <w:gridCol w:w="859"/>
              <w:gridCol w:w="865"/>
              <w:gridCol w:w="1081"/>
              <w:gridCol w:w="16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blHeader/>
              </w:trPr>
              <w:tc>
                <w:tcPr>
                  <w:tcW w:w="1034" w:type="pct"/>
                  <w:vAlign w:val="center"/>
                </w:tcPr>
                <w:p>
                  <w:pPr>
                    <w:pStyle w:val="136"/>
                    <w:adjustRightInd w:val="0"/>
                    <w:snapToGrid w:val="0"/>
                    <w:rPr>
                      <w:b/>
                      <w:bCs/>
                    </w:rPr>
                  </w:pPr>
                  <w:r>
                    <w:rPr>
                      <w:rFonts w:hint="eastAsia"/>
                      <w:b/>
                      <w:bCs/>
                    </w:rPr>
                    <w:t>环境管控单元编码</w:t>
                  </w:r>
                </w:p>
              </w:tc>
              <w:tc>
                <w:tcPr>
                  <w:tcW w:w="1136" w:type="pct"/>
                  <w:vAlign w:val="center"/>
                </w:tcPr>
                <w:p>
                  <w:pPr>
                    <w:pStyle w:val="136"/>
                    <w:adjustRightInd w:val="0"/>
                    <w:snapToGrid w:val="0"/>
                    <w:rPr>
                      <w:b/>
                      <w:bCs/>
                    </w:rPr>
                  </w:pPr>
                  <w:r>
                    <w:rPr>
                      <w:rFonts w:hint="eastAsia"/>
                      <w:b/>
                      <w:bCs/>
                    </w:rPr>
                    <w:t>环境管控单元名称</w:t>
                  </w:r>
                </w:p>
              </w:tc>
              <w:tc>
                <w:tcPr>
                  <w:tcW w:w="545" w:type="pct"/>
                  <w:vAlign w:val="center"/>
                </w:tcPr>
                <w:p>
                  <w:pPr>
                    <w:pStyle w:val="136"/>
                    <w:adjustRightInd w:val="0"/>
                    <w:snapToGrid w:val="0"/>
                    <w:rPr>
                      <w:b/>
                      <w:bCs/>
                    </w:rPr>
                  </w:pPr>
                  <w:r>
                    <w:rPr>
                      <w:rFonts w:hint="eastAsia"/>
                      <w:b/>
                      <w:bCs/>
                    </w:rPr>
                    <w:t>所属市（州）</w:t>
                  </w:r>
                </w:p>
              </w:tc>
              <w:tc>
                <w:tcPr>
                  <w:tcW w:w="549" w:type="pct"/>
                  <w:vAlign w:val="center"/>
                </w:tcPr>
                <w:p>
                  <w:pPr>
                    <w:pStyle w:val="136"/>
                    <w:adjustRightInd w:val="0"/>
                    <w:snapToGrid w:val="0"/>
                    <w:rPr>
                      <w:b/>
                      <w:bCs/>
                    </w:rPr>
                  </w:pPr>
                  <w:r>
                    <w:rPr>
                      <w:rFonts w:hint="eastAsia"/>
                      <w:b/>
                      <w:bCs/>
                    </w:rPr>
                    <w:t>所属区县</w:t>
                  </w:r>
                </w:p>
              </w:tc>
              <w:tc>
                <w:tcPr>
                  <w:tcW w:w="686" w:type="pct"/>
                  <w:vAlign w:val="center"/>
                </w:tcPr>
                <w:p>
                  <w:pPr>
                    <w:pStyle w:val="136"/>
                    <w:adjustRightInd w:val="0"/>
                    <w:snapToGrid w:val="0"/>
                    <w:rPr>
                      <w:b/>
                      <w:bCs/>
                    </w:rPr>
                  </w:pPr>
                  <w:r>
                    <w:rPr>
                      <w:rFonts w:hint="eastAsia"/>
                      <w:b/>
                      <w:bCs/>
                    </w:rPr>
                    <w:t>准入清单类型</w:t>
                  </w:r>
                </w:p>
              </w:tc>
              <w:tc>
                <w:tcPr>
                  <w:tcW w:w="1050" w:type="pct"/>
                  <w:vAlign w:val="center"/>
                </w:tcPr>
                <w:p>
                  <w:pPr>
                    <w:pStyle w:val="136"/>
                    <w:adjustRightInd w:val="0"/>
                    <w:snapToGrid w:val="0"/>
                    <w:rPr>
                      <w:b/>
                      <w:bCs/>
                    </w:rPr>
                  </w:pPr>
                  <w:r>
                    <w:rPr>
                      <w:rFonts w:hint="eastAsia"/>
                      <w:b/>
                      <w:bCs/>
                    </w:rPr>
                    <w:t>管控类型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034" w:type="pct"/>
                  <w:vAlign w:val="center"/>
                </w:tcPr>
                <w:p>
                  <w:pPr>
                    <w:pStyle w:val="136"/>
                    <w:adjustRightInd w:val="0"/>
                    <w:snapToGrid w:val="0"/>
                  </w:pPr>
                  <w:r>
                    <w:rPr>
                      <w:rFonts w:hint="eastAsia"/>
                    </w:rPr>
                    <w:t>ZH51190220007</w:t>
                  </w:r>
                </w:p>
              </w:tc>
              <w:tc>
                <w:tcPr>
                  <w:tcW w:w="1136" w:type="pct"/>
                  <w:vAlign w:val="center"/>
                </w:tcPr>
                <w:p>
                  <w:pPr>
                    <w:pStyle w:val="136"/>
                    <w:adjustRightInd w:val="0"/>
                    <w:snapToGrid w:val="0"/>
                  </w:pPr>
                  <w:r>
                    <w:rPr>
                      <w:rFonts w:hint="eastAsia"/>
                    </w:rPr>
                    <w:t>巴州区要素重点管控单元</w:t>
                  </w:r>
                </w:p>
              </w:tc>
              <w:tc>
                <w:tcPr>
                  <w:tcW w:w="545" w:type="pct"/>
                  <w:vAlign w:val="center"/>
                </w:tcPr>
                <w:p>
                  <w:pPr>
                    <w:pStyle w:val="136"/>
                    <w:adjustRightInd w:val="0"/>
                    <w:snapToGrid w:val="0"/>
                  </w:pPr>
                  <w:r>
                    <w:rPr>
                      <w:rFonts w:hint="eastAsia"/>
                    </w:rPr>
                    <w:t>巴中市</w:t>
                  </w:r>
                </w:p>
              </w:tc>
              <w:tc>
                <w:tcPr>
                  <w:tcW w:w="549" w:type="pct"/>
                  <w:vAlign w:val="center"/>
                </w:tcPr>
                <w:p>
                  <w:pPr>
                    <w:pStyle w:val="136"/>
                    <w:adjustRightInd w:val="0"/>
                    <w:snapToGrid w:val="0"/>
                  </w:pPr>
                  <w:r>
                    <w:rPr>
                      <w:rFonts w:hint="eastAsia"/>
                    </w:rPr>
                    <w:t>巴州区</w:t>
                  </w:r>
                </w:p>
              </w:tc>
              <w:tc>
                <w:tcPr>
                  <w:tcW w:w="686" w:type="pct"/>
                  <w:vAlign w:val="center"/>
                </w:tcPr>
                <w:p>
                  <w:pPr>
                    <w:pStyle w:val="136"/>
                    <w:adjustRightInd w:val="0"/>
                    <w:snapToGrid w:val="0"/>
                  </w:pPr>
                  <w:r>
                    <w:rPr>
                      <w:rFonts w:hint="eastAsia"/>
                    </w:rPr>
                    <w:t>环境综合</w:t>
                  </w:r>
                </w:p>
              </w:tc>
              <w:tc>
                <w:tcPr>
                  <w:tcW w:w="1050" w:type="pct"/>
                  <w:vAlign w:val="center"/>
                </w:tcPr>
                <w:p>
                  <w:pPr>
                    <w:pStyle w:val="136"/>
                    <w:adjustRightInd w:val="0"/>
                    <w:snapToGrid w:val="0"/>
                  </w:pPr>
                  <w:r>
                    <w:rPr>
                      <w:rFonts w:hint="eastAsia"/>
                    </w:rPr>
                    <w:t>环境综合管控单元要素重点管控单元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034" w:type="pct"/>
                  <w:vAlign w:val="center"/>
                </w:tcPr>
                <w:p>
                  <w:pPr>
                    <w:pStyle w:val="136"/>
                    <w:adjustRightInd w:val="0"/>
                    <w:snapToGrid w:val="0"/>
                  </w:pPr>
                  <w:r>
                    <w:rPr>
                      <w:rFonts w:hint="eastAsia"/>
                    </w:rPr>
                    <w:t>YS5119023210002</w:t>
                  </w:r>
                </w:p>
              </w:tc>
              <w:tc>
                <w:tcPr>
                  <w:tcW w:w="1136" w:type="pct"/>
                  <w:vAlign w:val="center"/>
                </w:tcPr>
                <w:p>
                  <w:pPr>
                    <w:pStyle w:val="136"/>
                    <w:adjustRightInd w:val="0"/>
                    <w:snapToGrid w:val="0"/>
                  </w:pPr>
                  <w:r>
                    <w:rPr>
                      <w:rFonts w:hint="eastAsia"/>
                    </w:rPr>
                    <w:t>巴河（金碑）-巴州区-控制单元</w:t>
                  </w:r>
                </w:p>
              </w:tc>
              <w:tc>
                <w:tcPr>
                  <w:tcW w:w="545" w:type="pct"/>
                  <w:vAlign w:val="center"/>
                </w:tcPr>
                <w:p>
                  <w:pPr>
                    <w:pStyle w:val="136"/>
                    <w:adjustRightInd w:val="0"/>
                    <w:snapToGrid w:val="0"/>
                  </w:pPr>
                  <w:r>
                    <w:rPr>
                      <w:rFonts w:hint="eastAsia"/>
                    </w:rPr>
                    <w:t>巴中市</w:t>
                  </w:r>
                </w:p>
              </w:tc>
              <w:tc>
                <w:tcPr>
                  <w:tcW w:w="549" w:type="pct"/>
                  <w:vAlign w:val="center"/>
                </w:tcPr>
                <w:p>
                  <w:pPr>
                    <w:pStyle w:val="136"/>
                    <w:adjustRightInd w:val="0"/>
                    <w:snapToGrid w:val="0"/>
                  </w:pPr>
                  <w:r>
                    <w:rPr>
                      <w:rFonts w:hint="eastAsia"/>
                    </w:rPr>
                    <w:t>巴州区</w:t>
                  </w:r>
                </w:p>
              </w:tc>
              <w:tc>
                <w:tcPr>
                  <w:tcW w:w="686" w:type="pct"/>
                  <w:vAlign w:val="center"/>
                </w:tcPr>
                <w:p>
                  <w:pPr>
                    <w:pStyle w:val="136"/>
                    <w:adjustRightInd w:val="0"/>
                    <w:snapToGrid w:val="0"/>
                  </w:pPr>
                  <w:r>
                    <w:rPr>
                      <w:rFonts w:hint="eastAsia"/>
                    </w:rPr>
                    <w:t>水环境分区</w:t>
                  </w:r>
                </w:p>
              </w:tc>
              <w:tc>
                <w:tcPr>
                  <w:tcW w:w="1050" w:type="pct"/>
                  <w:vAlign w:val="center"/>
                </w:tcPr>
                <w:p>
                  <w:pPr>
                    <w:pStyle w:val="136"/>
                    <w:adjustRightInd w:val="0"/>
                    <w:snapToGrid w:val="0"/>
                  </w:pPr>
                  <w:r>
                    <w:rPr>
                      <w:rFonts w:hint="eastAsia"/>
                    </w:rPr>
                    <w:t>水环境一般管控区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034" w:type="pct"/>
                  <w:vAlign w:val="center"/>
                </w:tcPr>
                <w:p>
                  <w:pPr>
                    <w:pStyle w:val="136"/>
                    <w:adjustRightInd w:val="0"/>
                    <w:snapToGrid w:val="0"/>
                  </w:pPr>
                  <w:r>
                    <w:rPr>
                      <w:rFonts w:hint="eastAsia"/>
                    </w:rPr>
                    <w:t>YS5119022320001</w:t>
                  </w:r>
                </w:p>
              </w:tc>
              <w:tc>
                <w:tcPr>
                  <w:tcW w:w="1136" w:type="pct"/>
                  <w:vAlign w:val="center"/>
                </w:tcPr>
                <w:p>
                  <w:pPr>
                    <w:pStyle w:val="136"/>
                    <w:adjustRightInd w:val="0"/>
                    <w:snapToGrid w:val="0"/>
                  </w:pPr>
                  <w:r>
                    <w:rPr>
                      <w:rFonts w:hint="eastAsia"/>
                    </w:rPr>
                    <w:t>巴州区大气环境布局敏感重点管控区</w:t>
                  </w:r>
                </w:p>
              </w:tc>
              <w:tc>
                <w:tcPr>
                  <w:tcW w:w="545" w:type="pct"/>
                  <w:vAlign w:val="center"/>
                </w:tcPr>
                <w:p>
                  <w:pPr>
                    <w:pStyle w:val="136"/>
                    <w:adjustRightInd w:val="0"/>
                    <w:snapToGrid w:val="0"/>
                  </w:pPr>
                  <w:r>
                    <w:rPr>
                      <w:rFonts w:hint="eastAsia"/>
                    </w:rPr>
                    <w:t>巴中市</w:t>
                  </w:r>
                </w:p>
              </w:tc>
              <w:tc>
                <w:tcPr>
                  <w:tcW w:w="549" w:type="pct"/>
                  <w:vAlign w:val="center"/>
                </w:tcPr>
                <w:p>
                  <w:pPr>
                    <w:pStyle w:val="136"/>
                    <w:adjustRightInd w:val="0"/>
                    <w:snapToGrid w:val="0"/>
                  </w:pPr>
                  <w:r>
                    <w:rPr>
                      <w:rFonts w:hint="eastAsia"/>
                    </w:rPr>
                    <w:t>巴州区</w:t>
                  </w:r>
                </w:p>
              </w:tc>
              <w:tc>
                <w:tcPr>
                  <w:tcW w:w="686" w:type="pct"/>
                  <w:vAlign w:val="center"/>
                </w:tcPr>
                <w:p>
                  <w:pPr>
                    <w:pStyle w:val="136"/>
                    <w:adjustRightInd w:val="0"/>
                    <w:snapToGrid w:val="0"/>
                  </w:pPr>
                  <w:r>
                    <w:rPr>
                      <w:rFonts w:hint="eastAsia"/>
                    </w:rPr>
                    <w:t>大气环境分区</w:t>
                  </w:r>
                </w:p>
              </w:tc>
              <w:tc>
                <w:tcPr>
                  <w:tcW w:w="1050" w:type="pct"/>
                  <w:vAlign w:val="center"/>
                </w:tcPr>
                <w:p>
                  <w:pPr>
                    <w:pStyle w:val="136"/>
                    <w:adjustRightInd w:val="0"/>
                    <w:snapToGrid w:val="0"/>
                  </w:pPr>
                  <w:r>
                    <w:rPr>
                      <w:rFonts w:hint="eastAsia"/>
                    </w:rPr>
                    <w:t>大气环境布局敏感重点管控区</w:t>
                  </w:r>
                </w:p>
              </w:tc>
            </w:tr>
          </w:tbl>
          <w:p>
            <w:pPr>
              <w:ind w:firstLine="480"/>
              <w:rPr>
                <w:lang w:val="de-DE"/>
              </w:rPr>
            </w:pPr>
            <w:r>
              <w:rPr>
                <w:rFonts w:hint="eastAsia"/>
                <w:lang w:val="de-DE"/>
              </w:rPr>
              <w:t>对照环境管控单元相关管控要求，本项目与其符合性分析如下：</w:t>
            </w:r>
          </w:p>
        </w:tc>
      </w:tr>
    </w:tbl>
    <w:p>
      <w:pPr>
        <w:ind w:firstLine="480"/>
        <w:sectPr>
          <w:headerReference r:id="rId11" w:type="default"/>
          <w:footerReference r:id="rId12" w:type="default"/>
          <w:pgSz w:w="11906" w:h="16838"/>
          <w:pgMar w:top="1440" w:right="1797" w:bottom="1440" w:left="1797" w:header="851" w:footer="958" w:gutter="0"/>
          <w:pgNumType w:fmt="numberInDash" w:start="1"/>
          <w:cols w:space="720" w:num="1"/>
          <w:docGrid w:linePitch="312" w:charSpace="0"/>
        </w:sectPr>
      </w:pPr>
    </w:p>
    <w:p>
      <w:pPr>
        <w:pStyle w:val="157"/>
      </w:pPr>
      <w:r>
        <w:rPr>
          <w:rFonts w:hint="eastAsia"/>
        </w:rPr>
        <w:t>表1</w:t>
      </w:r>
      <w:r>
        <w:t xml:space="preserve">-3  </w:t>
      </w:r>
      <w:r>
        <w:rPr>
          <w:rFonts w:hint="eastAsia"/>
        </w:rPr>
        <w:t>“三线一单”符合性分析</w:t>
      </w:r>
    </w:p>
    <w:tbl>
      <w:tblPr>
        <w:tblStyle w:val="19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84"/>
        <w:gridCol w:w="360"/>
        <w:gridCol w:w="419"/>
        <w:gridCol w:w="8852"/>
        <w:gridCol w:w="2175"/>
        <w:gridCol w:w="8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910" w:type="pct"/>
            <w:gridSpan w:val="4"/>
            <w:vAlign w:val="center"/>
          </w:tcPr>
          <w:p>
            <w:pPr>
              <w:pStyle w:val="136"/>
              <w:adjustRightInd w:val="0"/>
              <w:snapToGrid w:val="0"/>
              <w:rPr>
                <w:b/>
                <w:szCs w:val="18"/>
              </w:rPr>
            </w:pPr>
            <w:r>
              <w:rPr>
                <w:b/>
                <w:szCs w:val="18"/>
              </w:rPr>
              <w:t>“</w:t>
            </w:r>
            <w:r>
              <w:rPr>
                <w:rFonts w:hint="eastAsia"/>
                <w:b/>
                <w:szCs w:val="18"/>
              </w:rPr>
              <w:t>三线一单</w:t>
            </w:r>
            <w:r>
              <w:rPr>
                <w:b/>
                <w:szCs w:val="18"/>
              </w:rPr>
              <w:t>”</w:t>
            </w:r>
            <w:r>
              <w:rPr>
                <w:rFonts w:hint="eastAsia"/>
                <w:b/>
                <w:szCs w:val="18"/>
              </w:rPr>
              <w:t>的具体要求</w:t>
            </w:r>
          </w:p>
        </w:tc>
        <w:tc>
          <w:tcPr>
            <w:tcW w:w="779" w:type="pct"/>
            <w:vMerge w:val="restart"/>
            <w:vAlign w:val="center"/>
          </w:tcPr>
          <w:p>
            <w:pPr>
              <w:pStyle w:val="136"/>
              <w:adjustRightInd w:val="0"/>
              <w:snapToGrid w:val="0"/>
              <w:rPr>
                <w:b/>
                <w:szCs w:val="18"/>
              </w:rPr>
            </w:pPr>
            <w:r>
              <w:rPr>
                <w:b/>
                <w:szCs w:val="18"/>
              </w:rPr>
              <w:t>项目对应情况介绍</w:t>
            </w:r>
          </w:p>
        </w:tc>
        <w:tc>
          <w:tcPr>
            <w:tcW w:w="311" w:type="pct"/>
            <w:vMerge w:val="restart"/>
            <w:vAlign w:val="center"/>
          </w:tcPr>
          <w:p>
            <w:pPr>
              <w:pStyle w:val="136"/>
              <w:adjustRightInd w:val="0"/>
              <w:snapToGrid w:val="0"/>
              <w:rPr>
                <w:b/>
                <w:szCs w:val="18"/>
              </w:rPr>
            </w:pPr>
            <w:r>
              <w:rPr>
                <w:b/>
                <w:szCs w:val="18"/>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39" w:type="pct"/>
            <w:gridSpan w:val="3"/>
            <w:vAlign w:val="center"/>
          </w:tcPr>
          <w:p>
            <w:pPr>
              <w:pStyle w:val="136"/>
              <w:adjustRightInd w:val="0"/>
              <w:snapToGrid w:val="0"/>
              <w:rPr>
                <w:b/>
                <w:szCs w:val="18"/>
              </w:rPr>
            </w:pPr>
            <w:r>
              <w:rPr>
                <w:b/>
                <w:szCs w:val="18"/>
              </w:rPr>
              <w:t>类别</w:t>
            </w:r>
          </w:p>
        </w:tc>
        <w:tc>
          <w:tcPr>
            <w:tcW w:w="3171" w:type="pct"/>
            <w:vAlign w:val="center"/>
          </w:tcPr>
          <w:p>
            <w:pPr>
              <w:pStyle w:val="136"/>
              <w:adjustRightInd w:val="0"/>
              <w:snapToGrid w:val="0"/>
              <w:rPr>
                <w:b/>
                <w:szCs w:val="18"/>
              </w:rPr>
            </w:pPr>
            <w:r>
              <w:rPr>
                <w:b/>
                <w:szCs w:val="18"/>
              </w:rPr>
              <w:t>对应管控要求</w:t>
            </w:r>
          </w:p>
        </w:tc>
        <w:tc>
          <w:tcPr>
            <w:tcW w:w="779" w:type="pct"/>
            <w:vMerge w:val="continue"/>
            <w:vAlign w:val="center"/>
          </w:tcPr>
          <w:p>
            <w:pPr>
              <w:pStyle w:val="136"/>
              <w:adjustRightInd w:val="0"/>
              <w:snapToGrid w:val="0"/>
              <w:rPr>
                <w:b/>
                <w:szCs w:val="18"/>
              </w:rPr>
            </w:pPr>
          </w:p>
        </w:tc>
        <w:tc>
          <w:tcPr>
            <w:tcW w:w="311" w:type="pct"/>
            <w:vMerge w:val="continue"/>
            <w:vAlign w:val="center"/>
          </w:tcPr>
          <w:p>
            <w:pPr>
              <w:pStyle w:val="136"/>
              <w:adjustRightInd w:val="0"/>
              <w:snapToGrid w:val="0"/>
              <w:rPr>
                <w:b/>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0" w:type="pct"/>
            <w:vMerge w:val="restart"/>
            <w:vAlign w:val="center"/>
          </w:tcPr>
          <w:p>
            <w:pPr>
              <w:pStyle w:val="136"/>
              <w:adjustRightInd w:val="0"/>
              <w:snapToGrid w:val="0"/>
              <w:rPr>
                <w:szCs w:val="18"/>
              </w:rPr>
            </w:pPr>
            <w:r>
              <w:rPr>
                <w:szCs w:val="18"/>
              </w:rPr>
              <w:t>巴州区要素重点管控单元</w:t>
            </w:r>
          </w:p>
          <w:p>
            <w:pPr>
              <w:pStyle w:val="136"/>
              <w:adjustRightInd w:val="0"/>
              <w:snapToGrid w:val="0"/>
              <w:rPr>
                <w:szCs w:val="18"/>
              </w:rPr>
            </w:pPr>
            <w:r>
              <w:rPr>
                <w:szCs w:val="18"/>
              </w:rPr>
              <w:t>ZH51190220007</w:t>
            </w:r>
            <w:r>
              <w:rPr>
                <w:rFonts w:hint="eastAsia"/>
                <w:szCs w:val="18"/>
              </w:rPr>
              <w:t>重点管控单元</w:t>
            </w:r>
          </w:p>
        </w:tc>
        <w:tc>
          <w:tcPr>
            <w:tcW w:w="129" w:type="pct"/>
            <w:vMerge w:val="restart"/>
            <w:vAlign w:val="center"/>
          </w:tcPr>
          <w:p>
            <w:pPr>
              <w:pStyle w:val="136"/>
              <w:adjustRightInd w:val="0"/>
              <w:snapToGrid w:val="0"/>
              <w:rPr>
                <w:szCs w:val="18"/>
              </w:rPr>
            </w:pPr>
            <w:r>
              <w:rPr>
                <w:rFonts w:hint="eastAsia"/>
                <w:szCs w:val="18"/>
              </w:rPr>
              <w:t>普适性清单管控要求</w:t>
            </w:r>
          </w:p>
        </w:tc>
        <w:tc>
          <w:tcPr>
            <w:tcW w:w="150" w:type="pct"/>
            <w:vAlign w:val="center"/>
          </w:tcPr>
          <w:p>
            <w:pPr>
              <w:pStyle w:val="136"/>
              <w:adjustRightInd w:val="0"/>
              <w:snapToGrid w:val="0"/>
              <w:rPr>
                <w:szCs w:val="18"/>
              </w:rPr>
            </w:pPr>
            <w:r>
              <w:rPr>
                <w:rFonts w:hint="eastAsia"/>
                <w:szCs w:val="18"/>
              </w:rPr>
              <w:t>空间布局约束</w:t>
            </w:r>
          </w:p>
        </w:tc>
        <w:tc>
          <w:tcPr>
            <w:tcW w:w="3171" w:type="pct"/>
            <w:vAlign w:val="center"/>
          </w:tcPr>
          <w:p>
            <w:pPr>
              <w:pStyle w:val="136"/>
              <w:adjustRightInd w:val="0"/>
              <w:snapToGrid w:val="0"/>
              <w:jc w:val="both"/>
              <w:rPr>
                <w:b/>
                <w:szCs w:val="18"/>
              </w:rPr>
            </w:pPr>
            <w:r>
              <w:rPr>
                <w:rFonts w:hint="eastAsia"/>
                <w:b/>
                <w:szCs w:val="18"/>
              </w:rPr>
              <w:t>禁止开发建设活动的要求：</w:t>
            </w:r>
          </w:p>
          <w:p>
            <w:pPr>
              <w:pStyle w:val="136"/>
              <w:numPr>
                <w:ilvl w:val="0"/>
                <w:numId w:val="2"/>
              </w:numPr>
              <w:adjustRightInd w:val="0"/>
              <w:snapToGrid w:val="0"/>
              <w:jc w:val="both"/>
              <w:rPr>
                <w:szCs w:val="18"/>
              </w:rPr>
            </w:pPr>
            <w:r>
              <w:rPr>
                <w:szCs w:val="18"/>
              </w:rPr>
              <w:t>禁止在法律法规规定的禁采区内新建矿山；</w:t>
            </w:r>
          </w:p>
          <w:p>
            <w:pPr>
              <w:pStyle w:val="136"/>
              <w:numPr>
                <w:ilvl w:val="0"/>
                <w:numId w:val="2"/>
              </w:numPr>
              <w:adjustRightInd w:val="0"/>
              <w:snapToGrid w:val="0"/>
              <w:jc w:val="both"/>
              <w:rPr>
                <w:szCs w:val="18"/>
              </w:rPr>
            </w:pPr>
            <w:r>
              <w:rPr>
                <w:szCs w:val="18"/>
              </w:rPr>
              <w:t>禁止土法采、选、冶严重污染环境的矿产资源</w:t>
            </w:r>
            <w:r>
              <w:rPr>
                <w:rFonts w:ascii="宋体" w:hAnsi="宋体" w:cs="Times New Roman"/>
                <w:szCs w:val="18"/>
              </w:rPr>
              <w:t>；</w:t>
            </w:r>
          </w:p>
          <w:p>
            <w:pPr>
              <w:pStyle w:val="136"/>
              <w:numPr>
                <w:ilvl w:val="0"/>
                <w:numId w:val="2"/>
              </w:numPr>
              <w:adjustRightInd w:val="0"/>
              <w:snapToGrid w:val="0"/>
              <w:jc w:val="both"/>
              <w:rPr>
                <w:szCs w:val="18"/>
              </w:rPr>
            </w:pPr>
            <w:r>
              <w:rPr>
                <w:szCs w:val="18"/>
              </w:rPr>
              <w:t>涉及基本农田的区域，除法律规定的重点建设项目选址确实无法避让外，其他任何建设不得占用-禁止在长江干支流岸线一公里范围内新建、扩建化工园区和化工项目；</w:t>
            </w:r>
          </w:p>
          <w:p>
            <w:pPr>
              <w:pStyle w:val="136"/>
              <w:numPr>
                <w:ilvl w:val="0"/>
                <w:numId w:val="2"/>
              </w:numPr>
              <w:adjustRightInd w:val="0"/>
              <w:snapToGrid w:val="0"/>
              <w:jc w:val="both"/>
              <w:rPr>
                <w:szCs w:val="18"/>
              </w:rPr>
            </w:pPr>
            <w:r>
              <w:rPr>
                <w:szCs w:val="18"/>
              </w:rPr>
              <w:t>禁止在长江干流岸线三公里范围内和重要支流岸线一公里范围内新建，改建扩建尾矿库；但是以提升安全、生态环境保护水平为目的的改建除外；</w:t>
            </w:r>
          </w:p>
          <w:p>
            <w:pPr>
              <w:pStyle w:val="136"/>
              <w:numPr>
                <w:ilvl w:val="0"/>
                <w:numId w:val="2"/>
              </w:numPr>
              <w:adjustRightInd w:val="0"/>
              <w:snapToGrid w:val="0"/>
              <w:jc w:val="both"/>
              <w:rPr>
                <w:szCs w:val="18"/>
              </w:rPr>
            </w:pPr>
            <w:r>
              <w:rPr>
                <w:szCs w:val="18"/>
              </w:rPr>
              <w:t>禁止在长江流域河湖管理范围内倾倒、填埋、堆放、弃置、处理固体废物；</w:t>
            </w:r>
          </w:p>
          <w:p>
            <w:pPr>
              <w:pStyle w:val="136"/>
              <w:numPr>
                <w:ilvl w:val="0"/>
                <w:numId w:val="2"/>
              </w:numPr>
              <w:adjustRightInd w:val="0"/>
              <w:snapToGrid w:val="0"/>
              <w:jc w:val="both"/>
              <w:rPr>
                <w:szCs w:val="18"/>
              </w:rPr>
            </w:pPr>
            <w:r>
              <w:rPr>
                <w:szCs w:val="18"/>
              </w:rPr>
              <w:t>畜禽养殖严格按照区县畜禽养殖区域划定方案执行，依法关闭或搬迁禁养区内的畜禽养殖场（小区）或养殖专业户；</w:t>
            </w:r>
          </w:p>
          <w:p>
            <w:pPr>
              <w:pStyle w:val="136"/>
              <w:adjustRightInd w:val="0"/>
              <w:snapToGrid w:val="0"/>
              <w:jc w:val="both"/>
              <w:rPr>
                <w:b/>
                <w:szCs w:val="18"/>
              </w:rPr>
            </w:pPr>
            <w:r>
              <w:rPr>
                <w:rFonts w:hint="eastAsia"/>
                <w:b/>
                <w:szCs w:val="18"/>
              </w:rPr>
              <w:t>限制开发建设活动的要求：</w:t>
            </w:r>
          </w:p>
          <w:p>
            <w:pPr>
              <w:pStyle w:val="136"/>
              <w:numPr>
                <w:ilvl w:val="0"/>
                <w:numId w:val="3"/>
              </w:numPr>
              <w:adjustRightInd w:val="0"/>
              <w:snapToGrid w:val="0"/>
              <w:jc w:val="both"/>
              <w:rPr>
                <w:szCs w:val="18"/>
              </w:rPr>
            </w:pPr>
            <w:r>
              <w:rPr>
                <w:szCs w:val="18"/>
              </w:rPr>
              <w:t>单元内若新布局工业园区，应符合巴中市最新的国土空间规划，并结合区域环境特点、三线成果、园区产业类别，充分论证选址的环境合理性；</w:t>
            </w:r>
          </w:p>
          <w:p>
            <w:pPr>
              <w:pStyle w:val="136"/>
              <w:numPr>
                <w:ilvl w:val="0"/>
                <w:numId w:val="3"/>
              </w:numPr>
              <w:adjustRightInd w:val="0"/>
              <w:snapToGrid w:val="0"/>
              <w:jc w:val="both"/>
              <w:rPr>
                <w:szCs w:val="18"/>
              </w:rPr>
            </w:pPr>
            <w:r>
              <w:rPr>
                <w:szCs w:val="18"/>
              </w:rPr>
              <w:t>大气布局敏感区应严格限制布设以钢铁、建材、石化、化工、有色等高污染行业为主导产业的园区；</w:t>
            </w:r>
          </w:p>
          <w:p>
            <w:pPr>
              <w:pStyle w:val="136"/>
              <w:numPr>
                <w:ilvl w:val="0"/>
                <w:numId w:val="3"/>
              </w:numPr>
              <w:adjustRightInd w:val="0"/>
              <w:snapToGrid w:val="0"/>
              <w:jc w:val="both"/>
              <w:rPr>
                <w:szCs w:val="18"/>
              </w:rPr>
            </w:pPr>
            <w:r>
              <w:rPr>
                <w:szCs w:val="18"/>
              </w:rPr>
              <w:t>水环境城镇生活污染、农业污染重点管控区应严格限制布设以电力、钢铁、造纸、石化、化工、印染、化纤等高耗水行业为主导产业的园区；</w:t>
            </w:r>
          </w:p>
          <w:p>
            <w:pPr>
              <w:pStyle w:val="136"/>
              <w:adjustRightInd w:val="0"/>
              <w:snapToGrid w:val="0"/>
              <w:jc w:val="both"/>
              <w:rPr>
                <w:b/>
                <w:szCs w:val="18"/>
              </w:rPr>
            </w:pPr>
            <w:r>
              <w:rPr>
                <w:rFonts w:hint="eastAsia"/>
                <w:b/>
                <w:szCs w:val="18"/>
              </w:rPr>
              <w:t>不符合空间布局要求活动的退出要求：</w:t>
            </w:r>
          </w:p>
          <w:p>
            <w:pPr>
              <w:pStyle w:val="136"/>
              <w:numPr>
                <w:ilvl w:val="0"/>
                <w:numId w:val="4"/>
              </w:numPr>
              <w:adjustRightInd w:val="0"/>
              <w:snapToGrid w:val="0"/>
              <w:jc w:val="both"/>
              <w:rPr>
                <w:szCs w:val="18"/>
              </w:rPr>
            </w:pPr>
            <w:r>
              <w:rPr>
                <w:szCs w:val="18"/>
              </w:rPr>
              <w:t>全面取缔禁养区内规模化畜禽养殖场；</w:t>
            </w:r>
          </w:p>
          <w:p>
            <w:pPr>
              <w:pStyle w:val="136"/>
              <w:numPr>
                <w:ilvl w:val="0"/>
                <w:numId w:val="4"/>
              </w:numPr>
              <w:adjustRightInd w:val="0"/>
              <w:snapToGrid w:val="0"/>
              <w:jc w:val="both"/>
              <w:rPr>
                <w:szCs w:val="18"/>
              </w:rPr>
            </w:pPr>
            <w:r>
              <w:rPr>
                <w:szCs w:val="18"/>
              </w:rPr>
              <w:t>针对现有水泥企业，强化污染治理和污染物减排，依法依规整治或搬迁；</w:t>
            </w:r>
          </w:p>
          <w:p>
            <w:pPr>
              <w:pStyle w:val="136"/>
              <w:numPr>
                <w:ilvl w:val="0"/>
                <w:numId w:val="4"/>
              </w:numPr>
              <w:adjustRightInd w:val="0"/>
              <w:snapToGrid w:val="0"/>
              <w:jc w:val="both"/>
              <w:rPr>
                <w:szCs w:val="18"/>
              </w:rPr>
            </w:pPr>
            <w:r>
              <w:rPr>
                <w:szCs w:val="18"/>
              </w:rPr>
              <w:t>严格执行《矿产资源开采管理办法》的相关规</w:t>
            </w:r>
            <w:r>
              <w:rPr>
                <w:rFonts w:hint="eastAsia"/>
                <w:szCs w:val="18"/>
              </w:rPr>
              <w:t>定</w:t>
            </w:r>
            <w:r>
              <w:rPr>
                <w:szCs w:val="18"/>
              </w:rPr>
              <w:t>；</w:t>
            </w:r>
          </w:p>
        </w:tc>
        <w:tc>
          <w:tcPr>
            <w:tcW w:w="779" w:type="pct"/>
            <w:vAlign w:val="center"/>
          </w:tcPr>
          <w:p>
            <w:pPr>
              <w:pStyle w:val="136"/>
              <w:adjustRightInd w:val="0"/>
              <w:snapToGrid w:val="0"/>
              <w:jc w:val="both"/>
              <w:rPr>
                <w:b/>
                <w:szCs w:val="18"/>
              </w:rPr>
            </w:pPr>
            <w:r>
              <w:rPr>
                <w:rFonts w:hint="eastAsia"/>
                <w:b/>
                <w:szCs w:val="18"/>
              </w:rPr>
              <w:t>禁止开发建设活动的要求：</w:t>
            </w:r>
          </w:p>
          <w:p>
            <w:pPr>
              <w:pStyle w:val="136"/>
              <w:adjustRightInd w:val="0"/>
              <w:snapToGrid w:val="0"/>
              <w:jc w:val="both"/>
              <w:rPr>
                <w:bCs/>
                <w:szCs w:val="18"/>
              </w:rPr>
            </w:pPr>
            <w:r>
              <w:rPr>
                <w:rFonts w:hint="eastAsia"/>
                <w:bCs/>
                <w:szCs w:val="18"/>
              </w:rPr>
              <w:t>（1）本项目不涉及采矿；</w:t>
            </w:r>
          </w:p>
          <w:p>
            <w:pPr>
              <w:pStyle w:val="136"/>
              <w:adjustRightInd w:val="0"/>
              <w:snapToGrid w:val="0"/>
              <w:jc w:val="both"/>
              <w:rPr>
                <w:bCs/>
                <w:szCs w:val="18"/>
              </w:rPr>
            </w:pPr>
            <w:r>
              <w:rPr>
                <w:rFonts w:hint="eastAsia"/>
                <w:bCs/>
                <w:szCs w:val="18"/>
              </w:rPr>
              <w:t>（2）本项目不涉及采矿；</w:t>
            </w:r>
          </w:p>
          <w:p>
            <w:pPr>
              <w:pStyle w:val="136"/>
              <w:adjustRightInd w:val="0"/>
              <w:snapToGrid w:val="0"/>
              <w:jc w:val="both"/>
              <w:rPr>
                <w:bCs/>
                <w:szCs w:val="18"/>
              </w:rPr>
            </w:pPr>
            <w:r>
              <w:rPr>
                <w:rFonts w:hint="eastAsia"/>
                <w:bCs/>
                <w:szCs w:val="18"/>
              </w:rPr>
              <w:t>（3）本项目用地性质为机关团体用地，不涉及基本农田；项目为环境监测实验室建设项目，不属于化工园区或化工项目；</w:t>
            </w:r>
          </w:p>
          <w:p>
            <w:pPr>
              <w:pStyle w:val="136"/>
              <w:adjustRightInd w:val="0"/>
              <w:snapToGrid w:val="0"/>
              <w:jc w:val="both"/>
              <w:rPr>
                <w:bCs/>
                <w:szCs w:val="18"/>
              </w:rPr>
            </w:pPr>
            <w:r>
              <w:rPr>
                <w:rFonts w:hint="eastAsia"/>
                <w:bCs/>
                <w:szCs w:val="18"/>
              </w:rPr>
              <w:t>（4）本项目不属于尾矿库；</w:t>
            </w:r>
          </w:p>
          <w:p>
            <w:pPr>
              <w:pStyle w:val="136"/>
              <w:adjustRightInd w:val="0"/>
              <w:snapToGrid w:val="0"/>
              <w:jc w:val="both"/>
              <w:rPr>
                <w:bCs/>
                <w:szCs w:val="18"/>
              </w:rPr>
            </w:pPr>
            <w:r>
              <w:rPr>
                <w:rFonts w:hint="eastAsia"/>
                <w:bCs/>
                <w:szCs w:val="18"/>
              </w:rPr>
              <w:t>（5）本项目为环境监测实验室建设项目，不属于固体废物处置项目；</w:t>
            </w:r>
          </w:p>
          <w:p>
            <w:pPr>
              <w:pStyle w:val="136"/>
              <w:adjustRightInd w:val="0"/>
              <w:snapToGrid w:val="0"/>
              <w:jc w:val="both"/>
              <w:rPr>
                <w:bCs/>
                <w:szCs w:val="18"/>
              </w:rPr>
            </w:pPr>
            <w:r>
              <w:rPr>
                <w:rFonts w:hint="eastAsia"/>
                <w:bCs/>
                <w:szCs w:val="18"/>
              </w:rPr>
              <w:t>（6）本项目不属于畜禽养殖项目；</w:t>
            </w:r>
          </w:p>
          <w:p>
            <w:pPr>
              <w:pStyle w:val="136"/>
              <w:adjustRightInd w:val="0"/>
              <w:snapToGrid w:val="0"/>
              <w:jc w:val="both"/>
              <w:rPr>
                <w:b/>
                <w:bCs/>
                <w:szCs w:val="18"/>
              </w:rPr>
            </w:pPr>
            <w:r>
              <w:rPr>
                <w:rFonts w:hint="eastAsia"/>
                <w:b/>
                <w:bCs/>
                <w:szCs w:val="18"/>
              </w:rPr>
              <w:t>限制开发建设活性的要求：</w:t>
            </w:r>
          </w:p>
          <w:p>
            <w:pPr>
              <w:pStyle w:val="136"/>
              <w:adjustRightInd w:val="0"/>
              <w:snapToGrid w:val="0"/>
              <w:jc w:val="both"/>
              <w:rPr>
                <w:szCs w:val="18"/>
              </w:rPr>
            </w:pPr>
            <w:r>
              <w:rPr>
                <w:rFonts w:hint="eastAsia"/>
                <w:szCs w:val="18"/>
              </w:rPr>
              <w:t>本项目不属于工业园区建设项目；</w:t>
            </w:r>
          </w:p>
          <w:p>
            <w:pPr>
              <w:pStyle w:val="136"/>
              <w:adjustRightInd w:val="0"/>
              <w:snapToGrid w:val="0"/>
              <w:jc w:val="both"/>
              <w:rPr>
                <w:b/>
                <w:bCs/>
                <w:szCs w:val="18"/>
              </w:rPr>
            </w:pPr>
            <w:r>
              <w:rPr>
                <w:rFonts w:hint="eastAsia"/>
                <w:b/>
                <w:bCs/>
                <w:szCs w:val="18"/>
              </w:rPr>
              <w:t>不符合空间布局要求活性的退出要求：</w:t>
            </w:r>
          </w:p>
          <w:p>
            <w:pPr>
              <w:pStyle w:val="136"/>
              <w:adjustRightInd w:val="0"/>
              <w:snapToGrid w:val="0"/>
              <w:jc w:val="both"/>
              <w:rPr>
                <w:szCs w:val="18"/>
              </w:rPr>
            </w:pPr>
            <w:r>
              <w:rPr>
                <w:rFonts w:hint="eastAsia"/>
                <w:szCs w:val="18"/>
              </w:rPr>
              <w:t>本项目不属于畜禽养殖场、水泥生产或采矿项目</w:t>
            </w:r>
          </w:p>
        </w:tc>
        <w:tc>
          <w:tcPr>
            <w:tcW w:w="311" w:type="pct"/>
            <w:vAlign w:val="center"/>
          </w:tcPr>
          <w:p>
            <w:pPr>
              <w:pStyle w:val="136"/>
              <w:adjustRightInd w:val="0"/>
              <w:snapToGrid w:val="0"/>
              <w:rPr>
                <w:b/>
                <w:szCs w:val="18"/>
              </w:rPr>
            </w:pPr>
            <w:r>
              <w:rPr>
                <w:rFonts w:hint="eastAsia"/>
                <w:b/>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0" w:type="pct"/>
            <w:vMerge w:val="continue"/>
            <w:vAlign w:val="center"/>
          </w:tcPr>
          <w:p>
            <w:pPr>
              <w:pStyle w:val="136"/>
              <w:adjustRightInd w:val="0"/>
              <w:snapToGrid w:val="0"/>
              <w:rPr>
                <w:szCs w:val="18"/>
              </w:rPr>
            </w:pPr>
          </w:p>
        </w:tc>
        <w:tc>
          <w:tcPr>
            <w:tcW w:w="129" w:type="pct"/>
            <w:vMerge w:val="continue"/>
            <w:vAlign w:val="center"/>
          </w:tcPr>
          <w:p>
            <w:pPr>
              <w:pStyle w:val="136"/>
              <w:adjustRightInd w:val="0"/>
              <w:snapToGrid w:val="0"/>
              <w:rPr>
                <w:szCs w:val="18"/>
              </w:rPr>
            </w:pPr>
          </w:p>
        </w:tc>
        <w:tc>
          <w:tcPr>
            <w:tcW w:w="150" w:type="pct"/>
            <w:vAlign w:val="center"/>
          </w:tcPr>
          <w:p>
            <w:pPr>
              <w:pStyle w:val="136"/>
              <w:adjustRightInd w:val="0"/>
              <w:snapToGrid w:val="0"/>
              <w:rPr>
                <w:szCs w:val="18"/>
              </w:rPr>
            </w:pPr>
            <w:r>
              <w:rPr>
                <w:rFonts w:hint="eastAsia"/>
                <w:szCs w:val="18"/>
              </w:rPr>
              <w:t>污染物排放管控</w:t>
            </w:r>
          </w:p>
        </w:tc>
        <w:tc>
          <w:tcPr>
            <w:tcW w:w="3171" w:type="pct"/>
            <w:vAlign w:val="center"/>
          </w:tcPr>
          <w:p>
            <w:pPr>
              <w:pStyle w:val="136"/>
              <w:adjustRightInd w:val="0"/>
              <w:snapToGrid w:val="0"/>
              <w:jc w:val="both"/>
              <w:rPr>
                <w:b/>
                <w:szCs w:val="18"/>
              </w:rPr>
            </w:pPr>
            <w:r>
              <w:rPr>
                <w:rFonts w:hint="eastAsia"/>
                <w:b/>
                <w:szCs w:val="18"/>
              </w:rPr>
              <w:t>允许排放量要求：无；</w:t>
            </w:r>
          </w:p>
          <w:p>
            <w:pPr>
              <w:pStyle w:val="136"/>
              <w:adjustRightInd w:val="0"/>
              <w:snapToGrid w:val="0"/>
              <w:jc w:val="both"/>
              <w:rPr>
                <w:b/>
                <w:szCs w:val="18"/>
              </w:rPr>
            </w:pPr>
            <w:r>
              <w:rPr>
                <w:rFonts w:hint="eastAsia"/>
                <w:b/>
                <w:szCs w:val="18"/>
              </w:rPr>
              <w:t>现有源提标升级改造：</w:t>
            </w:r>
          </w:p>
          <w:p>
            <w:pPr>
              <w:pStyle w:val="136"/>
              <w:numPr>
                <w:ilvl w:val="0"/>
                <w:numId w:val="5"/>
              </w:numPr>
              <w:adjustRightInd w:val="0"/>
              <w:snapToGrid w:val="0"/>
              <w:jc w:val="both"/>
              <w:rPr>
                <w:szCs w:val="18"/>
              </w:rPr>
            </w:pPr>
            <w:r>
              <w:rPr>
                <w:szCs w:val="18"/>
              </w:rPr>
              <w:t>加快现有乡镇污水处理设施升级改造，按要求达《城镇污水处理厂污染物排放标准》一级A标后排放；</w:t>
            </w:r>
          </w:p>
          <w:p>
            <w:pPr>
              <w:pStyle w:val="136"/>
              <w:numPr>
                <w:ilvl w:val="0"/>
                <w:numId w:val="5"/>
              </w:numPr>
              <w:adjustRightInd w:val="0"/>
              <w:snapToGrid w:val="0"/>
              <w:jc w:val="both"/>
              <w:rPr>
                <w:szCs w:val="18"/>
              </w:rPr>
            </w:pPr>
            <w:r>
              <w:rPr>
                <w:szCs w:val="18"/>
              </w:rPr>
              <w:t>在矿产资源开发活动集中区域，废水执行重金属污染物排放特别限值；</w:t>
            </w:r>
          </w:p>
          <w:p>
            <w:pPr>
              <w:pStyle w:val="136"/>
              <w:numPr>
                <w:ilvl w:val="0"/>
                <w:numId w:val="5"/>
              </w:numPr>
              <w:adjustRightInd w:val="0"/>
              <w:snapToGrid w:val="0"/>
              <w:jc w:val="both"/>
              <w:rPr>
                <w:szCs w:val="18"/>
              </w:rPr>
            </w:pPr>
            <w:r>
              <w:rPr>
                <w:szCs w:val="18"/>
              </w:rPr>
              <w:t>火电、水泥等行业按相关要求推进大气污染物超低排放和深度治理；</w:t>
            </w:r>
          </w:p>
          <w:p>
            <w:pPr>
              <w:pStyle w:val="136"/>
              <w:numPr>
                <w:ilvl w:val="0"/>
                <w:numId w:val="5"/>
              </w:numPr>
              <w:adjustRightInd w:val="0"/>
              <w:snapToGrid w:val="0"/>
              <w:jc w:val="both"/>
              <w:rPr>
                <w:szCs w:val="18"/>
              </w:rPr>
            </w:pPr>
            <w:r>
              <w:rPr>
                <w:szCs w:val="18"/>
              </w:rPr>
              <w:t>砖瓦行业实施脱硫、除尘升级改造，污染物排放达到《砖瓦工业大气污染物排放标准》相关要求-调整优化畜禽养殖区域布局，实施规模化畜禽养殖场标准化建设和改造，加强禽畜养殖粪污治理，深入推广畜禽清洁养殖，养殖场的养殖规模要与周边可供消纳的土地量相匹配，并具备完善的雨污分流、粪便污水资源化利用设施；</w:t>
            </w:r>
          </w:p>
          <w:p>
            <w:pPr>
              <w:pStyle w:val="136"/>
              <w:numPr>
                <w:ilvl w:val="0"/>
                <w:numId w:val="5"/>
              </w:numPr>
              <w:adjustRightInd w:val="0"/>
              <w:snapToGrid w:val="0"/>
              <w:jc w:val="both"/>
              <w:rPr>
                <w:szCs w:val="18"/>
              </w:rPr>
            </w:pPr>
            <w:r>
              <w:rPr>
                <w:szCs w:val="18"/>
              </w:rPr>
              <w:t>强化畜禽养殖散户管理，禁止畜禽粪污直排；</w:t>
            </w:r>
          </w:p>
          <w:p>
            <w:pPr>
              <w:pStyle w:val="136"/>
              <w:adjustRightInd w:val="0"/>
              <w:snapToGrid w:val="0"/>
              <w:jc w:val="both"/>
              <w:rPr>
                <w:b/>
                <w:szCs w:val="18"/>
              </w:rPr>
            </w:pPr>
            <w:r>
              <w:rPr>
                <w:rFonts w:hint="eastAsia"/>
                <w:b/>
                <w:szCs w:val="18"/>
              </w:rPr>
              <w:t>其他污染物排放管控要求：</w:t>
            </w:r>
          </w:p>
          <w:p>
            <w:pPr>
              <w:pStyle w:val="136"/>
              <w:numPr>
                <w:ilvl w:val="0"/>
                <w:numId w:val="6"/>
              </w:numPr>
              <w:adjustRightInd w:val="0"/>
              <w:snapToGrid w:val="0"/>
              <w:jc w:val="both"/>
              <w:rPr>
                <w:szCs w:val="18"/>
              </w:rPr>
            </w:pPr>
            <w:r>
              <w:rPr>
                <w:szCs w:val="18"/>
              </w:rPr>
              <w:t>新增源等量或倍量替代：若上一年度空气质量年平均浓度不达标、水环境质量未达到要求，则建设项目新增相关污染物按照总量管控要求进行倍量削减替代；</w:t>
            </w:r>
          </w:p>
          <w:p>
            <w:pPr>
              <w:pStyle w:val="136"/>
              <w:numPr>
                <w:ilvl w:val="0"/>
                <w:numId w:val="6"/>
              </w:numPr>
              <w:adjustRightInd w:val="0"/>
              <w:snapToGrid w:val="0"/>
              <w:jc w:val="both"/>
              <w:rPr>
                <w:szCs w:val="18"/>
              </w:rPr>
            </w:pPr>
            <w:r>
              <w:rPr>
                <w:szCs w:val="18"/>
              </w:rPr>
              <w:t>若上一年度空气质量、水环境质量达标，则建设项目新增相关污染物按照总量管控要求进行等量替代；</w:t>
            </w:r>
          </w:p>
          <w:p>
            <w:pPr>
              <w:pStyle w:val="136"/>
              <w:numPr>
                <w:ilvl w:val="0"/>
                <w:numId w:val="6"/>
              </w:numPr>
              <w:adjustRightInd w:val="0"/>
              <w:snapToGrid w:val="0"/>
              <w:jc w:val="both"/>
              <w:rPr>
                <w:szCs w:val="18"/>
              </w:rPr>
            </w:pPr>
            <w:r>
              <w:rPr>
                <w:szCs w:val="18"/>
              </w:rPr>
              <w:t>新增VOCs排放的建设项目实行等量替代；</w:t>
            </w:r>
          </w:p>
          <w:p>
            <w:pPr>
              <w:pStyle w:val="136"/>
              <w:numPr>
                <w:ilvl w:val="0"/>
                <w:numId w:val="6"/>
              </w:numPr>
              <w:adjustRightInd w:val="0"/>
              <w:snapToGrid w:val="0"/>
              <w:jc w:val="both"/>
              <w:rPr>
                <w:szCs w:val="18"/>
              </w:rPr>
            </w:pPr>
            <w:r>
              <w:rPr>
                <w:szCs w:val="18"/>
              </w:rPr>
              <w:t>污染物排放绩效水平准入要求：-屠宰项目必须配套污水处理设施或进入城市污水管网；</w:t>
            </w:r>
          </w:p>
          <w:p>
            <w:pPr>
              <w:pStyle w:val="136"/>
              <w:numPr>
                <w:ilvl w:val="0"/>
                <w:numId w:val="6"/>
              </w:numPr>
              <w:adjustRightInd w:val="0"/>
              <w:snapToGrid w:val="0"/>
              <w:jc w:val="both"/>
              <w:rPr>
                <w:szCs w:val="18"/>
              </w:rPr>
            </w:pPr>
            <w:r>
              <w:rPr>
                <w:szCs w:val="18"/>
              </w:rPr>
              <w:t>到2025年，基本消除城市建成区生活污水直排口和收集处理设施空白区；</w:t>
            </w:r>
          </w:p>
          <w:p>
            <w:pPr>
              <w:pStyle w:val="136"/>
              <w:numPr>
                <w:ilvl w:val="0"/>
                <w:numId w:val="6"/>
              </w:numPr>
              <w:adjustRightInd w:val="0"/>
              <w:snapToGrid w:val="0"/>
              <w:jc w:val="both"/>
              <w:rPr>
                <w:szCs w:val="18"/>
              </w:rPr>
            </w:pPr>
            <w:r>
              <w:rPr>
                <w:szCs w:val="18"/>
              </w:rPr>
              <w:t>县城污水处理率达到95%以上；</w:t>
            </w:r>
          </w:p>
          <w:p>
            <w:pPr>
              <w:pStyle w:val="136"/>
              <w:numPr>
                <w:ilvl w:val="0"/>
                <w:numId w:val="6"/>
              </w:numPr>
              <w:adjustRightInd w:val="0"/>
              <w:snapToGrid w:val="0"/>
              <w:jc w:val="both"/>
              <w:rPr>
                <w:szCs w:val="18"/>
              </w:rPr>
            </w:pPr>
            <w:r>
              <w:rPr>
                <w:szCs w:val="18"/>
              </w:rPr>
              <w:t>水环境敏感地区污水处理基本达到一级A排放标准；</w:t>
            </w:r>
          </w:p>
          <w:p>
            <w:pPr>
              <w:pStyle w:val="136"/>
              <w:numPr>
                <w:ilvl w:val="0"/>
                <w:numId w:val="6"/>
              </w:numPr>
              <w:adjustRightInd w:val="0"/>
              <w:snapToGrid w:val="0"/>
              <w:jc w:val="both"/>
              <w:rPr>
                <w:szCs w:val="18"/>
              </w:rPr>
            </w:pPr>
            <w:r>
              <w:rPr>
                <w:szCs w:val="18"/>
              </w:rPr>
              <w:t>到2035年，城市生活污水收集管网基本全覆盖，城镇污水处理能力全覆盖，全面实现污泥无害化处置；</w:t>
            </w:r>
          </w:p>
          <w:p>
            <w:pPr>
              <w:pStyle w:val="136"/>
              <w:numPr>
                <w:ilvl w:val="0"/>
                <w:numId w:val="6"/>
              </w:numPr>
              <w:adjustRightInd w:val="0"/>
              <w:snapToGrid w:val="0"/>
              <w:jc w:val="both"/>
              <w:rPr>
                <w:szCs w:val="18"/>
              </w:rPr>
            </w:pPr>
            <w:r>
              <w:rPr>
                <w:szCs w:val="18"/>
              </w:rPr>
              <w:t>大中型矿山达到绿色矿山标准，引导小型矿山按照绿色矿山标准规范发展；</w:t>
            </w:r>
          </w:p>
          <w:p>
            <w:pPr>
              <w:pStyle w:val="136"/>
              <w:numPr>
                <w:ilvl w:val="0"/>
                <w:numId w:val="6"/>
              </w:numPr>
              <w:adjustRightInd w:val="0"/>
              <w:snapToGrid w:val="0"/>
              <w:jc w:val="both"/>
              <w:rPr>
                <w:szCs w:val="18"/>
              </w:rPr>
            </w:pPr>
            <w:r>
              <w:rPr>
                <w:szCs w:val="18"/>
              </w:rPr>
              <w:t>加强矿山采选废水的处理和综合利用，不外排，采矿废水应尽量回用；</w:t>
            </w:r>
          </w:p>
          <w:p>
            <w:pPr>
              <w:pStyle w:val="136"/>
              <w:numPr>
                <w:ilvl w:val="0"/>
                <w:numId w:val="6"/>
              </w:numPr>
              <w:adjustRightInd w:val="0"/>
              <w:snapToGrid w:val="0"/>
              <w:jc w:val="both"/>
              <w:rPr>
                <w:szCs w:val="18"/>
              </w:rPr>
            </w:pPr>
            <w:r>
              <w:rPr>
                <w:szCs w:val="18"/>
              </w:rPr>
              <w:t>到2021年底，全市生活垃圾收转运处置体系覆盖95%以上行政村，再生资源回收网点覆盖30%以上的行政村，全市95%以上行政村的生活垃圾得到有效治理；</w:t>
            </w:r>
          </w:p>
          <w:p>
            <w:pPr>
              <w:pStyle w:val="136"/>
              <w:numPr>
                <w:ilvl w:val="0"/>
                <w:numId w:val="6"/>
              </w:numPr>
              <w:adjustRightInd w:val="0"/>
              <w:snapToGrid w:val="0"/>
              <w:jc w:val="both"/>
              <w:rPr>
                <w:szCs w:val="18"/>
              </w:rPr>
            </w:pPr>
            <w:r>
              <w:rPr>
                <w:szCs w:val="18"/>
              </w:rPr>
              <w:t>到2023年，全市生活垃圾收转运处置体系覆盖所有行政村，再生资源回收网点覆盖60%以上的行政村，实现保洁员配备合理、管理有效，村组保洁工作运转有序；</w:t>
            </w:r>
          </w:p>
          <w:p>
            <w:pPr>
              <w:pStyle w:val="136"/>
              <w:numPr>
                <w:ilvl w:val="0"/>
                <w:numId w:val="6"/>
              </w:numPr>
              <w:adjustRightInd w:val="0"/>
              <w:snapToGrid w:val="0"/>
              <w:jc w:val="both"/>
              <w:rPr>
                <w:szCs w:val="18"/>
              </w:rPr>
            </w:pPr>
            <w:r>
              <w:rPr>
                <w:szCs w:val="18"/>
              </w:rPr>
              <w:t>到2025年，乡镇和农村地区生活垃圾分类工作取得明显成效，生活垃圾减量化、无害化、资源化水平显著提高；基本建成垃圾分类有特色、转运设施较齐全；</w:t>
            </w:r>
          </w:p>
          <w:p>
            <w:pPr>
              <w:pStyle w:val="136"/>
              <w:numPr>
                <w:ilvl w:val="0"/>
                <w:numId w:val="6"/>
              </w:numPr>
              <w:adjustRightInd w:val="0"/>
              <w:snapToGrid w:val="0"/>
              <w:jc w:val="both"/>
              <w:rPr>
                <w:szCs w:val="18"/>
              </w:rPr>
            </w:pPr>
            <w:r>
              <w:rPr>
                <w:szCs w:val="18"/>
              </w:rPr>
              <w:t>村庄保洁见长效，资金投入有保障、监管制度较完善的农村生活垃圾治理体系；</w:t>
            </w:r>
          </w:p>
          <w:p>
            <w:pPr>
              <w:pStyle w:val="136"/>
              <w:numPr>
                <w:ilvl w:val="0"/>
                <w:numId w:val="6"/>
              </w:numPr>
              <w:adjustRightInd w:val="0"/>
              <w:snapToGrid w:val="0"/>
              <w:jc w:val="both"/>
              <w:rPr>
                <w:szCs w:val="18"/>
              </w:rPr>
            </w:pPr>
            <w:r>
              <w:rPr>
                <w:szCs w:val="18"/>
              </w:rPr>
              <w:t>到2025年底，全市有机肥使用面积达到370万亩，平均耕地质量提升一个等级，化肥使用量总体保持零增长；</w:t>
            </w:r>
          </w:p>
          <w:p>
            <w:pPr>
              <w:pStyle w:val="136"/>
              <w:numPr>
                <w:ilvl w:val="0"/>
                <w:numId w:val="6"/>
              </w:numPr>
              <w:adjustRightInd w:val="0"/>
              <w:snapToGrid w:val="0"/>
              <w:jc w:val="both"/>
              <w:rPr>
                <w:szCs w:val="18"/>
              </w:rPr>
            </w:pPr>
            <w:r>
              <w:rPr>
                <w:szCs w:val="18"/>
              </w:rPr>
              <w:t>到2025年，主要粮经作物主产区农药包装废弃物回收率达80%；</w:t>
            </w:r>
          </w:p>
        </w:tc>
        <w:tc>
          <w:tcPr>
            <w:tcW w:w="779" w:type="pct"/>
            <w:vAlign w:val="center"/>
          </w:tcPr>
          <w:p>
            <w:pPr>
              <w:pStyle w:val="136"/>
              <w:adjustRightInd w:val="0"/>
              <w:snapToGrid w:val="0"/>
              <w:jc w:val="both"/>
              <w:rPr>
                <w:b/>
                <w:szCs w:val="18"/>
              </w:rPr>
            </w:pPr>
            <w:r>
              <w:rPr>
                <w:rFonts w:hint="eastAsia"/>
                <w:b/>
                <w:szCs w:val="18"/>
              </w:rPr>
              <w:t>现有源提标升级改造：</w:t>
            </w:r>
          </w:p>
          <w:p>
            <w:pPr>
              <w:pStyle w:val="136"/>
              <w:adjustRightInd w:val="0"/>
              <w:snapToGrid w:val="0"/>
              <w:jc w:val="both"/>
              <w:rPr>
                <w:b/>
                <w:szCs w:val="18"/>
              </w:rPr>
            </w:pPr>
            <w:r>
              <w:rPr>
                <w:rFonts w:hint="eastAsia"/>
                <w:bCs/>
                <w:szCs w:val="18"/>
              </w:rPr>
              <w:t>本项目为新建项目，不涉及现有源提标升级改造</w:t>
            </w:r>
            <w:r>
              <w:rPr>
                <w:rFonts w:hint="eastAsia"/>
                <w:b/>
                <w:szCs w:val="18"/>
              </w:rPr>
              <w:t>；</w:t>
            </w:r>
          </w:p>
          <w:p>
            <w:pPr>
              <w:pStyle w:val="136"/>
              <w:adjustRightInd w:val="0"/>
              <w:snapToGrid w:val="0"/>
              <w:jc w:val="both"/>
              <w:rPr>
                <w:b/>
                <w:szCs w:val="18"/>
              </w:rPr>
            </w:pPr>
            <w:r>
              <w:rPr>
                <w:rFonts w:hint="eastAsia"/>
                <w:b/>
                <w:szCs w:val="18"/>
              </w:rPr>
              <w:t>其他污染物排放管控要求：</w:t>
            </w:r>
          </w:p>
          <w:p>
            <w:pPr>
              <w:pStyle w:val="136"/>
              <w:adjustRightInd w:val="0"/>
              <w:snapToGrid w:val="0"/>
              <w:jc w:val="both"/>
              <w:rPr>
                <w:szCs w:val="18"/>
              </w:rPr>
            </w:pPr>
            <w:r>
              <w:rPr>
                <w:rFonts w:hint="eastAsia"/>
                <w:szCs w:val="18"/>
              </w:rPr>
              <w:t>本项目所在区域为环境空气、地表水达标区域，本项目新增污染物</w:t>
            </w:r>
            <w:r>
              <w:rPr>
                <w:szCs w:val="18"/>
              </w:rPr>
              <w:t>按照总量管控要求进行</w:t>
            </w:r>
            <w:r>
              <w:rPr>
                <w:rFonts w:hint="eastAsia"/>
                <w:szCs w:val="18"/>
              </w:rPr>
              <w:t>等量或</w:t>
            </w:r>
            <w:r>
              <w:rPr>
                <w:szCs w:val="18"/>
              </w:rPr>
              <w:t>倍量削减替代</w:t>
            </w:r>
          </w:p>
        </w:tc>
        <w:tc>
          <w:tcPr>
            <w:tcW w:w="311" w:type="pct"/>
            <w:vAlign w:val="center"/>
          </w:tcPr>
          <w:p>
            <w:pPr>
              <w:pStyle w:val="136"/>
              <w:adjustRightInd w:val="0"/>
              <w:snapToGrid w:val="0"/>
              <w:rPr>
                <w:b/>
                <w:szCs w:val="18"/>
              </w:rPr>
            </w:pPr>
            <w:r>
              <w:rPr>
                <w:rFonts w:hint="eastAsia"/>
                <w:b/>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0" w:type="pct"/>
            <w:vMerge w:val="continue"/>
            <w:vAlign w:val="center"/>
          </w:tcPr>
          <w:p>
            <w:pPr>
              <w:pStyle w:val="136"/>
              <w:adjustRightInd w:val="0"/>
              <w:snapToGrid w:val="0"/>
              <w:rPr>
                <w:szCs w:val="18"/>
              </w:rPr>
            </w:pPr>
          </w:p>
        </w:tc>
        <w:tc>
          <w:tcPr>
            <w:tcW w:w="129" w:type="pct"/>
            <w:vMerge w:val="continue"/>
            <w:vAlign w:val="center"/>
          </w:tcPr>
          <w:p>
            <w:pPr>
              <w:pStyle w:val="136"/>
              <w:adjustRightInd w:val="0"/>
              <w:snapToGrid w:val="0"/>
              <w:rPr>
                <w:szCs w:val="18"/>
              </w:rPr>
            </w:pPr>
          </w:p>
        </w:tc>
        <w:tc>
          <w:tcPr>
            <w:tcW w:w="150" w:type="pct"/>
            <w:vAlign w:val="center"/>
          </w:tcPr>
          <w:p>
            <w:pPr>
              <w:pStyle w:val="136"/>
              <w:adjustRightInd w:val="0"/>
              <w:snapToGrid w:val="0"/>
              <w:rPr>
                <w:szCs w:val="18"/>
              </w:rPr>
            </w:pPr>
            <w:r>
              <w:rPr>
                <w:rFonts w:hint="eastAsia"/>
                <w:szCs w:val="18"/>
              </w:rPr>
              <w:t>环境风险防控</w:t>
            </w:r>
          </w:p>
        </w:tc>
        <w:tc>
          <w:tcPr>
            <w:tcW w:w="3171" w:type="pct"/>
            <w:vAlign w:val="center"/>
          </w:tcPr>
          <w:p>
            <w:pPr>
              <w:pStyle w:val="136"/>
              <w:adjustRightInd w:val="0"/>
              <w:snapToGrid w:val="0"/>
              <w:jc w:val="both"/>
              <w:rPr>
                <w:b/>
                <w:szCs w:val="18"/>
              </w:rPr>
            </w:pPr>
            <w:r>
              <w:rPr>
                <w:rFonts w:hint="eastAsia"/>
                <w:b/>
                <w:szCs w:val="18"/>
              </w:rPr>
              <w:t>联防联控要求：</w:t>
            </w:r>
          </w:p>
          <w:p>
            <w:pPr>
              <w:pStyle w:val="136"/>
              <w:numPr>
                <w:ilvl w:val="0"/>
                <w:numId w:val="7"/>
              </w:numPr>
              <w:adjustRightInd w:val="0"/>
              <w:snapToGrid w:val="0"/>
              <w:jc w:val="both"/>
              <w:rPr>
                <w:szCs w:val="18"/>
              </w:rPr>
            </w:pPr>
            <w:r>
              <w:rPr>
                <w:szCs w:val="18"/>
              </w:rPr>
              <w:t>强化大气污染区域联防联控措施，实施重污染天气应急管控；</w:t>
            </w:r>
          </w:p>
          <w:p>
            <w:pPr>
              <w:pStyle w:val="136"/>
              <w:numPr>
                <w:ilvl w:val="0"/>
                <w:numId w:val="7"/>
              </w:numPr>
              <w:adjustRightInd w:val="0"/>
              <w:snapToGrid w:val="0"/>
              <w:jc w:val="both"/>
              <w:rPr>
                <w:szCs w:val="18"/>
              </w:rPr>
            </w:pPr>
            <w:r>
              <w:rPr>
                <w:szCs w:val="18"/>
              </w:rPr>
              <w:t>修订重污染天气应急预案，动态更新污染源排放清单，落实重点企业错峰生产、压产限产、工地停工等强制性措施，有效减缓重污染天气影响；</w:t>
            </w:r>
          </w:p>
          <w:p>
            <w:pPr>
              <w:pStyle w:val="136"/>
              <w:adjustRightInd w:val="0"/>
              <w:snapToGrid w:val="0"/>
              <w:jc w:val="both"/>
              <w:rPr>
                <w:b/>
                <w:szCs w:val="18"/>
              </w:rPr>
            </w:pPr>
            <w:r>
              <w:rPr>
                <w:rFonts w:hint="eastAsia"/>
                <w:b/>
                <w:szCs w:val="18"/>
              </w:rPr>
              <w:t>其他环境风险防控要求：</w:t>
            </w:r>
          </w:p>
          <w:p>
            <w:pPr>
              <w:pStyle w:val="136"/>
              <w:numPr>
                <w:ilvl w:val="0"/>
                <w:numId w:val="8"/>
              </w:numPr>
              <w:adjustRightInd w:val="0"/>
              <w:snapToGrid w:val="0"/>
              <w:jc w:val="both"/>
              <w:rPr>
                <w:szCs w:val="18"/>
              </w:rPr>
            </w:pPr>
            <w:r>
              <w:rPr>
                <w:szCs w:val="18"/>
              </w:rPr>
              <w:t>企业环境风险防控要求：工业企业退出用地，应按相关要求进行评估、修复，满足相应用地功能后，方可改变用途；加强“散乱污”企业环境风险防控；现有涉及五类重金属的企业，严控污染物排放，限时整治或搬迁；加强再生利用行业清理整顿；落实《电子废物、废轮胎、废塑料、废旧衣服、废家电拆解等再生利用行业清理整顿工作方案》，防止污染土壤和地下水；</w:t>
            </w:r>
          </w:p>
          <w:p>
            <w:pPr>
              <w:pStyle w:val="136"/>
              <w:numPr>
                <w:ilvl w:val="0"/>
                <w:numId w:val="8"/>
              </w:numPr>
              <w:adjustRightInd w:val="0"/>
              <w:snapToGrid w:val="0"/>
              <w:jc w:val="both"/>
              <w:rPr>
                <w:szCs w:val="18"/>
              </w:rPr>
            </w:pPr>
            <w:r>
              <w:rPr>
                <w:szCs w:val="18"/>
              </w:rPr>
              <w:t>用地环境风险防控要求：-严禁将城镇生活垃圾、污泥、工业废物直接用作肥料，禁止处理不达标的污泥进入耕地；禁止在农用地排放、倾倒、使用污泥、清淤底泥、尾矿（渣）等可能对土壤造成污染的固体废物；</w:t>
            </w:r>
          </w:p>
          <w:p>
            <w:pPr>
              <w:pStyle w:val="136"/>
              <w:numPr>
                <w:ilvl w:val="0"/>
                <w:numId w:val="8"/>
              </w:numPr>
              <w:adjustRightInd w:val="0"/>
              <w:snapToGrid w:val="0"/>
              <w:jc w:val="both"/>
              <w:rPr>
                <w:szCs w:val="18"/>
              </w:rPr>
            </w:pPr>
            <w:r>
              <w:rPr>
                <w:szCs w:val="18"/>
              </w:rPr>
              <w:t>严格控制林地、草地、园地的农药使用量，禁止使用高毒、高残留农药；</w:t>
            </w:r>
          </w:p>
        </w:tc>
        <w:tc>
          <w:tcPr>
            <w:tcW w:w="779" w:type="pct"/>
            <w:vAlign w:val="center"/>
          </w:tcPr>
          <w:p>
            <w:pPr>
              <w:pStyle w:val="136"/>
              <w:adjustRightInd w:val="0"/>
              <w:snapToGrid w:val="0"/>
              <w:jc w:val="both"/>
              <w:rPr>
                <w:szCs w:val="18"/>
              </w:rPr>
            </w:pPr>
            <w:r>
              <w:rPr>
                <w:rFonts w:hint="eastAsia"/>
                <w:szCs w:val="18"/>
              </w:rPr>
              <w:t>本项目为新建项目，环境风险潜势为</w:t>
            </w:r>
            <w:r>
              <w:rPr>
                <w:szCs w:val="18"/>
              </w:rPr>
              <w:t>I级</w:t>
            </w:r>
            <w:r>
              <w:rPr>
                <w:rFonts w:hint="eastAsia"/>
                <w:szCs w:val="18"/>
              </w:rPr>
              <w:t>，在落实本报告提出的环境风险防控措施后，项目建设满足环境风险防控要求。</w:t>
            </w:r>
          </w:p>
        </w:tc>
        <w:tc>
          <w:tcPr>
            <w:tcW w:w="311" w:type="pct"/>
            <w:vAlign w:val="center"/>
          </w:tcPr>
          <w:p>
            <w:pPr>
              <w:pStyle w:val="136"/>
              <w:adjustRightInd w:val="0"/>
              <w:snapToGrid w:val="0"/>
              <w:rPr>
                <w:b/>
                <w:szCs w:val="18"/>
              </w:rPr>
            </w:pPr>
            <w:r>
              <w:rPr>
                <w:rFonts w:hint="eastAsia"/>
                <w:b/>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0" w:type="pct"/>
            <w:vMerge w:val="continue"/>
            <w:vAlign w:val="center"/>
          </w:tcPr>
          <w:p>
            <w:pPr>
              <w:pStyle w:val="136"/>
              <w:adjustRightInd w:val="0"/>
              <w:snapToGrid w:val="0"/>
              <w:rPr>
                <w:szCs w:val="18"/>
              </w:rPr>
            </w:pPr>
          </w:p>
        </w:tc>
        <w:tc>
          <w:tcPr>
            <w:tcW w:w="129" w:type="pct"/>
            <w:vMerge w:val="continue"/>
            <w:vAlign w:val="center"/>
          </w:tcPr>
          <w:p>
            <w:pPr>
              <w:pStyle w:val="136"/>
              <w:adjustRightInd w:val="0"/>
              <w:snapToGrid w:val="0"/>
              <w:rPr>
                <w:szCs w:val="18"/>
              </w:rPr>
            </w:pPr>
          </w:p>
        </w:tc>
        <w:tc>
          <w:tcPr>
            <w:tcW w:w="150" w:type="pct"/>
            <w:vAlign w:val="center"/>
          </w:tcPr>
          <w:p>
            <w:pPr>
              <w:pStyle w:val="136"/>
              <w:adjustRightInd w:val="0"/>
              <w:snapToGrid w:val="0"/>
              <w:rPr>
                <w:szCs w:val="18"/>
              </w:rPr>
            </w:pPr>
            <w:r>
              <w:rPr>
                <w:rFonts w:hint="eastAsia"/>
                <w:szCs w:val="18"/>
              </w:rPr>
              <w:t>资源开发利用效率</w:t>
            </w:r>
          </w:p>
        </w:tc>
        <w:tc>
          <w:tcPr>
            <w:tcW w:w="3171" w:type="pct"/>
            <w:vAlign w:val="center"/>
          </w:tcPr>
          <w:p>
            <w:pPr>
              <w:pStyle w:val="136"/>
              <w:adjustRightInd w:val="0"/>
              <w:snapToGrid w:val="0"/>
              <w:jc w:val="both"/>
              <w:rPr>
                <w:b/>
                <w:szCs w:val="18"/>
              </w:rPr>
            </w:pPr>
            <w:r>
              <w:rPr>
                <w:rFonts w:hint="eastAsia"/>
                <w:b/>
                <w:szCs w:val="18"/>
              </w:rPr>
              <w:t>水资源利用总量要求：</w:t>
            </w:r>
          </w:p>
          <w:p>
            <w:pPr>
              <w:pStyle w:val="136"/>
              <w:adjustRightInd w:val="0"/>
              <w:snapToGrid w:val="0"/>
              <w:jc w:val="both"/>
              <w:rPr>
                <w:szCs w:val="18"/>
              </w:rPr>
            </w:pPr>
            <w:r>
              <w:rPr>
                <w:szCs w:val="18"/>
              </w:rPr>
              <w:t>到2022年，万元国内生产总值用水量、万元工业增加值用水量较2015年分别降低30%和28%；</w:t>
            </w:r>
          </w:p>
          <w:p>
            <w:pPr>
              <w:pStyle w:val="136"/>
              <w:adjustRightInd w:val="0"/>
              <w:snapToGrid w:val="0"/>
              <w:jc w:val="both"/>
              <w:rPr>
                <w:b/>
                <w:bCs/>
                <w:szCs w:val="18"/>
              </w:rPr>
            </w:pPr>
            <w:r>
              <w:rPr>
                <w:rFonts w:hint="eastAsia"/>
                <w:b/>
                <w:bCs/>
                <w:szCs w:val="18"/>
              </w:rPr>
              <w:t>地下水开采要求：</w:t>
            </w:r>
          </w:p>
          <w:p>
            <w:pPr>
              <w:pStyle w:val="136"/>
              <w:numPr>
                <w:ilvl w:val="0"/>
                <w:numId w:val="9"/>
              </w:numPr>
              <w:adjustRightInd w:val="0"/>
              <w:snapToGrid w:val="0"/>
              <w:jc w:val="both"/>
              <w:rPr>
                <w:szCs w:val="18"/>
              </w:rPr>
            </w:pPr>
            <w:r>
              <w:rPr>
                <w:szCs w:val="18"/>
              </w:rPr>
              <w:t>巴中市2025年地下水开采</w:t>
            </w:r>
            <w:r>
              <w:rPr>
                <w:rFonts w:hint="eastAsia"/>
                <w:szCs w:val="18"/>
              </w:rPr>
              <w:t>控制</w:t>
            </w:r>
            <w:r>
              <w:rPr>
                <w:szCs w:val="18"/>
              </w:rPr>
              <w:t>量保持在1400万m</w:t>
            </w:r>
            <w:r>
              <w:rPr>
                <w:szCs w:val="18"/>
                <w:vertAlign w:val="superscript"/>
              </w:rPr>
              <w:t>3</w:t>
            </w:r>
            <w:r>
              <w:rPr>
                <w:szCs w:val="18"/>
              </w:rPr>
              <w:t>以内；</w:t>
            </w:r>
          </w:p>
          <w:p>
            <w:pPr>
              <w:pStyle w:val="136"/>
              <w:numPr>
                <w:ilvl w:val="0"/>
                <w:numId w:val="9"/>
              </w:numPr>
              <w:adjustRightInd w:val="0"/>
              <w:snapToGrid w:val="0"/>
              <w:jc w:val="both"/>
              <w:rPr>
                <w:szCs w:val="18"/>
              </w:rPr>
            </w:pPr>
            <w:r>
              <w:rPr>
                <w:szCs w:val="18"/>
              </w:rPr>
              <w:t>地下水开采量控制在可开采量的允许范围内，抑制用水过度增长；</w:t>
            </w:r>
          </w:p>
          <w:p>
            <w:pPr>
              <w:pStyle w:val="136"/>
              <w:adjustRightInd w:val="0"/>
              <w:snapToGrid w:val="0"/>
              <w:jc w:val="both"/>
              <w:rPr>
                <w:b/>
                <w:bCs/>
                <w:szCs w:val="18"/>
              </w:rPr>
            </w:pPr>
            <w:r>
              <w:rPr>
                <w:b/>
                <w:bCs/>
                <w:szCs w:val="18"/>
              </w:rPr>
              <w:t>能源利用总量及效率要求：</w:t>
            </w:r>
          </w:p>
          <w:p>
            <w:pPr>
              <w:pStyle w:val="136"/>
              <w:numPr>
                <w:ilvl w:val="0"/>
                <w:numId w:val="10"/>
              </w:numPr>
              <w:adjustRightInd w:val="0"/>
              <w:snapToGrid w:val="0"/>
              <w:jc w:val="both"/>
              <w:rPr>
                <w:szCs w:val="18"/>
              </w:rPr>
            </w:pPr>
            <w:r>
              <w:rPr>
                <w:szCs w:val="18"/>
              </w:rPr>
              <w:t>推进清洁能源的推广使用，全面推进散煤清洁化整治；</w:t>
            </w:r>
          </w:p>
          <w:p>
            <w:pPr>
              <w:pStyle w:val="136"/>
              <w:numPr>
                <w:ilvl w:val="0"/>
                <w:numId w:val="10"/>
              </w:numPr>
              <w:adjustRightInd w:val="0"/>
              <w:snapToGrid w:val="0"/>
              <w:jc w:val="both"/>
              <w:rPr>
                <w:szCs w:val="18"/>
              </w:rPr>
            </w:pPr>
            <w:r>
              <w:rPr>
                <w:szCs w:val="18"/>
              </w:rPr>
              <w:t>禁止新建每小时10蒸吨以下的燃煤锅炉及其他燃煤设施；</w:t>
            </w:r>
          </w:p>
          <w:p>
            <w:pPr>
              <w:pStyle w:val="136"/>
              <w:numPr>
                <w:ilvl w:val="0"/>
                <w:numId w:val="10"/>
              </w:numPr>
              <w:adjustRightInd w:val="0"/>
              <w:snapToGrid w:val="0"/>
              <w:jc w:val="both"/>
              <w:rPr>
                <w:szCs w:val="18"/>
              </w:rPr>
            </w:pPr>
            <w:r>
              <w:rPr>
                <w:szCs w:val="18"/>
              </w:rPr>
              <w:t>禁止焚烧秸秆和垃圾；</w:t>
            </w:r>
          </w:p>
          <w:p>
            <w:pPr>
              <w:pStyle w:val="136"/>
              <w:adjustRightInd w:val="0"/>
              <w:snapToGrid w:val="0"/>
              <w:jc w:val="both"/>
              <w:rPr>
                <w:b/>
                <w:bCs/>
                <w:szCs w:val="18"/>
              </w:rPr>
            </w:pPr>
            <w:r>
              <w:rPr>
                <w:b/>
                <w:bCs/>
                <w:szCs w:val="18"/>
              </w:rPr>
              <w:t>禁燃区要求：</w:t>
            </w:r>
          </w:p>
          <w:p>
            <w:pPr>
              <w:pStyle w:val="136"/>
              <w:numPr>
                <w:ilvl w:val="0"/>
                <w:numId w:val="11"/>
              </w:numPr>
              <w:adjustRightInd w:val="0"/>
              <w:snapToGrid w:val="0"/>
              <w:jc w:val="both"/>
              <w:rPr>
                <w:szCs w:val="18"/>
              </w:rPr>
            </w:pPr>
            <w:r>
              <w:rPr>
                <w:szCs w:val="18"/>
              </w:rPr>
              <w:t>在禁燃区内禁止销售、燃用高污染燃料；</w:t>
            </w:r>
          </w:p>
          <w:p>
            <w:pPr>
              <w:pStyle w:val="136"/>
              <w:numPr>
                <w:ilvl w:val="0"/>
                <w:numId w:val="11"/>
              </w:numPr>
              <w:adjustRightInd w:val="0"/>
              <w:snapToGrid w:val="0"/>
              <w:jc w:val="both"/>
              <w:rPr>
                <w:szCs w:val="18"/>
              </w:rPr>
            </w:pPr>
            <w:r>
              <w:rPr>
                <w:szCs w:val="18"/>
              </w:rPr>
              <w:t>禁燃区内禁止新建、扩建燃用高污染燃料的设施；</w:t>
            </w:r>
          </w:p>
          <w:p>
            <w:pPr>
              <w:pStyle w:val="136"/>
              <w:numPr>
                <w:ilvl w:val="0"/>
                <w:numId w:val="11"/>
              </w:numPr>
              <w:adjustRightInd w:val="0"/>
              <w:snapToGrid w:val="0"/>
              <w:jc w:val="both"/>
              <w:rPr>
                <w:szCs w:val="18"/>
              </w:rPr>
            </w:pPr>
            <w:r>
              <w:rPr>
                <w:szCs w:val="18"/>
              </w:rPr>
              <w:t>已建成的，应当于2021年12月31日前改用天然气、页岩气、液化石油气、电或其他清洁能源；</w:t>
            </w:r>
          </w:p>
          <w:p>
            <w:pPr>
              <w:pStyle w:val="136"/>
              <w:numPr>
                <w:ilvl w:val="0"/>
                <w:numId w:val="11"/>
              </w:numPr>
              <w:adjustRightInd w:val="0"/>
              <w:snapToGrid w:val="0"/>
              <w:jc w:val="both"/>
              <w:rPr>
                <w:szCs w:val="18"/>
              </w:rPr>
            </w:pPr>
            <w:r>
              <w:rPr>
                <w:szCs w:val="18"/>
              </w:rPr>
              <w:t>现有燃用高污染燃料燃用设施在拆除或改造前，有关单位（企业）应当采取措施，确保大气污染物排放达到国家规定标准；</w:t>
            </w:r>
          </w:p>
          <w:p>
            <w:pPr>
              <w:pStyle w:val="136"/>
              <w:adjustRightInd w:val="0"/>
              <w:snapToGrid w:val="0"/>
              <w:jc w:val="both"/>
              <w:rPr>
                <w:b/>
                <w:bCs/>
                <w:szCs w:val="18"/>
              </w:rPr>
            </w:pPr>
            <w:r>
              <w:rPr>
                <w:b/>
                <w:bCs/>
                <w:szCs w:val="18"/>
              </w:rPr>
              <w:t>其他资源利用效率要求：</w:t>
            </w:r>
          </w:p>
          <w:p>
            <w:pPr>
              <w:pStyle w:val="136"/>
              <w:numPr>
                <w:ilvl w:val="0"/>
                <w:numId w:val="12"/>
              </w:numPr>
              <w:adjustRightInd w:val="0"/>
              <w:snapToGrid w:val="0"/>
              <w:jc w:val="both"/>
              <w:rPr>
                <w:szCs w:val="18"/>
              </w:rPr>
            </w:pPr>
            <w:r>
              <w:rPr>
                <w:szCs w:val="18"/>
              </w:rPr>
              <w:t>到2025年，巴中市农田有效灌溉系数达到0.56；</w:t>
            </w:r>
          </w:p>
          <w:p>
            <w:pPr>
              <w:pStyle w:val="136"/>
              <w:numPr>
                <w:ilvl w:val="0"/>
                <w:numId w:val="12"/>
              </w:numPr>
              <w:adjustRightInd w:val="0"/>
              <w:snapToGrid w:val="0"/>
              <w:jc w:val="both"/>
              <w:rPr>
                <w:szCs w:val="18"/>
              </w:rPr>
            </w:pPr>
            <w:r>
              <w:rPr>
                <w:szCs w:val="18"/>
              </w:rPr>
              <w:t>到2030年，巴中市农田有效灌溉率提到40%，农田灌溉用水有效利用系数提高到0.62左右；</w:t>
            </w:r>
          </w:p>
        </w:tc>
        <w:tc>
          <w:tcPr>
            <w:tcW w:w="779" w:type="pct"/>
            <w:vAlign w:val="center"/>
          </w:tcPr>
          <w:p>
            <w:pPr>
              <w:pStyle w:val="136"/>
              <w:adjustRightInd w:val="0"/>
              <w:snapToGrid w:val="0"/>
              <w:jc w:val="both"/>
              <w:rPr>
                <w:szCs w:val="18"/>
              </w:rPr>
            </w:pPr>
            <w:r>
              <w:rPr>
                <w:szCs w:val="18"/>
              </w:rPr>
              <w:t>本项目用水量为</w:t>
            </w:r>
            <w:r>
              <w:rPr>
                <w:rFonts w:hint="eastAsia"/>
                <w:szCs w:val="18"/>
              </w:rPr>
              <w:t>6</w:t>
            </w:r>
            <w:r>
              <w:rPr>
                <w:szCs w:val="18"/>
              </w:rPr>
              <w:t>94.98m</w:t>
            </w:r>
            <w:r>
              <w:rPr>
                <w:szCs w:val="18"/>
                <w:vertAlign w:val="superscript"/>
              </w:rPr>
              <w:t>3</w:t>
            </w:r>
            <w:r>
              <w:rPr>
                <w:szCs w:val="18"/>
              </w:rPr>
              <w:t>/a，区域水资源可承载</w:t>
            </w:r>
            <w:r>
              <w:rPr>
                <w:rFonts w:hint="eastAsia"/>
                <w:szCs w:val="18"/>
              </w:rPr>
              <w:t>；本项目不涉及地下水开采，不涉及锅炉建设，不涉及高污染燃料使用。</w:t>
            </w:r>
          </w:p>
        </w:tc>
        <w:tc>
          <w:tcPr>
            <w:tcW w:w="311" w:type="pct"/>
            <w:vAlign w:val="center"/>
          </w:tcPr>
          <w:p>
            <w:pPr>
              <w:pStyle w:val="136"/>
              <w:adjustRightInd w:val="0"/>
              <w:snapToGrid w:val="0"/>
              <w:rPr>
                <w:b/>
                <w:szCs w:val="18"/>
              </w:rPr>
            </w:pPr>
            <w:r>
              <w:rPr>
                <w:rFonts w:hint="eastAsia"/>
                <w:b/>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0" w:type="pct"/>
            <w:vMerge w:val="continue"/>
            <w:vAlign w:val="center"/>
          </w:tcPr>
          <w:p>
            <w:pPr>
              <w:pStyle w:val="136"/>
              <w:adjustRightInd w:val="0"/>
              <w:snapToGrid w:val="0"/>
              <w:rPr>
                <w:szCs w:val="18"/>
              </w:rPr>
            </w:pPr>
          </w:p>
        </w:tc>
        <w:tc>
          <w:tcPr>
            <w:tcW w:w="129" w:type="pct"/>
            <w:vMerge w:val="restart"/>
            <w:vAlign w:val="center"/>
          </w:tcPr>
          <w:p>
            <w:pPr>
              <w:pStyle w:val="136"/>
              <w:adjustRightInd w:val="0"/>
              <w:snapToGrid w:val="0"/>
              <w:rPr>
                <w:szCs w:val="18"/>
              </w:rPr>
            </w:pPr>
            <w:r>
              <w:rPr>
                <w:rFonts w:hint="eastAsia"/>
                <w:szCs w:val="18"/>
              </w:rPr>
              <w:t>单元级清单管控要求</w:t>
            </w:r>
          </w:p>
        </w:tc>
        <w:tc>
          <w:tcPr>
            <w:tcW w:w="150" w:type="pct"/>
            <w:vAlign w:val="center"/>
          </w:tcPr>
          <w:p>
            <w:pPr>
              <w:pStyle w:val="136"/>
              <w:adjustRightInd w:val="0"/>
              <w:snapToGrid w:val="0"/>
              <w:rPr>
                <w:szCs w:val="18"/>
              </w:rPr>
            </w:pPr>
            <w:r>
              <w:rPr>
                <w:rFonts w:hint="eastAsia"/>
                <w:szCs w:val="18"/>
              </w:rPr>
              <w:t>空间布局约束</w:t>
            </w:r>
          </w:p>
        </w:tc>
        <w:tc>
          <w:tcPr>
            <w:tcW w:w="3171" w:type="pct"/>
            <w:vAlign w:val="center"/>
          </w:tcPr>
          <w:p>
            <w:pPr>
              <w:pStyle w:val="136"/>
              <w:adjustRightInd w:val="0"/>
              <w:snapToGrid w:val="0"/>
              <w:jc w:val="both"/>
              <w:rPr>
                <w:b/>
                <w:szCs w:val="18"/>
              </w:rPr>
            </w:pPr>
            <w:r>
              <w:rPr>
                <w:rFonts w:hint="eastAsia"/>
                <w:b/>
                <w:szCs w:val="18"/>
              </w:rPr>
              <w:t>禁止开发建设活动的要求：</w:t>
            </w:r>
          </w:p>
          <w:p>
            <w:pPr>
              <w:pStyle w:val="136"/>
              <w:adjustRightInd w:val="0"/>
              <w:snapToGrid w:val="0"/>
              <w:jc w:val="both"/>
              <w:rPr>
                <w:szCs w:val="18"/>
              </w:rPr>
            </w:pPr>
            <w:r>
              <w:rPr>
                <w:szCs w:val="18"/>
              </w:rPr>
              <w:t>执行要素重点管控单元总体准入要求；</w:t>
            </w:r>
          </w:p>
          <w:p>
            <w:pPr>
              <w:pStyle w:val="136"/>
              <w:adjustRightInd w:val="0"/>
              <w:snapToGrid w:val="0"/>
              <w:jc w:val="both"/>
              <w:rPr>
                <w:b/>
                <w:szCs w:val="18"/>
              </w:rPr>
            </w:pPr>
            <w:r>
              <w:rPr>
                <w:rFonts w:hint="eastAsia"/>
                <w:b/>
                <w:szCs w:val="18"/>
              </w:rPr>
              <w:t>限制开发建设活动的要求：</w:t>
            </w:r>
          </w:p>
          <w:p>
            <w:pPr>
              <w:pStyle w:val="136"/>
              <w:adjustRightInd w:val="0"/>
              <w:snapToGrid w:val="0"/>
              <w:jc w:val="both"/>
              <w:rPr>
                <w:szCs w:val="18"/>
              </w:rPr>
            </w:pPr>
            <w:r>
              <w:rPr>
                <w:szCs w:val="18"/>
              </w:rPr>
              <w:t>（1）大气布局敏感重点管控区严格项目引入政策，严控新建水泥厂、危废焚烧、砖瓦厂、陶瓷厂、混凝土及制品等以大气污染为主的企业；</w:t>
            </w:r>
          </w:p>
          <w:p>
            <w:pPr>
              <w:pStyle w:val="136"/>
              <w:adjustRightInd w:val="0"/>
              <w:snapToGrid w:val="0"/>
              <w:jc w:val="both"/>
              <w:rPr>
                <w:szCs w:val="18"/>
              </w:rPr>
            </w:pPr>
            <w:r>
              <w:rPr>
                <w:szCs w:val="18"/>
              </w:rPr>
              <w:t>（2）其他执行要素重点管控单元总体准入</w:t>
            </w:r>
            <w:r>
              <w:rPr>
                <w:rFonts w:hint="eastAsia"/>
                <w:szCs w:val="18"/>
              </w:rPr>
              <w:t>要求</w:t>
            </w:r>
            <w:r>
              <w:rPr>
                <w:szCs w:val="18"/>
              </w:rPr>
              <w:t>；</w:t>
            </w:r>
          </w:p>
          <w:p>
            <w:pPr>
              <w:pStyle w:val="136"/>
              <w:adjustRightInd w:val="0"/>
              <w:snapToGrid w:val="0"/>
              <w:jc w:val="both"/>
              <w:rPr>
                <w:b/>
                <w:szCs w:val="18"/>
              </w:rPr>
            </w:pPr>
            <w:r>
              <w:rPr>
                <w:rFonts w:hint="eastAsia"/>
                <w:b/>
                <w:szCs w:val="18"/>
              </w:rPr>
              <w:t>不符合空间布局要求活动的退出要求：</w:t>
            </w:r>
          </w:p>
          <w:p>
            <w:pPr>
              <w:pStyle w:val="136"/>
              <w:adjustRightInd w:val="0"/>
              <w:snapToGrid w:val="0"/>
              <w:jc w:val="both"/>
              <w:rPr>
                <w:szCs w:val="18"/>
              </w:rPr>
            </w:pPr>
            <w:r>
              <w:rPr>
                <w:szCs w:val="18"/>
              </w:rPr>
              <w:t>（1）位于城镇空间外的工业园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w:t>
            </w:r>
          </w:p>
          <w:p>
            <w:pPr>
              <w:pStyle w:val="136"/>
              <w:adjustRightInd w:val="0"/>
              <w:snapToGrid w:val="0"/>
              <w:jc w:val="both"/>
              <w:rPr>
                <w:szCs w:val="18"/>
              </w:rPr>
            </w:pPr>
            <w:r>
              <w:rPr>
                <w:szCs w:val="18"/>
              </w:rPr>
              <w:t>（2）其他执行要素重点管控单元总体管控要求；</w:t>
            </w:r>
          </w:p>
        </w:tc>
        <w:tc>
          <w:tcPr>
            <w:tcW w:w="779" w:type="pct"/>
            <w:vAlign w:val="center"/>
          </w:tcPr>
          <w:p>
            <w:pPr>
              <w:pStyle w:val="136"/>
              <w:adjustRightInd w:val="0"/>
              <w:snapToGrid w:val="0"/>
              <w:jc w:val="both"/>
              <w:rPr>
                <w:b/>
                <w:szCs w:val="18"/>
              </w:rPr>
            </w:pPr>
            <w:r>
              <w:rPr>
                <w:rFonts w:hint="eastAsia"/>
                <w:b/>
                <w:szCs w:val="18"/>
              </w:rPr>
              <w:t>禁止开发建设活动的要求：</w:t>
            </w:r>
          </w:p>
          <w:p>
            <w:pPr>
              <w:pStyle w:val="136"/>
              <w:adjustRightInd w:val="0"/>
              <w:snapToGrid w:val="0"/>
              <w:jc w:val="both"/>
              <w:rPr>
                <w:szCs w:val="18"/>
              </w:rPr>
            </w:pPr>
            <w:r>
              <w:rPr>
                <w:rFonts w:hint="eastAsia"/>
                <w:szCs w:val="18"/>
              </w:rPr>
              <w:t>同</w:t>
            </w:r>
            <w:r>
              <w:rPr>
                <w:szCs w:val="18"/>
              </w:rPr>
              <w:t>要素重点管控单元总体准入要求</w:t>
            </w:r>
            <w:r>
              <w:rPr>
                <w:rFonts w:hint="eastAsia"/>
                <w:szCs w:val="18"/>
              </w:rPr>
              <w:t>分析情况；</w:t>
            </w:r>
          </w:p>
          <w:p>
            <w:pPr>
              <w:pStyle w:val="136"/>
              <w:adjustRightInd w:val="0"/>
              <w:snapToGrid w:val="0"/>
              <w:jc w:val="both"/>
              <w:rPr>
                <w:b/>
                <w:szCs w:val="18"/>
              </w:rPr>
            </w:pPr>
            <w:r>
              <w:rPr>
                <w:rFonts w:hint="eastAsia"/>
                <w:b/>
                <w:szCs w:val="18"/>
              </w:rPr>
              <w:t>限制开发建设活动的要求：</w:t>
            </w:r>
          </w:p>
          <w:p>
            <w:pPr>
              <w:pStyle w:val="136"/>
              <w:adjustRightInd w:val="0"/>
              <w:snapToGrid w:val="0"/>
              <w:jc w:val="both"/>
              <w:rPr>
                <w:szCs w:val="18"/>
              </w:rPr>
            </w:pPr>
            <w:r>
              <w:rPr>
                <w:rFonts w:hint="eastAsia"/>
                <w:szCs w:val="18"/>
              </w:rPr>
              <w:t>本项目为环境监测实验室建设项目，不属于</w:t>
            </w:r>
            <w:r>
              <w:rPr>
                <w:szCs w:val="18"/>
              </w:rPr>
              <w:t>水泥厂、危废焚烧、砖瓦厂、陶瓷厂、混凝土及制品等以大气污染为主的企业</w:t>
            </w:r>
            <w:r>
              <w:rPr>
                <w:rFonts w:hint="eastAsia"/>
                <w:szCs w:val="18"/>
              </w:rPr>
              <w:t>；</w:t>
            </w:r>
          </w:p>
        </w:tc>
        <w:tc>
          <w:tcPr>
            <w:tcW w:w="311" w:type="pct"/>
            <w:vAlign w:val="center"/>
          </w:tcPr>
          <w:p>
            <w:pPr>
              <w:pStyle w:val="136"/>
              <w:adjustRightInd w:val="0"/>
              <w:snapToGrid w:val="0"/>
              <w:rPr>
                <w:szCs w:val="18"/>
              </w:rPr>
            </w:pPr>
            <w:r>
              <w:rPr>
                <w:rFonts w:hint="eastAsia"/>
                <w:b/>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0" w:type="pct"/>
            <w:vMerge w:val="continue"/>
            <w:vAlign w:val="center"/>
          </w:tcPr>
          <w:p>
            <w:pPr>
              <w:pStyle w:val="136"/>
              <w:adjustRightInd w:val="0"/>
              <w:snapToGrid w:val="0"/>
              <w:rPr>
                <w:szCs w:val="18"/>
              </w:rPr>
            </w:pPr>
          </w:p>
        </w:tc>
        <w:tc>
          <w:tcPr>
            <w:tcW w:w="129" w:type="pct"/>
            <w:vMerge w:val="continue"/>
            <w:vAlign w:val="center"/>
          </w:tcPr>
          <w:p>
            <w:pPr>
              <w:pStyle w:val="136"/>
              <w:adjustRightInd w:val="0"/>
              <w:snapToGrid w:val="0"/>
              <w:rPr>
                <w:szCs w:val="18"/>
              </w:rPr>
            </w:pPr>
          </w:p>
        </w:tc>
        <w:tc>
          <w:tcPr>
            <w:tcW w:w="150" w:type="pct"/>
            <w:vAlign w:val="center"/>
          </w:tcPr>
          <w:p>
            <w:pPr>
              <w:pStyle w:val="136"/>
              <w:adjustRightInd w:val="0"/>
              <w:snapToGrid w:val="0"/>
              <w:rPr>
                <w:szCs w:val="18"/>
              </w:rPr>
            </w:pPr>
            <w:r>
              <w:rPr>
                <w:rFonts w:hint="eastAsia"/>
                <w:szCs w:val="18"/>
              </w:rPr>
              <w:t>污染物排放管控</w:t>
            </w:r>
          </w:p>
        </w:tc>
        <w:tc>
          <w:tcPr>
            <w:tcW w:w="3171" w:type="pct"/>
            <w:vAlign w:val="center"/>
          </w:tcPr>
          <w:p>
            <w:pPr>
              <w:pStyle w:val="136"/>
              <w:adjustRightInd w:val="0"/>
              <w:snapToGrid w:val="0"/>
              <w:jc w:val="both"/>
              <w:rPr>
                <w:b/>
                <w:bCs/>
                <w:szCs w:val="18"/>
              </w:rPr>
            </w:pPr>
            <w:r>
              <w:rPr>
                <w:b/>
                <w:bCs/>
                <w:szCs w:val="18"/>
              </w:rPr>
              <w:t>现有源提标升级改造：</w:t>
            </w:r>
          </w:p>
          <w:p>
            <w:pPr>
              <w:pStyle w:val="136"/>
              <w:adjustRightInd w:val="0"/>
              <w:snapToGrid w:val="0"/>
              <w:jc w:val="both"/>
              <w:rPr>
                <w:szCs w:val="18"/>
              </w:rPr>
            </w:pPr>
            <w:r>
              <w:rPr>
                <w:szCs w:val="18"/>
              </w:rPr>
              <w:t>（1）大气布局敏感重点管控区中的大气污染排放源执行国家、省、行业排放标准中规定的大气污染物特别排放限值；</w:t>
            </w:r>
          </w:p>
          <w:p>
            <w:pPr>
              <w:pStyle w:val="136"/>
              <w:adjustRightInd w:val="0"/>
              <w:snapToGrid w:val="0"/>
              <w:jc w:val="both"/>
              <w:rPr>
                <w:szCs w:val="18"/>
              </w:rPr>
            </w:pPr>
            <w:r>
              <w:rPr>
                <w:szCs w:val="18"/>
              </w:rPr>
              <w:t>（2）其他执行要素重点管控单元总体准入</w:t>
            </w:r>
            <w:r>
              <w:rPr>
                <w:rFonts w:hint="eastAsia"/>
                <w:szCs w:val="18"/>
              </w:rPr>
              <w:t>要求</w:t>
            </w:r>
            <w:r>
              <w:rPr>
                <w:szCs w:val="18"/>
              </w:rPr>
              <w:t>；</w:t>
            </w:r>
          </w:p>
          <w:p>
            <w:pPr>
              <w:pStyle w:val="136"/>
              <w:adjustRightInd w:val="0"/>
              <w:snapToGrid w:val="0"/>
              <w:jc w:val="both"/>
              <w:rPr>
                <w:b/>
                <w:bCs/>
                <w:szCs w:val="18"/>
              </w:rPr>
            </w:pPr>
            <w:r>
              <w:rPr>
                <w:b/>
                <w:bCs/>
                <w:szCs w:val="18"/>
              </w:rPr>
              <w:t>新增源等量或倍量替代：</w:t>
            </w:r>
          </w:p>
          <w:p>
            <w:pPr>
              <w:pStyle w:val="136"/>
              <w:adjustRightInd w:val="0"/>
              <w:snapToGrid w:val="0"/>
              <w:jc w:val="both"/>
              <w:rPr>
                <w:szCs w:val="18"/>
              </w:rPr>
            </w:pPr>
            <w:r>
              <w:rPr>
                <w:szCs w:val="18"/>
              </w:rPr>
              <w:t>执行要素重点管控单元总体准入要求；</w:t>
            </w:r>
          </w:p>
          <w:p>
            <w:pPr>
              <w:pStyle w:val="136"/>
              <w:adjustRightInd w:val="0"/>
              <w:snapToGrid w:val="0"/>
              <w:jc w:val="both"/>
              <w:rPr>
                <w:b/>
                <w:bCs/>
                <w:szCs w:val="18"/>
              </w:rPr>
            </w:pPr>
            <w:r>
              <w:rPr>
                <w:b/>
                <w:bCs/>
                <w:szCs w:val="18"/>
              </w:rPr>
              <w:t>新增源排放标准限值：</w:t>
            </w:r>
          </w:p>
          <w:p>
            <w:pPr>
              <w:pStyle w:val="136"/>
              <w:adjustRightInd w:val="0"/>
              <w:snapToGrid w:val="0"/>
              <w:jc w:val="both"/>
              <w:rPr>
                <w:szCs w:val="18"/>
              </w:rPr>
            </w:pPr>
            <w:r>
              <w:rPr>
                <w:szCs w:val="18"/>
              </w:rPr>
              <w:t>执行要素重点管控单元总体准入要求；</w:t>
            </w:r>
          </w:p>
          <w:p>
            <w:pPr>
              <w:pStyle w:val="136"/>
              <w:adjustRightInd w:val="0"/>
              <w:snapToGrid w:val="0"/>
              <w:jc w:val="both"/>
              <w:rPr>
                <w:b/>
                <w:bCs/>
                <w:szCs w:val="18"/>
              </w:rPr>
            </w:pPr>
            <w:r>
              <w:rPr>
                <w:b/>
                <w:bCs/>
                <w:szCs w:val="18"/>
              </w:rPr>
              <w:t>污染物排放绩效水平准入要求：</w:t>
            </w:r>
          </w:p>
          <w:p>
            <w:pPr>
              <w:pStyle w:val="136"/>
              <w:adjustRightInd w:val="0"/>
              <w:snapToGrid w:val="0"/>
              <w:jc w:val="both"/>
              <w:rPr>
                <w:b/>
                <w:szCs w:val="18"/>
              </w:rPr>
            </w:pPr>
            <w:r>
              <w:rPr>
                <w:szCs w:val="18"/>
              </w:rPr>
              <w:t>执行要素重点管控单元总体准入要求；</w:t>
            </w:r>
          </w:p>
        </w:tc>
        <w:tc>
          <w:tcPr>
            <w:tcW w:w="779" w:type="pct"/>
            <w:vAlign w:val="center"/>
          </w:tcPr>
          <w:p>
            <w:pPr>
              <w:pStyle w:val="136"/>
              <w:adjustRightInd w:val="0"/>
              <w:snapToGrid w:val="0"/>
              <w:jc w:val="both"/>
              <w:rPr>
                <w:szCs w:val="18"/>
              </w:rPr>
            </w:pPr>
            <w:r>
              <w:rPr>
                <w:rFonts w:hint="eastAsia"/>
                <w:szCs w:val="18"/>
              </w:rPr>
              <w:t>同</w:t>
            </w:r>
            <w:r>
              <w:rPr>
                <w:szCs w:val="18"/>
              </w:rPr>
              <w:t>要素重点管控单元总体准入要求</w:t>
            </w:r>
            <w:r>
              <w:rPr>
                <w:rFonts w:hint="eastAsia"/>
                <w:szCs w:val="18"/>
              </w:rPr>
              <w:t>分析情况；</w:t>
            </w:r>
          </w:p>
        </w:tc>
        <w:tc>
          <w:tcPr>
            <w:tcW w:w="311" w:type="pct"/>
            <w:vAlign w:val="center"/>
          </w:tcPr>
          <w:p>
            <w:pPr>
              <w:pStyle w:val="136"/>
              <w:adjustRightInd w:val="0"/>
              <w:snapToGrid w:val="0"/>
              <w:rPr>
                <w:szCs w:val="18"/>
              </w:rPr>
            </w:pPr>
            <w:r>
              <w:rPr>
                <w:rFonts w:hint="eastAsia"/>
                <w:b/>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0" w:type="pct"/>
            <w:vMerge w:val="continue"/>
            <w:vAlign w:val="center"/>
          </w:tcPr>
          <w:p>
            <w:pPr>
              <w:pStyle w:val="136"/>
              <w:adjustRightInd w:val="0"/>
              <w:snapToGrid w:val="0"/>
              <w:rPr>
                <w:szCs w:val="18"/>
              </w:rPr>
            </w:pPr>
          </w:p>
        </w:tc>
        <w:tc>
          <w:tcPr>
            <w:tcW w:w="129" w:type="pct"/>
            <w:vMerge w:val="continue"/>
            <w:vAlign w:val="center"/>
          </w:tcPr>
          <w:p>
            <w:pPr>
              <w:pStyle w:val="136"/>
              <w:adjustRightInd w:val="0"/>
              <w:snapToGrid w:val="0"/>
              <w:rPr>
                <w:szCs w:val="18"/>
              </w:rPr>
            </w:pPr>
          </w:p>
        </w:tc>
        <w:tc>
          <w:tcPr>
            <w:tcW w:w="150" w:type="pct"/>
            <w:vAlign w:val="center"/>
          </w:tcPr>
          <w:p>
            <w:pPr>
              <w:pStyle w:val="136"/>
              <w:adjustRightInd w:val="0"/>
              <w:snapToGrid w:val="0"/>
              <w:rPr>
                <w:szCs w:val="18"/>
              </w:rPr>
            </w:pPr>
            <w:r>
              <w:rPr>
                <w:rFonts w:hint="eastAsia"/>
                <w:szCs w:val="18"/>
              </w:rPr>
              <w:t>环境风险防控</w:t>
            </w:r>
          </w:p>
        </w:tc>
        <w:tc>
          <w:tcPr>
            <w:tcW w:w="3171" w:type="pct"/>
            <w:vAlign w:val="center"/>
          </w:tcPr>
          <w:p>
            <w:pPr>
              <w:pStyle w:val="136"/>
              <w:adjustRightInd w:val="0"/>
              <w:snapToGrid w:val="0"/>
              <w:jc w:val="both"/>
              <w:rPr>
                <w:b/>
                <w:bCs/>
                <w:szCs w:val="18"/>
              </w:rPr>
            </w:pPr>
            <w:r>
              <w:rPr>
                <w:b/>
                <w:bCs/>
                <w:szCs w:val="18"/>
              </w:rPr>
              <w:t>严格管控类农用地管控要求：</w:t>
            </w:r>
          </w:p>
          <w:p>
            <w:pPr>
              <w:pStyle w:val="136"/>
              <w:adjustRightInd w:val="0"/>
              <w:snapToGrid w:val="0"/>
              <w:jc w:val="both"/>
              <w:rPr>
                <w:szCs w:val="18"/>
              </w:rPr>
            </w:pPr>
            <w:r>
              <w:rPr>
                <w:szCs w:val="18"/>
              </w:rPr>
              <w:t>（1）开展矿区废弃地、尾矿坝生态治理示范，推进工矿废弃地修复和再利用；</w:t>
            </w:r>
          </w:p>
          <w:p>
            <w:pPr>
              <w:pStyle w:val="136"/>
              <w:adjustRightInd w:val="0"/>
              <w:snapToGrid w:val="0"/>
              <w:jc w:val="both"/>
              <w:rPr>
                <w:szCs w:val="18"/>
              </w:rPr>
            </w:pPr>
            <w:r>
              <w:rPr>
                <w:szCs w:val="18"/>
              </w:rPr>
              <w:t>（2）巴州区凌云乡鼓楼山村二组张家梁砂岩矿重点治理区、巴州区凌云乡柏垭庙村三组立木垭砂岩矿重点治理区、巴州区玉堂办事处登高居委会二组党家湾页岩矿重点治理区需在高陡边坡防护加固，平整土地，种草恢复植被、恢复地貌景观，加强环境监测管理；</w:t>
            </w:r>
          </w:p>
          <w:p>
            <w:pPr>
              <w:pStyle w:val="136"/>
              <w:adjustRightInd w:val="0"/>
              <w:snapToGrid w:val="0"/>
              <w:jc w:val="both"/>
              <w:rPr>
                <w:b/>
                <w:bCs/>
                <w:szCs w:val="18"/>
              </w:rPr>
            </w:pPr>
            <w:r>
              <w:rPr>
                <w:b/>
                <w:bCs/>
                <w:szCs w:val="18"/>
              </w:rPr>
              <w:t>安全利用类农用地管控要求：</w:t>
            </w:r>
          </w:p>
          <w:p>
            <w:pPr>
              <w:pStyle w:val="136"/>
              <w:adjustRightInd w:val="0"/>
              <w:snapToGrid w:val="0"/>
              <w:jc w:val="both"/>
              <w:rPr>
                <w:szCs w:val="18"/>
              </w:rPr>
            </w:pPr>
            <w:r>
              <w:rPr>
                <w:szCs w:val="18"/>
              </w:rPr>
              <w:t>（1）开展矿区废弃地、尾矿坝生态治理示范，推进工矿废弃地修复和再利用；</w:t>
            </w:r>
          </w:p>
          <w:p>
            <w:pPr>
              <w:pStyle w:val="136"/>
              <w:adjustRightInd w:val="0"/>
              <w:snapToGrid w:val="0"/>
              <w:jc w:val="both"/>
              <w:rPr>
                <w:szCs w:val="18"/>
              </w:rPr>
            </w:pPr>
            <w:r>
              <w:rPr>
                <w:szCs w:val="18"/>
              </w:rPr>
              <w:t>（2）巴州区凌云乡鼓楼山村二组张家梁砂岩矿重点治理区、巴州区凌云乡柏垭庙村三组立木垭砂岩矿重点治理区、巴州区玉堂办事处登高居委会二组党家湾页岩矿重点治理区需在高陡边坡防护加固，平整土地，种草恢复植被、恢复地貌景观，加强环境监测管理；</w:t>
            </w:r>
          </w:p>
          <w:p>
            <w:pPr>
              <w:pStyle w:val="136"/>
              <w:adjustRightInd w:val="0"/>
              <w:snapToGrid w:val="0"/>
              <w:jc w:val="both"/>
              <w:rPr>
                <w:b/>
                <w:bCs/>
                <w:szCs w:val="18"/>
              </w:rPr>
            </w:pPr>
            <w:r>
              <w:rPr>
                <w:b/>
                <w:bCs/>
                <w:szCs w:val="18"/>
              </w:rPr>
              <w:t>污染地块管控要求：</w:t>
            </w:r>
          </w:p>
          <w:p>
            <w:pPr>
              <w:pStyle w:val="136"/>
              <w:adjustRightInd w:val="0"/>
              <w:snapToGrid w:val="0"/>
              <w:jc w:val="both"/>
              <w:rPr>
                <w:szCs w:val="18"/>
              </w:rPr>
            </w:pPr>
            <w:r>
              <w:rPr>
                <w:szCs w:val="18"/>
              </w:rPr>
              <w:t>（1）开展矿区废弃地、尾矿坝生态治理示范，推进工矿废弃地修复和再利用；</w:t>
            </w:r>
          </w:p>
          <w:p>
            <w:pPr>
              <w:pStyle w:val="136"/>
              <w:adjustRightInd w:val="0"/>
              <w:snapToGrid w:val="0"/>
              <w:jc w:val="both"/>
              <w:rPr>
                <w:szCs w:val="18"/>
              </w:rPr>
            </w:pPr>
            <w:r>
              <w:rPr>
                <w:szCs w:val="18"/>
              </w:rPr>
              <w:t>（2）巴州区凌云乡鼓楼山村二组张家梁砂岩矿重点治理区、巴州区凌云乡柏垭庙村三组立木垭砂岩矿重点治理区、巴州区玉堂办事处登高居委会二组党家湾页岩矿重点治理区需在高陡边坡防护加固，平整土地，种草恢复植被、恢复地貌景观，加强环境监测管理；</w:t>
            </w:r>
          </w:p>
          <w:p>
            <w:pPr>
              <w:pStyle w:val="136"/>
              <w:adjustRightInd w:val="0"/>
              <w:snapToGrid w:val="0"/>
              <w:jc w:val="both"/>
              <w:rPr>
                <w:b/>
                <w:bCs/>
                <w:szCs w:val="18"/>
              </w:rPr>
            </w:pPr>
            <w:r>
              <w:rPr>
                <w:b/>
                <w:bCs/>
                <w:szCs w:val="18"/>
              </w:rPr>
              <w:t>企业环境风险防控要求：</w:t>
            </w:r>
          </w:p>
          <w:p>
            <w:pPr>
              <w:pStyle w:val="136"/>
              <w:adjustRightInd w:val="0"/>
              <w:snapToGrid w:val="0"/>
              <w:jc w:val="both"/>
              <w:rPr>
                <w:szCs w:val="18"/>
              </w:rPr>
            </w:pPr>
            <w:r>
              <w:rPr>
                <w:szCs w:val="18"/>
              </w:rPr>
              <w:t>执行要素重点管控单元总体准入要求；</w:t>
            </w:r>
          </w:p>
        </w:tc>
        <w:tc>
          <w:tcPr>
            <w:tcW w:w="779" w:type="pct"/>
            <w:vAlign w:val="center"/>
          </w:tcPr>
          <w:p>
            <w:pPr>
              <w:pStyle w:val="136"/>
              <w:adjustRightInd w:val="0"/>
              <w:snapToGrid w:val="0"/>
              <w:jc w:val="both"/>
              <w:rPr>
                <w:szCs w:val="18"/>
              </w:rPr>
            </w:pPr>
            <w:r>
              <w:t>本项目位于</w:t>
            </w:r>
            <w:r>
              <w:rPr>
                <w:rFonts w:hint="eastAsia"/>
              </w:rPr>
              <w:t>四川巴中经济开发区时新街道宝峰社区，在四川省巴中水文水资源勘测中心办公楼4F、5F内建设</w:t>
            </w:r>
            <w:r>
              <w:t>，</w:t>
            </w:r>
            <w:r>
              <w:rPr>
                <w:rFonts w:hint="eastAsia"/>
              </w:rPr>
              <w:t>根据建设单位提供的《建设用地规划许可证》（地字第5</w:t>
            </w:r>
            <w:r>
              <w:t>11924202200008</w:t>
            </w:r>
            <w:r>
              <w:rPr>
                <w:rFonts w:hint="eastAsia"/>
              </w:rPr>
              <w:t>号）</w:t>
            </w:r>
            <w:r>
              <w:t>可知</w:t>
            </w:r>
            <w:r>
              <w:rPr>
                <w:rFonts w:hint="eastAsia"/>
              </w:rPr>
              <w:t>，</w:t>
            </w:r>
            <w:r>
              <w:t>项目用地性质</w:t>
            </w:r>
            <w:r>
              <w:rPr>
                <w:rFonts w:hint="eastAsia"/>
              </w:rPr>
              <w:t>为</w:t>
            </w:r>
            <w:r>
              <w:rPr>
                <w:rFonts w:hint="eastAsia"/>
                <w:b/>
                <w:bCs/>
              </w:rPr>
              <w:t>机关团体用地</w:t>
            </w:r>
            <w:r>
              <w:rPr>
                <w:rFonts w:hint="eastAsia"/>
              </w:rPr>
              <w:t>，符合用地规划要求。</w:t>
            </w:r>
          </w:p>
        </w:tc>
        <w:tc>
          <w:tcPr>
            <w:tcW w:w="311" w:type="pct"/>
            <w:vAlign w:val="center"/>
          </w:tcPr>
          <w:p>
            <w:pPr>
              <w:pStyle w:val="136"/>
              <w:adjustRightInd w:val="0"/>
              <w:snapToGrid w:val="0"/>
              <w:rPr>
                <w:szCs w:val="18"/>
              </w:rPr>
            </w:pPr>
            <w:r>
              <w:rPr>
                <w:rFonts w:hint="eastAsia"/>
                <w:b/>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0" w:type="pct"/>
            <w:vMerge w:val="continue"/>
            <w:vAlign w:val="center"/>
          </w:tcPr>
          <w:p>
            <w:pPr>
              <w:pStyle w:val="136"/>
              <w:adjustRightInd w:val="0"/>
              <w:snapToGrid w:val="0"/>
              <w:rPr>
                <w:szCs w:val="18"/>
              </w:rPr>
            </w:pPr>
          </w:p>
        </w:tc>
        <w:tc>
          <w:tcPr>
            <w:tcW w:w="129" w:type="pct"/>
            <w:vMerge w:val="continue"/>
            <w:vAlign w:val="center"/>
          </w:tcPr>
          <w:p>
            <w:pPr>
              <w:pStyle w:val="136"/>
              <w:adjustRightInd w:val="0"/>
              <w:snapToGrid w:val="0"/>
              <w:rPr>
                <w:szCs w:val="18"/>
              </w:rPr>
            </w:pPr>
          </w:p>
        </w:tc>
        <w:tc>
          <w:tcPr>
            <w:tcW w:w="150" w:type="pct"/>
            <w:vAlign w:val="center"/>
          </w:tcPr>
          <w:p>
            <w:pPr>
              <w:pStyle w:val="136"/>
              <w:adjustRightInd w:val="0"/>
              <w:snapToGrid w:val="0"/>
              <w:rPr>
                <w:szCs w:val="18"/>
              </w:rPr>
            </w:pPr>
            <w:r>
              <w:rPr>
                <w:rFonts w:hint="eastAsia"/>
                <w:szCs w:val="18"/>
              </w:rPr>
              <w:t>资源开发利用效率</w:t>
            </w:r>
          </w:p>
        </w:tc>
        <w:tc>
          <w:tcPr>
            <w:tcW w:w="3171" w:type="pct"/>
            <w:vAlign w:val="center"/>
          </w:tcPr>
          <w:p>
            <w:pPr>
              <w:pStyle w:val="136"/>
              <w:adjustRightInd w:val="0"/>
              <w:snapToGrid w:val="0"/>
              <w:jc w:val="both"/>
              <w:rPr>
                <w:b/>
                <w:bCs/>
                <w:szCs w:val="18"/>
              </w:rPr>
            </w:pPr>
            <w:r>
              <w:rPr>
                <w:b/>
                <w:bCs/>
                <w:szCs w:val="18"/>
              </w:rPr>
              <w:t>水资源利用效率要求：</w:t>
            </w:r>
          </w:p>
          <w:p>
            <w:pPr>
              <w:pStyle w:val="136"/>
              <w:adjustRightInd w:val="0"/>
              <w:snapToGrid w:val="0"/>
              <w:jc w:val="both"/>
              <w:rPr>
                <w:szCs w:val="18"/>
              </w:rPr>
            </w:pPr>
            <w:r>
              <w:rPr>
                <w:szCs w:val="18"/>
              </w:rPr>
              <w:t>执行要素重点管控单元总体准入要求；</w:t>
            </w:r>
          </w:p>
          <w:p>
            <w:pPr>
              <w:pStyle w:val="136"/>
              <w:adjustRightInd w:val="0"/>
              <w:snapToGrid w:val="0"/>
              <w:jc w:val="both"/>
              <w:rPr>
                <w:b/>
                <w:bCs/>
                <w:szCs w:val="18"/>
              </w:rPr>
            </w:pPr>
            <w:r>
              <w:rPr>
                <w:b/>
                <w:bCs/>
                <w:szCs w:val="18"/>
              </w:rPr>
              <w:t>地下水开采要求：</w:t>
            </w:r>
          </w:p>
          <w:p>
            <w:pPr>
              <w:pStyle w:val="136"/>
              <w:adjustRightInd w:val="0"/>
              <w:snapToGrid w:val="0"/>
              <w:jc w:val="both"/>
              <w:rPr>
                <w:szCs w:val="18"/>
              </w:rPr>
            </w:pPr>
            <w:r>
              <w:rPr>
                <w:szCs w:val="18"/>
              </w:rPr>
              <w:t>执行要素重点管控单元总体准入要求；</w:t>
            </w:r>
          </w:p>
          <w:p>
            <w:pPr>
              <w:pStyle w:val="136"/>
              <w:adjustRightInd w:val="0"/>
              <w:snapToGrid w:val="0"/>
              <w:jc w:val="both"/>
              <w:rPr>
                <w:b/>
                <w:bCs/>
                <w:szCs w:val="18"/>
              </w:rPr>
            </w:pPr>
            <w:r>
              <w:rPr>
                <w:b/>
                <w:bCs/>
                <w:szCs w:val="18"/>
              </w:rPr>
              <w:t>能源利用效率要求：</w:t>
            </w:r>
          </w:p>
          <w:p>
            <w:pPr>
              <w:pStyle w:val="136"/>
              <w:adjustRightInd w:val="0"/>
              <w:snapToGrid w:val="0"/>
              <w:jc w:val="both"/>
              <w:rPr>
                <w:szCs w:val="18"/>
              </w:rPr>
            </w:pPr>
            <w:r>
              <w:rPr>
                <w:szCs w:val="18"/>
              </w:rPr>
              <w:t>执行要素重点管控单元总体准入要求；</w:t>
            </w:r>
          </w:p>
        </w:tc>
        <w:tc>
          <w:tcPr>
            <w:tcW w:w="779" w:type="pct"/>
            <w:vAlign w:val="center"/>
          </w:tcPr>
          <w:p>
            <w:pPr>
              <w:pStyle w:val="136"/>
              <w:adjustRightInd w:val="0"/>
              <w:snapToGrid w:val="0"/>
              <w:rPr>
                <w:szCs w:val="18"/>
              </w:rPr>
            </w:pPr>
            <w:r>
              <w:rPr>
                <w:rFonts w:hint="eastAsia"/>
                <w:szCs w:val="18"/>
              </w:rPr>
              <w:t>同</w:t>
            </w:r>
            <w:r>
              <w:rPr>
                <w:szCs w:val="18"/>
              </w:rPr>
              <w:t>要素重点管控单元总体准入要求</w:t>
            </w:r>
            <w:r>
              <w:rPr>
                <w:rFonts w:hint="eastAsia"/>
                <w:szCs w:val="18"/>
              </w:rPr>
              <w:t>分析情况；</w:t>
            </w:r>
          </w:p>
        </w:tc>
        <w:tc>
          <w:tcPr>
            <w:tcW w:w="311" w:type="pct"/>
            <w:vAlign w:val="center"/>
          </w:tcPr>
          <w:p>
            <w:pPr>
              <w:pStyle w:val="136"/>
              <w:adjustRightInd w:val="0"/>
              <w:snapToGrid w:val="0"/>
              <w:rPr>
                <w:szCs w:val="18"/>
              </w:rPr>
            </w:pPr>
            <w:r>
              <w:rPr>
                <w:rFonts w:hint="eastAsia"/>
                <w:szCs w:val="18"/>
              </w:rPr>
              <w:t>符合</w:t>
            </w:r>
          </w:p>
        </w:tc>
      </w:tr>
    </w:tbl>
    <w:p>
      <w:pPr>
        <w:ind w:firstLine="482"/>
      </w:pPr>
      <w:r>
        <w:rPr>
          <w:rFonts w:hint="eastAsia"/>
          <w:b/>
        </w:rPr>
        <w:t>综上，本项目的建设符合巴中市“三线一单”管控文件相关要求。</w:t>
      </w:r>
    </w:p>
    <w:p>
      <w:pPr>
        <w:ind w:firstLine="0" w:firstLineChars="0"/>
        <w:sectPr>
          <w:pgSz w:w="16838" w:h="11906" w:orient="landscape"/>
          <w:pgMar w:top="1797" w:right="1440" w:bottom="1797" w:left="1440" w:header="851" w:footer="958" w:gutter="0"/>
          <w:pgNumType w:fmt="numberInDash"/>
          <w:cols w:space="720" w:num="1"/>
          <w:docGrid w:linePitch="326" w:charSpace="0"/>
        </w:sectPr>
      </w:pPr>
    </w:p>
    <w:tbl>
      <w:tblPr>
        <w:tblStyle w:val="34"/>
        <w:tblW w:w="83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16"/>
        <w:gridCol w:w="79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83" w:hRule="atLeast"/>
          <w:jc w:val="center"/>
        </w:trPr>
        <w:tc>
          <w:tcPr>
            <w:tcW w:w="416" w:type="dxa"/>
            <w:tcBorders>
              <w:top w:val="single" w:color="auto" w:sz="4" w:space="0"/>
              <w:left w:val="single" w:color="auto" w:sz="8" w:space="0"/>
              <w:bottom w:val="single" w:color="auto" w:sz="8" w:space="0"/>
              <w:right w:val="single" w:color="auto" w:sz="4" w:space="0"/>
            </w:tcBorders>
            <w:vAlign w:val="center"/>
          </w:tcPr>
          <w:p>
            <w:pPr>
              <w:adjustRightInd w:val="0"/>
              <w:snapToGrid w:val="0"/>
              <w:spacing w:line="400" w:lineRule="exact"/>
              <w:ind w:firstLine="0" w:firstLineChars="0"/>
              <w:jc w:val="center"/>
              <w:rPr>
                <w:kern w:val="0"/>
                <w:szCs w:val="21"/>
              </w:rPr>
            </w:pPr>
            <w:r>
              <w:rPr>
                <w:rFonts w:hint="eastAsia"/>
                <w:kern w:val="0"/>
                <w:szCs w:val="21"/>
              </w:rPr>
              <w:t>其他符合性分析</w:t>
            </w:r>
          </w:p>
        </w:tc>
        <w:tc>
          <w:tcPr>
            <w:tcW w:w="7906" w:type="dxa"/>
            <w:tcBorders>
              <w:top w:val="single" w:color="auto" w:sz="4" w:space="0"/>
              <w:left w:val="single" w:color="auto" w:sz="4" w:space="0"/>
              <w:bottom w:val="single" w:color="auto" w:sz="8" w:space="0"/>
              <w:right w:val="single" w:color="auto" w:sz="8" w:space="0"/>
            </w:tcBorders>
            <w:vAlign w:val="center"/>
          </w:tcPr>
          <w:p>
            <w:pPr>
              <w:pStyle w:val="158"/>
            </w:pPr>
            <w:r>
              <w:t>4</w:t>
            </w:r>
            <w:r>
              <w:rPr>
                <w:rFonts w:hint="eastAsia"/>
              </w:rPr>
              <w:t>、项目与大气污染防治相关规划及文件的符合性分析</w:t>
            </w:r>
          </w:p>
          <w:p>
            <w:pPr>
              <w:ind w:firstLine="480"/>
            </w:pPr>
            <w:r>
              <w:rPr>
                <w:rFonts w:hint="eastAsia"/>
              </w:rPr>
              <w:t>本项目与国家、地方有关大气污染防治规范的符合性分析。</w:t>
            </w:r>
          </w:p>
          <w:p>
            <w:pPr>
              <w:pStyle w:val="157"/>
            </w:pPr>
            <w:r>
              <w:rPr>
                <w:rFonts w:hint="eastAsia"/>
              </w:rPr>
              <w:t>表1</w:t>
            </w:r>
            <w:r>
              <w:t>-4  本项目与有关大气污染防治规范的符合性分析</w:t>
            </w:r>
          </w:p>
          <w:tbl>
            <w:tblPr>
              <w:tblStyle w:val="195"/>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35"/>
              <w:gridCol w:w="3825"/>
              <w:gridCol w:w="2182"/>
              <w:gridCol w:w="6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983" w:type="dxa"/>
                  <w:vAlign w:val="center"/>
                </w:tcPr>
                <w:p>
                  <w:pPr>
                    <w:pStyle w:val="136"/>
                    <w:adjustRightInd w:val="0"/>
                    <w:snapToGrid w:val="0"/>
                    <w:rPr>
                      <w:b/>
                      <w:bCs/>
                    </w:rPr>
                  </w:pPr>
                  <w:r>
                    <w:rPr>
                      <w:rFonts w:hint="eastAsia"/>
                      <w:b/>
                      <w:bCs/>
                    </w:rPr>
                    <w:t>文件名称</w:t>
                  </w:r>
                </w:p>
              </w:tc>
              <w:tc>
                <w:tcPr>
                  <w:tcW w:w="3969" w:type="dxa"/>
                  <w:vAlign w:val="center"/>
                </w:tcPr>
                <w:p>
                  <w:pPr>
                    <w:pStyle w:val="136"/>
                    <w:adjustRightInd w:val="0"/>
                    <w:snapToGrid w:val="0"/>
                    <w:rPr>
                      <w:b/>
                      <w:bCs/>
                    </w:rPr>
                  </w:pPr>
                  <w:r>
                    <w:rPr>
                      <w:rFonts w:hint="eastAsia"/>
                      <w:b/>
                      <w:bCs/>
                    </w:rPr>
                    <w:t>具体要求</w:t>
                  </w:r>
                </w:p>
              </w:tc>
              <w:tc>
                <w:tcPr>
                  <w:tcW w:w="2268" w:type="dxa"/>
                  <w:vAlign w:val="center"/>
                </w:tcPr>
                <w:p>
                  <w:pPr>
                    <w:pStyle w:val="136"/>
                    <w:adjustRightInd w:val="0"/>
                    <w:snapToGrid w:val="0"/>
                    <w:rPr>
                      <w:b/>
                      <w:bCs/>
                    </w:rPr>
                  </w:pPr>
                  <w:r>
                    <w:rPr>
                      <w:rFonts w:hint="eastAsia"/>
                      <w:b/>
                      <w:bCs/>
                    </w:rPr>
                    <w:t>本项目情况</w:t>
                  </w:r>
                </w:p>
              </w:tc>
              <w:tc>
                <w:tcPr>
                  <w:tcW w:w="671" w:type="dxa"/>
                  <w:vAlign w:val="center"/>
                </w:tcPr>
                <w:p>
                  <w:pPr>
                    <w:pStyle w:val="136"/>
                    <w:adjustRightInd w:val="0"/>
                    <w:snapToGrid w:val="0"/>
                    <w:rPr>
                      <w:b/>
                      <w:bCs/>
                    </w:rPr>
                  </w:pPr>
                  <w:r>
                    <w:rPr>
                      <w:rFonts w:hint="eastAsia"/>
                      <w:b/>
                      <w:bCs/>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983" w:type="dxa"/>
                  <w:vAlign w:val="center"/>
                </w:tcPr>
                <w:p>
                  <w:pPr>
                    <w:pStyle w:val="136"/>
                    <w:adjustRightInd w:val="0"/>
                    <w:snapToGrid w:val="0"/>
                  </w:pPr>
                  <w:r>
                    <w:t>关于印发《2020 年挥发性有机物治理攻坚方案》的通知（环大气〔2020〕33号）</w:t>
                  </w:r>
                </w:p>
              </w:tc>
              <w:tc>
                <w:tcPr>
                  <w:tcW w:w="3969" w:type="dxa"/>
                  <w:vAlign w:val="center"/>
                </w:tcPr>
                <w:p>
                  <w:pPr>
                    <w:pStyle w:val="136"/>
                    <w:adjustRightInd w:val="0"/>
                    <w:snapToGrid w:val="0"/>
                    <w:jc w:val="both"/>
                  </w:pPr>
                  <w:r>
                    <w:t>2020年7月1日起，全面执行《挥发性有机物无组织排放控制标准》，重 点区域应落实无组织排放特别控制要求</w:t>
                  </w:r>
                  <w:r>
                    <w:rPr>
                      <w:rFonts w:hint="eastAsia"/>
                    </w:rPr>
                    <w:t>。</w:t>
                  </w:r>
                </w:p>
                <w:p>
                  <w:pPr>
                    <w:pStyle w:val="136"/>
                    <w:adjustRightInd w:val="0"/>
                    <w:snapToGrid w:val="0"/>
                    <w:jc w:val="both"/>
                  </w:pPr>
                  <w:r>
                    <w:t>处置环节应将盛装过VOCs物料的包装容器、含VOCs废料（渣、液）、废 吸附剂等通过加盖、封装等方式密闭，妥善存放，不得随意丢弃，7月15日前集中清运一次，交有资质的单位处置。</w:t>
                  </w:r>
                </w:p>
                <w:p>
                  <w:pPr>
                    <w:pStyle w:val="136"/>
                    <w:adjustRightInd w:val="0"/>
                    <w:snapToGrid w:val="0"/>
                    <w:jc w:val="both"/>
                  </w:pPr>
                  <w:r>
                    <w:t>将无组织排放转变为有组织排放进行控制，优先采用密闭设备、在密闭空间中操作或采用全密闭集气罩收集方式。</w:t>
                  </w:r>
                </w:p>
              </w:tc>
              <w:tc>
                <w:tcPr>
                  <w:tcW w:w="2268" w:type="dxa"/>
                  <w:vMerge w:val="restart"/>
                  <w:vAlign w:val="center"/>
                </w:tcPr>
                <w:p>
                  <w:pPr>
                    <w:pStyle w:val="136"/>
                    <w:adjustRightInd w:val="0"/>
                    <w:snapToGrid w:val="0"/>
                  </w:pPr>
                  <w:r>
                    <w:rPr>
                      <w:rFonts w:hint="eastAsia"/>
                      <w:snapToGrid w:val="0"/>
                    </w:rPr>
                    <w:t>本项目为</w:t>
                  </w:r>
                  <w:r>
                    <w:rPr>
                      <w:rFonts w:hint="eastAsia"/>
                    </w:rPr>
                    <w:t>四川省巴中水文水资源勘测中心配套水质分析实验室，仅对四川省巴中水文水资源勘测中心负责的例行监测断面、水库进行定期监测，不对外承接监测业务，不属于工业项目。本项目实验室设置万向排气罩、通风柜、集气罩等设施，实验室废气经收集至“活性炭纤维+碱液喷淋塔”处理后达标排放。</w:t>
                  </w:r>
                </w:p>
              </w:tc>
              <w:tc>
                <w:tcPr>
                  <w:tcW w:w="671" w:type="dxa"/>
                  <w:vAlign w:val="center"/>
                </w:tcPr>
                <w:p>
                  <w:pPr>
                    <w:pStyle w:val="136"/>
                    <w:adjustRightInd w:val="0"/>
                    <w:snapToGrid w:val="0"/>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983" w:type="dxa"/>
                  <w:vAlign w:val="center"/>
                </w:tcPr>
                <w:p>
                  <w:pPr>
                    <w:pStyle w:val="136"/>
                    <w:adjustRightInd w:val="0"/>
                    <w:snapToGrid w:val="0"/>
                  </w:pPr>
                  <w:r>
                    <w:rPr>
                      <w:rFonts w:hint="eastAsia"/>
                      <w:snapToGrid w:val="0"/>
                      <w:lang w:bidi="en-US"/>
                    </w:rPr>
                    <w:t>《四川省挥发性有机物污染防治实施方案（2018-2020）》（川环发〔2018〕44号）</w:t>
                  </w:r>
                </w:p>
              </w:tc>
              <w:tc>
                <w:tcPr>
                  <w:tcW w:w="3969" w:type="dxa"/>
                  <w:vAlign w:val="center"/>
                </w:tcPr>
                <w:p>
                  <w:pPr>
                    <w:pStyle w:val="136"/>
                    <w:adjustRightInd w:val="0"/>
                    <w:snapToGrid w:val="0"/>
                    <w:jc w:val="both"/>
                    <w:rPr>
                      <w:snapToGrid w:val="0"/>
                      <w:lang w:bidi="en-US"/>
                    </w:rPr>
                  </w:pPr>
                  <w:r>
                    <w:rPr>
                      <w:rFonts w:hint="eastAsia"/>
                      <w:snapToGrid w:val="0"/>
                      <w:lang w:bidi="en-US"/>
                    </w:rPr>
                    <w:t>严格建设项目环境准入。……新建涉VOCs排放的工业企业要入园区…新、改、扩建涉VOCs排放项目，应从源头加强控制，使用低（无）VOCs含量的原辅材料，加强废气收集，安装高效治理设施。</w:t>
                  </w:r>
                </w:p>
                <w:p>
                  <w:pPr>
                    <w:pStyle w:val="136"/>
                    <w:adjustRightInd w:val="0"/>
                    <w:snapToGrid w:val="0"/>
                    <w:jc w:val="both"/>
                  </w:pPr>
                  <w:r>
                    <w:rPr>
                      <w:rFonts w:hint="eastAsia"/>
                      <w:snapToGrid w:val="0"/>
                      <w:lang w:bidi="en-US"/>
                    </w:rPr>
                    <w:t>加快实施工业园VOCs污染防治。加强全过程控制，推广使用低（无）VOCs含量的原辅材料和生产工艺、设备。产生含挥发性有机物废气的生产和服务活动，应当在密闭空间或设备中进行，并按照规定安装、使用污染防治设施；无法密闭的，应当采取措施减少废气排放。依法依规设置排放口，建立台账，记录VOCs产生、收集、处理、排放等情况。</w:t>
                  </w:r>
                </w:p>
              </w:tc>
              <w:tc>
                <w:tcPr>
                  <w:tcW w:w="2268" w:type="dxa"/>
                  <w:vMerge w:val="continue"/>
                  <w:vAlign w:val="center"/>
                </w:tcPr>
                <w:p>
                  <w:pPr>
                    <w:pStyle w:val="136"/>
                    <w:adjustRightInd w:val="0"/>
                    <w:snapToGrid w:val="0"/>
                  </w:pPr>
                </w:p>
              </w:tc>
              <w:tc>
                <w:tcPr>
                  <w:tcW w:w="671" w:type="dxa"/>
                  <w:vAlign w:val="center"/>
                </w:tcPr>
                <w:p>
                  <w:pPr>
                    <w:pStyle w:val="136"/>
                    <w:adjustRightInd w:val="0"/>
                    <w:snapToGrid w:val="0"/>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983" w:type="dxa"/>
                  <w:vAlign w:val="center"/>
                </w:tcPr>
                <w:p>
                  <w:pPr>
                    <w:pStyle w:val="136"/>
                    <w:adjustRightInd w:val="0"/>
                    <w:snapToGrid w:val="0"/>
                    <w:rPr>
                      <w:snapToGrid w:val="0"/>
                      <w:lang w:bidi="en-US"/>
                    </w:rPr>
                  </w:pPr>
                  <w:r>
                    <w:rPr>
                      <w:rFonts w:hint="eastAsia"/>
                    </w:rPr>
                    <w:t>《巴中市打赢蓝天保卫战三年行动计划实施方案》（巴府发〔2018〕18号）</w:t>
                  </w:r>
                </w:p>
              </w:tc>
              <w:tc>
                <w:tcPr>
                  <w:tcW w:w="3969" w:type="dxa"/>
                  <w:vAlign w:val="center"/>
                </w:tcPr>
                <w:p>
                  <w:pPr>
                    <w:pStyle w:val="136"/>
                    <w:adjustRightInd w:val="0"/>
                    <w:snapToGrid w:val="0"/>
                    <w:jc w:val="both"/>
                    <w:rPr>
                      <w:snapToGrid w:val="0"/>
                      <w:lang w:bidi="en-US"/>
                    </w:rPr>
                  </w:pPr>
                  <w:r>
                    <w:rPr>
                      <w:rFonts w:hint="eastAsia"/>
                      <w:b/>
                    </w:rPr>
                    <w:t>（六）深化工业污染治理。</w:t>
                  </w:r>
                  <w:r>
                    <w:rPr>
                      <w:rFonts w:hint="eastAsia"/>
                    </w:rPr>
                    <w:t>（二十）实施挥发性有机物（VOCs）专项整治。制定石化、化工、工业涂装、包装印刷等VOCs排放重点行业和油品储运销综合整治方案。禁止建设、生产和使用高VOCs排放的溶剂型涂料、油墨、胶粘剂等项目。开展VOCs整治专项执法行动，严厉打击违法排污行为，对治理效果差、技术服务能力弱、运营管理水平低的治理单位，公布名单，实行联合惩戒，扶持培育一批VOCs治理专业化和规模化的龙头企业。</w:t>
                  </w:r>
                </w:p>
              </w:tc>
              <w:tc>
                <w:tcPr>
                  <w:tcW w:w="2268" w:type="dxa"/>
                  <w:vMerge w:val="continue"/>
                  <w:vAlign w:val="center"/>
                </w:tcPr>
                <w:p>
                  <w:pPr>
                    <w:pStyle w:val="136"/>
                    <w:adjustRightInd w:val="0"/>
                    <w:snapToGrid w:val="0"/>
                  </w:pPr>
                </w:p>
              </w:tc>
              <w:tc>
                <w:tcPr>
                  <w:tcW w:w="671" w:type="dxa"/>
                  <w:vAlign w:val="center"/>
                </w:tcPr>
                <w:p>
                  <w:pPr>
                    <w:pStyle w:val="136"/>
                    <w:adjustRightInd w:val="0"/>
                    <w:snapToGrid w:val="0"/>
                  </w:pPr>
                  <w:r>
                    <w:rPr>
                      <w:rFonts w:hint="eastAsia"/>
                    </w:rPr>
                    <w:t>符合</w:t>
                  </w:r>
                </w:p>
              </w:tc>
            </w:tr>
          </w:tbl>
          <w:p>
            <w:pPr>
              <w:ind w:firstLine="480"/>
            </w:pPr>
            <w:r>
              <w:rPr>
                <w:rFonts w:hint="eastAsia"/>
              </w:rPr>
              <w:t>综上，本项目符合国家、地方有关大气污染防治规范相关要求。</w:t>
            </w:r>
          </w:p>
          <w:p>
            <w:pPr>
              <w:pStyle w:val="158"/>
              <w:rPr>
                <w:lang w:bidi="ar"/>
              </w:rPr>
            </w:pPr>
            <w:r>
              <w:rPr>
                <w:rFonts w:hint="eastAsia"/>
                <w:lang w:bidi="ar"/>
              </w:rPr>
              <w:t>5、与长江保护相关要求符合性分析</w:t>
            </w:r>
          </w:p>
          <w:p>
            <w:pPr>
              <w:ind w:firstLine="480"/>
              <w:rPr>
                <w:lang w:bidi="ar"/>
              </w:rPr>
            </w:pPr>
            <w:r>
              <w:rPr>
                <w:rFonts w:hint="eastAsia"/>
                <w:lang w:bidi="ar"/>
              </w:rPr>
              <w:t>（1）本项目与长江保护法的符合性</w:t>
            </w:r>
          </w:p>
          <w:p>
            <w:pPr>
              <w:pStyle w:val="157"/>
              <w:rPr>
                <w:lang w:bidi="ar"/>
              </w:rPr>
            </w:pPr>
            <w:r>
              <w:rPr>
                <w:rFonts w:hint="eastAsia"/>
                <w:lang w:bidi="ar"/>
              </w:rPr>
              <w:t>表1</w:t>
            </w:r>
            <w:r>
              <w:rPr>
                <w:lang w:bidi="ar"/>
              </w:rPr>
              <w:t xml:space="preserve">-5  </w:t>
            </w:r>
            <w:r>
              <w:rPr>
                <w:rFonts w:hint="eastAsia"/>
                <w:lang w:bidi="ar"/>
              </w:rPr>
              <w:t>项目</w:t>
            </w:r>
            <w:r>
              <w:rPr>
                <w:bCs/>
                <w:lang w:bidi="ar"/>
              </w:rPr>
              <w:t>与</w:t>
            </w:r>
            <w:r>
              <w:rPr>
                <w:rFonts w:hint="eastAsia"/>
                <w:bCs/>
                <w:lang w:bidi="ar"/>
              </w:rPr>
              <w:t>《中华人民共和国长江保护法》</w:t>
            </w:r>
            <w:r>
              <w:rPr>
                <w:bCs/>
                <w:lang w:bidi="ar"/>
              </w:rPr>
              <w:t>的符合性分析</w:t>
            </w:r>
          </w:p>
          <w:tbl>
            <w:tblPr>
              <w:tblStyle w:val="19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26"/>
              <w:gridCol w:w="3758"/>
              <w:gridCol w:w="2625"/>
              <w:gridCol w:w="8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397" w:type="pct"/>
                  <w:vAlign w:val="center"/>
                </w:tcPr>
                <w:p>
                  <w:pPr>
                    <w:pStyle w:val="136"/>
                    <w:adjustRightInd w:val="0"/>
                    <w:snapToGrid w:val="0"/>
                    <w:rPr>
                      <w:b/>
                      <w:bCs/>
                    </w:rPr>
                  </w:pPr>
                  <w:r>
                    <w:rPr>
                      <w:b/>
                      <w:bCs/>
                    </w:rPr>
                    <w:t>序号</w:t>
                  </w:r>
                </w:p>
              </w:tc>
              <w:tc>
                <w:tcPr>
                  <w:tcW w:w="2381" w:type="pct"/>
                  <w:vAlign w:val="center"/>
                </w:tcPr>
                <w:p>
                  <w:pPr>
                    <w:pStyle w:val="136"/>
                    <w:adjustRightInd w:val="0"/>
                    <w:snapToGrid w:val="0"/>
                    <w:rPr>
                      <w:b/>
                      <w:bCs/>
                    </w:rPr>
                  </w:pPr>
                  <w:r>
                    <w:rPr>
                      <w:b/>
                      <w:bCs/>
                    </w:rPr>
                    <w:t>具体要求</w:t>
                  </w:r>
                </w:p>
              </w:tc>
              <w:tc>
                <w:tcPr>
                  <w:tcW w:w="1663" w:type="pct"/>
                  <w:vAlign w:val="center"/>
                </w:tcPr>
                <w:p>
                  <w:pPr>
                    <w:pStyle w:val="136"/>
                    <w:adjustRightInd w:val="0"/>
                    <w:snapToGrid w:val="0"/>
                    <w:rPr>
                      <w:b/>
                      <w:bCs/>
                    </w:rPr>
                  </w:pPr>
                  <w:r>
                    <w:rPr>
                      <w:b/>
                      <w:bCs/>
                    </w:rPr>
                    <w:t>本项目</w:t>
                  </w:r>
                </w:p>
              </w:tc>
              <w:tc>
                <w:tcPr>
                  <w:tcW w:w="559" w:type="pct"/>
                  <w:vAlign w:val="center"/>
                </w:tcPr>
                <w:p>
                  <w:pPr>
                    <w:pStyle w:val="136"/>
                    <w:adjustRightInd w:val="0"/>
                    <w:snapToGrid w:val="0"/>
                    <w:rPr>
                      <w:b/>
                      <w:bCs/>
                    </w:rPr>
                  </w:pPr>
                  <w:r>
                    <w:rPr>
                      <w:rFonts w:hint="eastAsia"/>
                      <w:b/>
                      <w:bCs/>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97" w:type="pct"/>
                  <w:vAlign w:val="center"/>
                </w:tcPr>
                <w:p>
                  <w:pPr>
                    <w:pStyle w:val="136"/>
                    <w:adjustRightInd w:val="0"/>
                    <w:snapToGrid w:val="0"/>
                  </w:pPr>
                  <w:r>
                    <w:t>第二十</w:t>
                  </w:r>
                  <w:r>
                    <w:rPr>
                      <w:rFonts w:hint="eastAsia"/>
                    </w:rPr>
                    <w:t>六</w:t>
                  </w:r>
                  <w:r>
                    <w:t>条</w:t>
                  </w:r>
                </w:p>
              </w:tc>
              <w:tc>
                <w:tcPr>
                  <w:tcW w:w="2381" w:type="pct"/>
                  <w:vAlign w:val="center"/>
                </w:tcPr>
                <w:p>
                  <w:pPr>
                    <w:pStyle w:val="136"/>
                    <w:adjustRightInd w:val="0"/>
                    <w:snapToGrid w:val="0"/>
                  </w:pPr>
                  <w:r>
                    <w:rPr>
                      <w:rFonts w:hint="eastAsia"/>
                    </w:rPr>
                    <w:t>国家对长江流域河湖岸线实施特殊管制。</w:t>
                  </w:r>
                  <w:r>
                    <w:rPr>
                      <w:rFonts w:hint="eastAsia"/>
                      <w:bCs/>
                    </w:rPr>
                    <w:t>禁止在长江干支流岸线一公里范围内新建、扩建化工园区和化工项目。</w:t>
                  </w:r>
                  <w:r>
                    <w:rPr>
                      <w:rFonts w:hint="eastAsia"/>
                    </w:rPr>
                    <w:t>禁止在长江干流岸线三公里范围内和重要支流岸线一公里范围内新建、改建、扩建尾矿库；但是以提升安全、生态环境保护水平为目的的改建除外。</w:t>
                  </w:r>
                </w:p>
              </w:tc>
              <w:tc>
                <w:tcPr>
                  <w:tcW w:w="1663" w:type="pct"/>
                  <w:vAlign w:val="center"/>
                </w:tcPr>
                <w:p>
                  <w:pPr>
                    <w:pStyle w:val="136"/>
                    <w:adjustRightInd w:val="0"/>
                    <w:snapToGrid w:val="0"/>
                  </w:pPr>
                  <w:r>
                    <w:t>本项目</w:t>
                  </w:r>
                  <w:r>
                    <w:rPr>
                      <w:rFonts w:hint="eastAsia"/>
                    </w:rPr>
                    <w:t>为环境监测实验室，不属于化工项目、化工园区、尾矿库等</w:t>
                  </w:r>
                  <w:r>
                    <w:rPr>
                      <w:rFonts w:hint="eastAsia"/>
                      <w:bCs/>
                    </w:rPr>
                    <w:t>。</w:t>
                  </w:r>
                </w:p>
              </w:tc>
              <w:tc>
                <w:tcPr>
                  <w:tcW w:w="559" w:type="pct"/>
                  <w:vAlign w:val="center"/>
                </w:tcPr>
                <w:p>
                  <w:pPr>
                    <w:pStyle w:val="136"/>
                    <w:adjustRightInd w:val="0"/>
                    <w:snapToGrid w:val="0"/>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97" w:type="pct"/>
                  <w:vAlign w:val="center"/>
                </w:tcPr>
                <w:p>
                  <w:pPr>
                    <w:pStyle w:val="136"/>
                    <w:adjustRightInd w:val="0"/>
                    <w:snapToGrid w:val="0"/>
                  </w:pPr>
                  <w:r>
                    <w:rPr>
                      <w:rFonts w:hint="eastAsia"/>
                    </w:rPr>
                    <w:t>第四十七条</w:t>
                  </w:r>
                </w:p>
              </w:tc>
              <w:tc>
                <w:tcPr>
                  <w:tcW w:w="2381" w:type="pct"/>
                  <w:vAlign w:val="center"/>
                </w:tcPr>
                <w:p>
                  <w:pPr>
                    <w:pStyle w:val="136"/>
                    <w:adjustRightInd w:val="0"/>
                    <w:snapToGrid w:val="0"/>
                  </w:pPr>
                  <w:r>
                    <w:rPr>
                      <w:rFonts w:hint="eastAsia"/>
                    </w:rPr>
                    <w:t>在长江流域江河、湖泊新设、改设或者扩大排污口，应当按照国家有关规定报经有管辖权的生态环境主管部门或者长江流域生态环境监督管理机构同意。对未达到水质目标的水功能区，除污水集中处理设施排污口外，应当严格控制新设、改设或者扩大排污口。</w:t>
                  </w:r>
                </w:p>
              </w:tc>
              <w:tc>
                <w:tcPr>
                  <w:tcW w:w="1663" w:type="pct"/>
                  <w:vAlign w:val="center"/>
                </w:tcPr>
                <w:p>
                  <w:pPr>
                    <w:pStyle w:val="136"/>
                    <w:adjustRightInd w:val="0"/>
                    <w:snapToGrid w:val="0"/>
                  </w:pPr>
                  <w:r>
                    <w:rPr>
                      <w:rFonts w:hint="eastAsia"/>
                    </w:rPr>
                    <w:t>本项目废水经预处理后排入巴中经济开发区污水处理厂处理达标后排入巴河，不涉及新设、改设或者扩大排污口。</w:t>
                  </w:r>
                </w:p>
              </w:tc>
              <w:tc>
                <w:tcPr>
                  <w:tcW w:w="559" w:type="pct"/>
                  <w:vAlign w:val="center"/>
                </w:tcPr>
                <w:p>
                  <w:pPr>
                    <w:pStyle w:val="136"/>
                    <w:adjustRightInd w:val="0"/>
                    <w:snapToGrid w:val="0"/>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97" w:type="pct"/>
                  <w:vAlign w:val="center"/>
                </w:tcPr>
                <w:p>
                  <w:pPr>
                    <w:pStyle w:val="136"/>
                    <w:adjustRightInd w:val="0"/>
                    <w:snapToGrid w:val="0"/>
                  </w:pPr>
                  <w:r>
                    <w:rPr>
                      <w:rFonts w:hint="eastAsia"/>
                    </w:rPr>
                    <w:t>第四十九条</w:t>
                  </w:r>
                </w:p>
              </w:tc>
              <w:tc>
                <w:tcPr>
                  <w:tcW w:w="2381" w:type="pct"/>
                  <w:vAlign w:val="center"/>
                </w:tcPr>
                <w:p>
                  <w:pPr>
                    <w:pStyle w:val="136"/>
                    <w:adjustRightInd w:val="0"/>
                    <w:snapToGrid w:val="0"/>
                  </w:pPr>
                  <w:r>
                    <w:rPr>
                      <w:rFonts w:hint="eastAsia"/>
                    </w:rPr>
                    <w:t>禁止在长江流域河湖管理范围内倾倒、填埋、堆放、弃置、处理固体废物。长江流域县级以上地方人民政府应当加强对固体废物非法转移和倾倒的联防联控。</w:t>
                  </w:r>
                </w:p>
              </w:tc>
              <w:tc>
                <w:tcPr>
                  <w:tcW w:w="1663" w:type="pct"/>
                  <w:vAlign w:val="center"/>
                </w:tcPr>
                <w:p>
                  <w:pPr>
                    <w:pStyle w:val="136"/>
                    <w:adjustRightInd w:val="0"/>
                    <w:snapToGrid w:val="0"/>
                  </w:pPr>
                  <w:r>
                    <w:rPr>
                      <w:rFonts w:hint="eastAsia"/>
                    </w:rPr>
                    <w:t>本项目为环境监测实验室建设项目，项目产生的危险废物委托有资质单位清运处理，一般固体废物综合利用，生活垃圾由环卫部门清运处置。</w:t>
                  </w:r>
                </w:p>
              </w:tc>
              <w:tc>
                <w:tcPr>
                  <w:tcW w:w="559" w:type="pct"/>
                  <w:vAlign w:val="center"/>
                </w:tcPr>
                <w:p>
                  <w:pPr>
                    <w:pStyle w:val="136"/>
                    <w:adjustRightInd w:val="0"/>
                    <w:snapToGrid w:val="0"/>
                  </w:pPr>
                  <w:r>
                    <w:rPr>
                      <w:rFonts w:hint="eastAsia"/>
                    </w:rPr>
                    <w:t>符合</w:t>
                  </w:r>
                </w:p>
              </w:tc>
            </w:tr>
          </w:tbl>
          <w:p>
            <w:pPr>
              <w:ind w:firstLine="480"/>
              <w:rPr>
                <w:lang w:bidi="ar"/>
              </w:rPr>
            </w:pPr>
            <w:r>
              <w:rPr>
                <w:rFonts w:hint="eastAsia"/>
                <w:lang w:bidi="ar"/>
              </w:rPr>
              <w:t>（2）</w:t>
            </w:r>
            <w:r>
              <w:rPr>
                <w:lang w:bidi="ar"/>
              </w:rPr>
              <w:t>与</w:t>
            </w:r>
            <w:r>
              <w:rPr>
                <w:rFonts w:hint="eastAsia"/>
                <w:lang w:bidi="ar"/>
              </w:rPr>
              <w:t>《</w:t>
            </w:r>
            <w:r>
              <w:rPr>
                <w:lang w:bidi="ar"/>
              </w:rPr>
              <w:t>长江经济带</w:t>
            </w:r>
            <w:r>
              <w:rPr>
                <w:rFonts w:hint="eastAsia"/>
                <w:lang w:bidi="ar"/>
              </w:rPr>
              <w:t>发展</w:t>
            </w:r>
            <w:r>
              <w:rPr>
                <w:lang w:bidi="ar"/>
              </w:rPr>
              <w:t>负面清单指南（试行</w:t>
            </w:r>
            <w:r>
              <w:rPr>
                <w:rFonts w:hint="eastAsia"/>
                <w:lang w:bidi="ar"/>
              </w:rPr>
              <w:t>，2022年版</w:t>
            </w:r>
            <w:r>
              <w:rPr>
                <w:lang w:bidi="ar"/>
              </w:rPr>
              <w:t>）</w:t>
            </w:r>
            <w:r>
              <w:rPr>
                <w:rFonts w:hint="eastAsia"/>
                <w:lang w:bidi="ar"/>
              </w:rPr>
              <w:t>》</w:t>
            </w:r>
            <w:r>
              <w:rPr>
                <w:lang w:bidi="ar"/>
              </w:rPr>
              <w:t>的符合性分析</w:t>
            </w:r>
          </w:p>
          <w:p>
            <w:pPr>
              <w:pStyle w:val="157"/>
              <w:rPr>
                <w:bCs/>
                <w:lang w:bidi="ar"/>
              </w:rPr>
            </w:pPr>
            <w:r>
              <w:rPr>
                <w:rFonts w:hint="eastAsia"/>
                <w:bCs/>
                <w:lang w:bidi="ar"/>
              </w:rPr>
              <w:t>表1</w:t>
            </w:r>
            <w:r>
              <w:rPr>
                <w:bCs/>
                <w:lang w:bidi="ar"/>
              </w:rPr>
              <w:t>-6  本项目与《关于发布长江经济带负面清单指南（试行）的通知》的符合性</w:t>
            </w:r>
          </w:p>
          <w:tbl>
            <w:tblPr>
              <w:tblStyle w:val="19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24"/>
              <w:gridCol w:w="4594"/>
              <w:gridCol w:w="2020"/>
              <w:gridCol w:w="7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7" w:hRule="atLeast"/>
              </w:trPr>
              <w:tc>
                <w:tcPr>
                  <w:tcW w:w="332" w:type="pct"/>
                  <w:vAlign w:val="center"/>
                </w:tcPr>
                <w:p>
                  <w:pPr>
                    <w:pStyle w:val="136"/>
                    <w:adjustRightInd w:val="0"/>
                    <w:snapToGrid w:val="0"/>
                    <w:rPr>
                      <w:b/>
                      <w:bCs/>
                      <w:lang w:bidi="ar"/>
                    </w:rPr>
                  </w:pPr>
                  <w:r>
                    <w:rPr>
                      <w:b/>
                      <w:bCs/>
                      <w:lang w:bidi="ar"/>
                    </w:rPr>
                    <w:t>序号</w:t>
                  </w:r>
                </w:p>
              </w:tc>
              <w:tc>
                <w:tcPr>
                  <w:tcW w:w="2911" w:type="pct"/>
                  <w:vAlign w:val="center"/>
                </w:tcPr>
                <w:p>
                  <w:pPr>
                    <w:pStyle w:val="136"/>
                    <w:adjustRightInd w:val="0"/>
                    <w:snapToGrid w:val="0"/>
                    <w:rPr>
                      <w:b/>
                      <w:bCs/>
                      <w:lang w:bidi="ar"/>
                    </w:rPr>
                  </w:pPr>
                  <w:r>
                    <w:rPr>
                      <w:b/>
                      <w:bCs/>
                      <w:lang w:bidi="ar"/>
                    </w:rPr>
                    <w:t>《指南》具体要求</w:t>
                  </w:r>
                </w:p>
              </w:tc>
              <w:tc>
                <w:tcPr>
                  <w:tcW w:w="1280" w:type="pct"/>
                  <w:vAlign w:val="center"/>
                </w:tcPr>
                <w:p>
                  <w:pPr>
                    <w:pStyle w:val="136"/>
                    <w:adjustRightInd w:val="0"/>
                    <w:snapToGrid w:val="0"/>
                    <w:rPr>
                      <w:b/>
                      <w:bCs/>
                      <w:lang w:bidi="ar"/>
                    </w:rPr>
                  </w:pPr>
                  <w:r>
                    <w:rPr>
                      <w:b/>
                      <w:bCs/>
                      <w:lang w:bidi="ar"/>
                    </w:rPr>
                    <w:t>本项目</w:t>
                  </w:r>
                </w:p>
              </w:tc>
              <w:tc>
                <w:tcPr>
                  <w:tcW w:w="477" w:type="pct"/>
                  <w:vAlign w:val="center"/>
                </w:tcPr>
                <w:p>
                  <w:pPr>
                    <w:pStyle w:val="136"/>
                    <w:adjustRightInd w:val="0"/>
                    <w:snapToGrid w:val="0"/>
                    <w:rPr>
                      <w:b/>
                      <w:bCs/>
                      <w:lang w:bidi="ar"/>
                    </w:rPr>
                  </w:pPr>
                  <w:r>
                    <w:rPr>
                      <w:rFonts w:hint="eastAsia"/>
                      <w:b/>
                      <w:bCs/>
                      <w:lang w:bidi="ar"/>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trPr>
              <w:tc>
                <w:tcPr>
                  <w:tcW w:w="332" w:type="pct"/>
                  <w:vAlign w:val="center"/>
                </w:tcPr>
                <w:p>
                  <w:pPr>
                    <w:pStyle w:val="136"/>
                    <w:adjustRightInd w:val="0"/>
                    <w:snapToGrid w:val="0"/>
                    <w:rPr>
                      <w:lang w:bidi="ar"/>
                    </w:rPr>
                  </w:pPr>
                  <w:r>
                    <w:rPr>
                      <w:lang w:bidi="ar"/>
                    </w:rPr>
                    <w:t>1</w:t>
                  </w:r>
                </w:p>
              </w:tc>
              <w:tc>
                <w:tcPr>
                  <w:tcW w:w="2911" w:type="pct"/>
                  <w:vAlign w:val="center"/>
                </w:tcPr>
                <w:p>
                  <w:pPr>
                    <w:pStyle w:val="136"/>
                    <w:adjustRightInd w:val="0"/>
                    <w:snapToGrid w:val="0"/>
                    <w:rPr>
                      <w:lang w:bidi="ar"/>
                    </w:rPr>
                  </w:pPr>
                  <w:r>
                    <w:rPr>
                      <w:lang w:bidi="ar"/>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280" w:type="pct"/>
                  <w:vAlign w:val="center"/>
                </w:tcPr>
                <w:p>
                  <w:pPr>
                    <w:pStyle w:val="136"/>
                    <w:adjustRightInd w:val="0"/>
                    <w:snapToGrid w:val="0"/>
                    <w:rPr>
                      <w:lang w:bidi="ar"/>
                    </w:rPr>
                  </w:pPr>
                  <w:r>
                    <w:rPr>
                      <w:rFonts w:hint="eastAsia"/>
                      <w:lang w:bidi="ar"/>
                    </w:rPr>
                    <w:t>本项目属于</w:t>
                  </w:r>
                  <w:r>
                    <w:rPr>
                      <w:rFonts w:hint="eastAsia"/>
                    </w:rPr>
                    <w:t>环境监测实验室建设项目</w:t>
                  </w:r>
                  <w:r>
                    <w:rPr>
                      <w:rFonts w:hint="eastAsia"/>
                      <w:lang w:bidi="ar"/>
                    </w:rPr>
                    <w:t>，不属于化工项目。</w:t>
                  </w:r>
                </w:p>
              </w:tc>
              <w:tc>
                <w:tcPr>
                  <w:tcW w:w="477" w:type="pct"/>
                  <w:vAlign w:val="center"/>
                </w:tcPr>
                <w:p>
                  <w:pPr>
                    <w:pStyle w:val="136"/>
                    <w:adjustRightInd w:val="0"/>
                    <w:snapToGrid w:val="0"/>
                    <w:rPr>
                      <w:lang w:bidi="ar"/>
                    </w:rPr>
                  </w:pPr>
                  <w:r>
                    <w:rPr>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32" w:type="pct"/>
                  <w:vAlign w:val="center"/>
                </w:tcPr>
                <w:p>
                  <w:pPr>
                    <w:pStyle w:val="136"/>
                    <w:adjustRightInd w:val="0"/>
                    <w:snapToGrid w:val="0"/>
                    <w:rPr>
                      <w:lang w:bidi="ar"/>
                    </w:rPr>
                  </w:pPr>
                  <w:r>
                    <w:rPr>
                      <w:lang w:bidi="ar"/>
                    </w:rPr>
                    <w:t>2</w:t>
                  </w:r>
                </w:p>
              </w:tc>
              <w:tc>
                <w:tcPr>
                  <w:tcW w:w="2911" w:type="pct"/>
                  <w:vAlign w:val="center"/>
                </w:tcPr>
                <w:p>
                  <w:pPr>
                    <w:pStyle w:val="136"/>
                    <w:adjustRightInd w:val="0"/>
                    <w:snapToGrid w:val="0"/>
                    <w:rPr>
                      <w:lang w:bidi="ar"/>
                    </w:rPr>
                  </w:pPr>
                  <w:r>
                    <w:rPr>
                      <w:lang w:bidi="ar"/>
                    </w:rPr>
                    <w:t>禁止在合规园区外新建、扩建钢铁、石化、化工、焦化、建材、有色、制浆造纸等高污染项目。</w:t>
                  </w:r>
                </w:p>
              </w:tc>
              <w:tc>
                <w:tcPr>
                  <w:tcW w:w="1280" w:type="pct"/>
                  <w:vAlign w:val="center"/>
                </w:tcPr>
                <w:p>
                  <w:pPr>
                    <w:pStyle w:val="136"/>
                    <w:adjustRightInd w:val="0"/>
                    <w:snapToGrid w:val="0"/>
                    <w:rPr>
                      <w:lang w:bidi="ar"/>
                    </w:rPr>
                  </w:pPr>
                  <w:r>
                    <w:rPr>
                      <w:rFonts w:hint="eastAsia"/>
                      <w:lang w:bidi="ar"/>
                    </w:rPr>
                    <w:t>本项目不属于高污染项目。</w:t>
                  </w:r>
                </w:p>
              </w:tc>
              <w:tc>
                <w:tcPr>
                  <w:tcW w:w="477" w:type="pct"/>
                  <w:vAlign w:val="center"/>
                </w:tcPr>
                <w:p>
                  <w:pPr>
                    <w:pStyle w:val="136"/>
                    <w:adjustRightInd w:val="0"/>
                    <w:snapToGrid w:val="0"/>
                    <w:rPr>
                      <w:lang w:bidi="ar"/>
                    </w:rPr>
                  </w:pPr>
                  <w:r>
                    <w:rPr>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32" w:type="pct"/>
                  <w:vAlign w:val="center"/>
                </w:tcPr>
                <w:p>
                  <w:pPr>
                    <w:pStyle w:val="136"/>
                    <w:adjustRightInd w:val="0"/>
                    <w:snapToGrid w:val="0"/>
                    <w:rPr>
                      <w:lang w:bidi="ar"/>
                    </w:rPr>
                  </w:pPr>
                  <w:r>
                    <w:rPr>
                      <w:lang w:bidi="ar"/>
                    </w:rPr>
                    <w:t>3</w:t>
                  </w:r>
                </w:p>
              </w:tc>
              <w:tc>
                <w:tcPr>
                  <w:tcW w:w="2911" w:type="pct"/>
                  <w:vAlign w:val="center"/>
                </w:tcPr>
                <w:p>
                  <w:pPr>
                    <w:pStyle w:val="136"/>
                    <w:adjustRightInd w:val="0"/>
                    <w:snapToGrid w:val="0"/>
                    <w:rPr>
                      <w:lang w:bidi="ar"/>
                    </w:rPr>
                  </w:pPr>
                  <w:r>
                    <w:rPr>
                      <w:lang w:bidi="ar"/>
                    </w:rPr>
                    <w:t>禁止新建、扩建不符合国家石化、现代煤化工等产业布局规划的项目。</w:t>
                  </w:r>
                </w:p>
              </w:tc>
              <w:tc>
                <w:tcPr>
                  <w:tcW w:w="1280" w:type="pct"/>
                  <w:vAlign w:val="center"/>
                </w:tcPr>
                <w:p>
                  <w:pPr>
                    <w:pStyle w:val="136"/>
                    <w:adjustRightInd w:val="0"/>
                    <w:snapToGrid w:val="0"/>
                    <w:rPr>
                      <w:lang w:bidi="ar"/>
                    </w:rPr>
                  </w:pPr>
                  <w:r>
                    <w:rPr>
                      <w:lang w:bidi="ar"/>
                    </w:rPr>
                    <w:t>本项目不属于石化、煤化工项目。</w:t>
                  </w:r>
                </w:p>
              </w:tc>
              <w:tc>
                <w:tcPr>
                  <w:tcW w:w="477" w:type="pct"/>
                  <w:vAlign w:val="center"/>
                </w:tcPr>
                <w:p>
                  <w:pPr>
                    <w:pStyle w:val="136"/>
                    <w:adjustRightInd w:val="0"/>
                    <w:snapToGrid w:val="0"/>
                    <w:rPr>
                      <w:lang w:bidi="ar"/>
                    </w:rPr>
                  </w:pPr>
                  <w:r>
                    <w:rPr>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32" w:type="pct"/>
                  <w:vAlign w:val="center"/>
                </w:tcPr>
                <w:p>
                  <w:pPr>
                    <w:pStyle w:val="136"/>
                    <w:adjustRightInd w:val="0"/>
                    <w:snapToGrid w:val="0"/>
                    <w:rPr>
                      <w:lang w:bidi="ar"/>
                    </w:rPr>
                  </w:pPr>
                  <w:r>
                    <w:rPr>
                      <w:lang w:bidi="ar"/>
                    </w:rPr>
                    <w:t>4</w:t>
                  </w:r>
                </w:p>
              </w:tc>
              <w:tc>
                <w:tcPr>
                  <w:tcW w:w="2911" w:type="pct"/>
                  <w:vAlign w:val="center"/>
                </w:tcPr>
                <w:p>
                  <w:pPr>
                    <w:pStyle w:val="136"/>
                    <w:adjustRightInd w:val="0"/>
                    <w:snapToGrid w:val="0"/>
                    <w:rPr>
                      <w:lang w:bidi="ar"/>
                    </w:rPr>
                  </w:pPr>
                  <w:r>
                    <w:rPr>
                      <w:lang w:bidi="ar"/>
                    </w:rPr>
                    <w:t>禁止新建、扩建法律法规和相关政策明令禁止的落后产能项目。禁止新建、扩建不符合国家产能置换要求的严重过剩产能行业的项目。禁止新建、扩建不符合要求的高耗能高排放项目。</w:t>
                  </w:r>
                </w:p>
              </w:tc>
              <w:tc>
                <w:tcPr>
                  <w:tcW w:w="1280" w:type="pct"/>
                  <w:vAlign w:val="center"/>
                </w:tcPr>
                <w:p>
                  <w:pPr>
                    <w:pStyle w:val="136"/>
                    <w:adjustRightInd w:val="0"/>
                    <w:snapToGrid w:val="0"/>
                    <w:rPr>
                      <w:lang w:bidi="ar"/>
                    </w:rPr>
                  </w:pPr>
                  <w:r>
                    <w:rPr>
                      <w:lang w:bidi="ar"/>
                    </w:rPr>
                    <w:t>本项目不属于落后产能项目，不属于严重过剩产能行业项目</w:t>
                  </w:r>
                  <w:r>
                    <w:rPr>
                      <w:rFonts w:hint="eastAsia"/>
                      <w:lang w:bidi="ar"/>
                    </w:rPr>
                    <w:t>，</w:t>
                  </w:r>
                  <w:r>
                    <w:rPr>
                      <w:lang w:bidi="ar"/>
                    </w:rPr>
                    <w:t>不属于高排放项目。</w:t>
                  </w:r>
                </w:p>
              </w:tc>
              <w:tc>
                <w:tcPr>
                  <w:tcW w:w="477" w:type="pct"/>
                  <w:vAlign w:val="center"/>
                </w:tcPr>
                <w:p>
                  <w:pPr>
                    <w:pStyle w:val="136"/>
                    <w:adjustRightInd w:val="0"/>
                    <w:snapToGrid w:val="0"/>
                    <w:rPr>
                      <w:lang w:bidi="ar"/>
                    </w:rPr>
                  </w:pPr>
                  <w:r>
                    <w:rPr>
                      <w:lang w:bidi="ar"/>
                    </w:rPr>
                    <w:t>符合</w:t>
                  </w:r>
                </w:p>
              </w:tc>
            </w:tr>
          </w:tbl>
          <w:p>
            <w:pPr>
              <w:ind w:firstLine="480"/>
              <w:rPr>
                <w:lang w:bidi="ar"/>
              </w:rPr>
            </w:pPr>
            <w:r>
              <w:rPr>
                <w:rFonts w:hint="eastAsia"/>
                <w:lang w:bidi="ar"/>
              </w:rPr>
              <w:t>（3）</w:t>
            </w:r>
            <w:r>
              <w:rPr>
                <w:lang w:bidi="ar"/>
              </w:rPr>
              <w:t>《四川省、重庆市长江经济带发展负面清单实施细则</w:t>
            </w:r>
            <w:r>
              <w:rPr>
                <w:rFonts w:hint="eastAsia"/>
                <w:lang w:bidi="ar"/>
              </w:rPr>
              <w:t>（</w:t>
            </w:r>
            <w:r>
              <w:rPr>
                <w:lang w:bidi="ar"/>
              </w:rPr>
              <w:t>试行</w:t>
            </w:r>
            <w:r>
              <w:rPr>
                <w:rFonts w:hint="eastAsia"/>
                <w:lang w:bidi="ar"/>
              </w:rPr>
              <w:t>，</w:t>
            </w:r>
            <w:r>
              <w:rPr>
                <w:lang w:bidi="ar"/>
              </w:rPr>
              <w:t>2022年版）》的符合性</w:t>
            </w:r>
          </w:p>
          <w:p>
            <w:pPr>
              <w:pStyle w:val="157"/>
              <w:rPr>
                <w:lang w:bidi="ar"/>
              </w:rPr>
            </w:pPr>
            <w:r>
              <w:rPr>
                <w:rFonts w:hint="eastAsia"/>
                <w:lang w:bidi="ar"/>
              </w:rPr>
              <w:t>表1</w:t>
            </w:r>
            <w:r>
              <w:rPr>
                <w:lang w:bidi="ar"/>
              </w:rPr>
              <w:t>-7  与</w:t>
            </w:r>
            <w:r>
              <w:rPr>
                <w:rFonts w:hint="eastAsia"/>
                <w:lang w:bidi="ar"/>
              </w:rPr>
              <w:t>《四川省、重庆市长江经济带发展负面清单实施细则》</w:t>
            </w:r>
            <w:r>
              <w:rPr>
                <w:lang w:bidi="ar"/>
              </w:rPr>
              <w:t>符合性分析</w:t>
            </w:r>
          </w:p>
          <w:tbl>
            <w:tblPr>
              <w:tblStyle w:val="19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17"/>
              <w:gridCol w:w="4346"/>
              <w:gridCol w:w="2178"/>
              <w:gridCol w:w="7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391" w:type="pct"/>
                  <w:vAlign w:val="center"/>
                </w:tcPr>
                <w:p>
                  <w:pPr>
                    <w:pStyle w:val="136"/>
                    <w:adjustRightInd w:val="0"/>
                    <w:snapToGrid w:val="0"/>
                    <w:rPr>
                      <w:b/>
                      <w:bCs/>
                      <w:lang w:bidi="ar"/>
                    </w:rPr>
                  </w:pPr>
                  <w:r>
                    <w:rPr>
                      <w:b/>
                      <w:bCs/>
                      <w:lang w:bidi="ar"/>
                    </w:rPr>
                    <w:t>序号</w:t>
                  </w:r>
                </w:p>
              </w:tc>
              <w:tc>
                <w:tcPr>
                  <w:tcW w:w="2754" w:type="pct"/>
                  <w:vAlign w:val="center"/>
                </w:tcPr>
                <w:p>
                  <w:pPr>
                    <w:pStyle w:val="136"/>
                    <w:adjustRightInd w:val="0"/>
                    <w:snapToGrid w:val="0"/>
                    <w:rPr>
                      <w:b/>
                      <w:bCs/>
                      <w:lang w:bidi="ar"/>
                    </w:rPr>
                  </w:pPr>
                  <w:r>
                    <w:rPr>
                      <w:b/>
                      <w:bCs/>
                      <w:lang w:bidi="ar"/>
                    </w:rPr>
                    <w:t>文件具体要求</w:t>
                  </w:r>
                </w:p>
              </w:tc>
              <w:tc>
                <w:tcPr>
                  <w:tcW w:w="1380" w:type="pct"/>
                  <w:vAlign w:val="center"/>
                </w:tcPr>
                <w:p>
                  <w:pPr>
                    <w:pStyle w:val="136"/>
                    <w:adjustRightInd w:val="0"/>
                    <w:snapToGrid w:val="0"/>
                    <w:rPr>
                      <w:b/>
                      <w:bCs/>
                      <w:lang w:bidi="ar"/>
                    </w:rPr>
                  </w:pPr>
                  <w:r>
                    <w:rPr>
                      <w:b/>
                      <w:bCs/>
                      <w:lang w:bidi="ar"/>
                    </w:rPr>
                    <w:t>本项目</w:t>
                  </w:r>
                </w:p>
              </w:tc>
              <w:tc>
                <w:tcPr>
                  <w:tcW w:w="475" w:type="pct"/>
                  <w:vAlign w:val="center"/>
                </w:tcPr>
                <w:p>
                  <w:pPr>
                    <w:pStyle w:val="136"/>
                    <w:adjustRightInd w:val="0"/>
                    <w:snapToGrid w:val="0"/>
                    <w:rPr>
                      <w:b/>
                      <w:bCs/>
                      <w:lang w:bidi="ar"/>
                    </w:rPr>
                  </w:pPr>
                  <w:r>
                    <w:rPr>
                      <w:b/>
                      <w:bCs/>
                      <w:lang w:bidi="ar"/>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91" w:type="pct"/>
                  <w:vAlign w:val="center"/>
                </w:tcPr>
                <w:p>
                  <w:pPr>
                    <w:pStyle w:val="136"/>
                    <w:adjustRightInd w:val="0"/>
                    <w:snapToGrid w:val="0"/>
                    <w:rPr>
                      <w:lang w:bidi="ar"/>
                    </w:rPr>
                  </w:pPr>
                  <w:r>
                    <w:rPr>
                      <w:lang w:bidi="ar"/>
                    </w:rPr>
                    <w:t>1</w:t>
                  </w:r>
                </w:p>
              </w:tc>
              <w:tc>
                <w:tcPr>
                  <w:tcW w:w="2754" w:type="pct"/>
                  <w:vAlign w:val="center"/>
                </w:tcPr>
                <w:p>
                  <w:pPr>
                    <w:pStyle w:val="136"/>
                    <w:adjustRightInd w:val="0"/>
                    <w:snapToGrid w:val="0"/>
                    <w:jc w:val="both"/>
                    <w:rPr>
                      <w:lang w:bidi="ar"/>
                    </w:rPr>
                  </w:pPr>
                  <w:r>
                    <w:rPr>
                      <w:lang w:bidi="ar"/>
                    </w:rPr>
                    <w:t>第七条</w:t>
                  </w:r>
                  <w:r>
                    <w:rPr>
                      <w:rFonts w:hint="eastAsia"/>
                      <w:lang w:bidi="ar"/>
                    </w:rPr>
                    <w:t xml:space="preserve"> </w:t>
                  </w:r>
                  <w:r>
                    <w:rPr>
                      <w:lang w:bidi="ar"/>
                    </w:rPr>
                    <w:t>禁止在自然保护区核心区、缓冲区的岸线和河段范围内投资建设旅游和生产经营项目</w:t>
                  </w:r>
                  <w:r>
                    <w:rPr>
                      <w:rFonts w:hint="eastAsia"/>
                      <w:lang w:bidi="ar"/>
                    </w:rPr>
                    <w:t>。</w:t>
                  </w:r>
                  <w:r>
                    <w:rPr>
                      <w:lang w:bidi="ar"/>
                    </w:rPr>
                    <w:t>自然保护区的内部未分区的，依照核心区和缓冲区的规定管控</w:t>
                  </w:r>
                  <w:r>
                    <w:rPr>
                      <w:rFonts w:hint="eastAsia"/>
                      <w:lang w:bidi="ar"/>
                    </w:rPr>
                    <w:t>。</w:t>
                  </w:r>
                </w:p>
              </w:tc>
              <w:tc>
                <w:tcPr>
                  <w:tcW w:w="1380" w:type="pct"/>
                  <w:vAlign w:val="center"/>
                </w:tcPr>
                <w:p>
                  <w:pPr>
                    <w:pStyle w:val="136"/>
                    <w:adjustRightInd w:val="0"/>
                    <w:snapToGrid w:val="0"/>
                    <w:rPr>
                      <w:lang w:bidi="ar"/>
                    </w:rPr>
                  </w:pPr>
                  <w:r>
                    <w:rPr>
                      <w:rFonts w:hint="eastAsia"/>
                      <w:lang w:bidi="ar"/>
                    </w:rPr>
                    <w:t>本项目用地</w:t>
                  </w:r>
                  <w:r>
                    <w:rPr>
                      <w:lang w:bidi="ar"/>
                    </w:rPr>
                    <w:t>范围内不涉及自然保护区核心区、缓冲区的岸线和河段范围</w:t>
                  </w:r>
                  <w:r>
                    <w:rPr>
                      <w:rFonts w:hint="eastAsia"/>
                      <w:lang w:bidi="ar"/>
                    </w:rPr>
                    <w:t>；</w:t>
                  </w:r>
                </w:p>
              </w:tc>
              <w:tc>
                <w:tcPr>
                  <w:tcW w:w="475" w:type="pct"/>
                  <w:vAlign w:val="center"/>
                </w:tcPr>
                <w:p>
                  <w:pPr>
                    <w:pStyle w:val="136"/>
                    <w:adjustRightInd w:val="0"/>
                    <w:snapToGrid w:val="0"/>
                    <w:rPr>
                      <w:lang w:bidi="ar"/>
                    </w:rPr>
                  </w:pPr>
                  <w:r>
                    <w:rPr>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91" w:type="pct"/>
                  <w:vAlign w:val="center"/>
                </w:tcPr>
                <w:p>
                  <w:pPr>
                    <w:pStyle w:val="136"/>
                    <w:adjustRightInd w:val="0"/>
                    <w:snapToGrid w:val="0"/>
                    <w:rPr>
                      <w:lang w:bidi="ar"/>
                    </w:rPr>
                  </w:pPr>
                  <w:r>
                    <w:rPr>
                      <w:rFonts w:hint="eastAsia"/>
                      <w:lang w:bidi="ar"/>
                    </w:rPr>
                    <w:t>2</w:t>
                  </w:r>
                </w:p>
              </w:tc>
              <w:tc>
                <w:tcPr>
                  <w:tcW w:w="2754" w:type="pct"/>
                  <w:vAlign w:val="center"/>
                </w:tcPr>
                <w:p>
                  <w:pPr>
                    <w:pStyle w:val="136"/>
                    <w:adjustRightInd w:val="0"/>
                    <w:snapToGrid w:val="0"/>
                    <w:jc w:val="both"/>
                    <w:rPr>
                      <w:lang w:bidi="ar"/>
                    </w:rPr>
                  </w:pPr>
                  <w:r>
                    <w:rPr>
                      <w:lang w:bidi="ar"/>
                    </w:rPr>
                    <w:t>第八条 违反风景名胜区规划， 在风景名胜区内设立各类开发区</w:t>
                  </w:r>
                  <w:r>
                    <w:rPr>
                      <w:rFonts w:hint="eastAsia"/>
                      <w:lang w:bidi="ar"/>
                    </w:rPr>
                    <w:t>。禁止</w:t>
                  </w:r>
                  <w:r>
                    <w:rPr>
                      <w:lang w:bidi="ar"/>
                    </w:rPr>
                    <w:t>在风景名胜区核心景区的岸线和河段范围内建设宾馆</w:t>
                  </w:r>
                  <w:r>
                    <w:rPr>
                      <w:rFonts w:hint="eastAsia"/>
                      <w:lang w:bidi="ar"/>
                    </w:rPr>
                    <w:t>、</w:t>
                  </w:r>
                  <w:r>
                    <w:rPr>
                      <w:lang w:bidi="ar"/>
                    </w:rPr>
                    <w:t>招待所</w:t>
                  </w:r>
                  <w:r>
                    <w:rPr>
                      <w:rFonts w:hint="eastAsia"/>
                      <w:lang w:bidi="ar"/>
                    </w:rPr>
                    <w:t>培训</w:t>
                  </w:r>
                  <w:r>
                    <w:rPr>
                      <w:lang w:bidi="ar"/>
                    </w:rPr>
                    <w:t>中心、疗养院以及与风景名胜资源保护无关的项目</w:t>
                  </w:r>
                  <w:r>
                    <w:rPr>
                      <w:rFonts w:hint="eastAsia"/>
                      <w:lang w:bidi="ar"/>
                    </w:rPr>
                    <w:t>。</w:t>
                  </w:r>
                </w:p>
              </w:tc>
              <w:tc>
                <w:tcPr>
                  <w:tcW w:w="1380" w:type="pct"/>
                  <w:vAlign w:val="center"/>
                </w:tcPr>
                <w:p>
                  <w:pPr>
                    <w:pStyle w:val="136"/>
                    <w:adjustRightInd w:val="0"/>
                    <w:snapToGrid w:val="0"/>
                    <w:rPr>
                      <w:lang w:bidi="ar"/>
                    </w:rPr>
                  </w:pPr>
                  <w:r>
                    <w:rPr>
                      <w:rFonts w:hint="eastAsia"/>
                      <w:lang w:bidi="ar"/>
                    </w:rPr>
                    <w:t>本项目不涉及占用</w:t>
                  </w:r>
                  <w:r>
                    <w:rPr>
                      <w:lang w:bidi="ar"/>
                    </w:rPr>
                    <w:t>风景名胜区的岸线和河段范围</w:t>
                  </w:r>
                  <w:r>
                    <w:rPr>
                      <w:rFonts w:hint="eastAsia"/>
                      <w:lang w:bidi="ar"/>
                    </w:rPr>
                    <w:t>。</w:t>
                  </w:r>
                </w:p>
              </w:tc>
              <w:tc>
                <w:tcPr>
                  <w:tcW w:w="475" w:type="pct"/>
                  <w:vAlign w:val="center"/>
                </w:tcPr>
                <w:p>
                  <w:pPr>
                    <w:pStyle w:val="136"/>
                    <w:adjustRightInd w:val="0"/>
                    <w:snapToGrid w:val="0"/>
                    <w:rPr>
                      <w:lang w:bidi="ar"/>
                    </w:rPr>
                  </w:pPr>
                  <w:r>
                    <w:rPr>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91" w:type="pct"/>
                  <w:vAlign w:val="center"/>
                </w:tcPr>
                <w:p>
                  <w:pPr>
                    <w:pStyle w:val="136"/>
                    <w:adjustRightInd w:val="0"/>
                    <w:snapToGrid w:val="0"/>
                    <w:rPr>
                      <w:lang w:bidi="ar"/>
                    </w:rPr>
                  </w:pPr>
                  <w:r>
                    <w:rPr>
                      <w:rFonts w:hint="eastAsia"/>
                      <w:lang w:bidi="ar"/>
                    </w:rPr>
                    <w:t>3</w:t>
                  </w:r>
                </w:p>
              </w:tc>
              <w:tc>
                <w:tcPr>
                  <w:tcW w:w="2754" w:type="pct"/>
                  <w:vAlign w:val="center"/>
                </w:tcPr>
                <w:p>
                  <w:pPr>
                    <w:pStyle w:val="136"/>
                    <w:adjustRightInd w:val="0"/>
                    <w:snapToGrid w:val="0"/>
                    <w:jc w:val="both"/>
                    <w:rPr>
                      <w:lang w:bidi="ar"/>
                    </w:rPr>
                  </w:pPr>
                  <w:r>
                    <w:rPr>
                      <w:lang w:bidi="ar"/>
                    </w:rPr>
                    <w:t>禁止在饮用水水源准保护区的岸线和河段范围内新建</w:t>
                  </w:r>
                  <w:r>
                    <w:rPr>
                      <w:rFonts w:hint="eastAsia"/>
                      <w:lang w:bidi="ar"/>
                    </w:rPr>
                    <w:t>、</w:t>
                  </w:r>
                  <w:r>
                    <w:rPr>
                      <w:lang w:bidi="ar"/>
                    </w:rPr>
                    <w:t>扩建对水体污染严重的建设项目</w:t>
                  </w:r>
                  <w:r>
                    <w:rPr>
                      <w:rFonts w:hint="eastAsia"/>
                      <w:lang w:bidi="ar"/>
                    </w:rPr>
                    <w:t>，禁止</w:t>
                  </w:r>
                  <w:r>
                    <w:rPr>
                      <w:lang w:bidi="ar"/>
                    </w:rPr>
                    <w:t>改建增加排污量的建设项目。</w:t>
                  </w:r>
                </w:p>
                <w:p>
                  <w:pPr>
                    <w:pStyle w:val="136"/>
                    <w:adjustRightInd w:val="0"/>
                    <w:snapToGrid w:val="0"/>
                    <w:jc w:val="both"/>
                    <w:rPr>
                      <w:lang w:bidi="ar"/>
                    </w:rPr>
                  </w:pPr>
                  <w:r>
                    <w:rPr>
                      <w:lang w:bidi="ar"/>
                    </w:rPr>
                    <w:t>饮用水水源二级保护区的岸线和河段范围内除遵守准保护区规定外</w:t>
                  </w:r>
                  <w:r>
                    <w:rPr>
                      <w:rFonts w:hint="eastAsia"/>
                      <w:lang w:bidi="ar"/>
                    </w:rPr>
                    <w:t>，</w:t>
                  </w:r>
                  <w:r>
                    <w:rPr>
                      <w:lang w:bidi="ar"/>
                    </w:rPr>
                    <w:t xml:space="preserve"> 禁止新建、改建、扩建排放污染物的投资建设项目</w:t>
                  </w:r>
                  <w:r>
                    <w:rPr>
                      <w:rFonts w:hint="eastAsia"/>
                      <w:lang w:bidi="ar"/>
                    </w:rPr>
                    <w:t>；</w:t>
                  </w:r>
                  <w:r>
                    <w:rPr>
                      <w:lang w:bidi="ar"/>
                    </w:rPr>
                    <w:t>禁止从事对水体有污染的水产养殖等活动。</w:t>
                  </w:r>
                </w:p>
                <w:p>
                  <w:pPr>
                    <w:pStyle w:val="136"/>
                    <w:adjustRightInd w:val="0"/>
                    <w:snapToGrid w:val="0"/>
                    <w:jc w:val="both"/>
                    <w:rPr>
                      <w:lang w:bidi="ar"/>
                    </w:rPr>
                  </w:pPr>
                  <w:r>
                    <w:rPr>
                      <w:lang w:bidi="ar"/>
                    </w:rPr>
                    <w:t>饮用水水源一级保护区的岸线和河段范围内，除遵守二级保护区规定外</w:t>
                  </w:r>
                  <w:r>
                    <w:rPr>
                      <w:rFonts w:hint="eastAsia"/>
                      <w:lang w:bidi="ar"/>
                    </w:rPr>
                    <w:t>，</w:t>
                  </w:r>
                  <w:r>
                    <w:rPr>
                      <w:lang w:bidi="ar"/>
                    </w:rPr>
                    <w:t>禁止新建、改建、扩建与供水设施和保护水源无关的项目，以及网箱养殖、畜禽养殖、旅游等可能污染饮用水水体的投资建设项目</w:t>
                  </w:r>
                  <w:r>
                    <w:rPr>
                      <w:rFonts w:hint="eastAsia"/>
                      <w:lang w:bidi="ar"/>
                    </w:rPr>
                    <w:t>。</w:t>
                  </w:r>
                </w:p>
              </w:tc>
              <w:tc>
                <w:tcPr>
                  <w:tcW w:w="1380" w:type="pct"/>
                  <w:vAlign w:val="center"/>
                </w:tcPr>
                <w:p>
                  <w:pPr>
                    <w:pStyle w:val="136"/>
                    <w:adjustRightInd w:val="0"/>
                    <w:snapToGrid w:val="0"/>
                    <w:rPr>
                      <w:lang w:bidi="ar"/>
                    </w:rPr>
                  </w:pPr>
                  <w:r>
                    <w:rPr>
                      <w:rFonts w:hint="eastAsia"/>
                      <w:lang w:bidi="ar"/>
                    </w:rPr>
                    <w:t>本项目不涉及</w:t>
                  </w:r>
                  <w:r>
                    <w:rPr>
                      <w:lang w:bidi="ar"/>
                    </w:rPr>
                    <w:t>饮用水水源准保护区</w:t>
                  </w:r>
                  <w:r>
                    <w:rPr>
                      <w:rFonts w:hint="eastAsia"/>
                      <w:lang w:bidi="ar"/>
                    </w:rPr>
                    <w:t>、二级保护区、一级保护区</w:t>
                  </w:r>
                  <w:r>
                    <w:rPr>
                      <w:lang w:bidi="ar"/>
                    </w:rPr>
                    <w:t>的岸线和河段范围</w:t>
                  </w:r>
                  <w:r>
                    <w:rPr>
                      <w:rFonts w:hint="eastAsia"/>
                      <w:lang w:bidi="ar"/>
                    </w:rPr>
                    <w:t>。</w:t>
                  </w:r>
                </w:p>
              </w:tc>
              <w:tc>
                <w:tcPr>
                  <w:tcW w:w="475" w:type="pct"/>
                  <w:vAlign w:val="center"/>
                </w:tcPr>
                <w:p>
                  <w:pPr>
                    <w:pStyle w:val="136"/>
                    <w:adjustRightInd w:val="0"/>
                    <w:snapToGrid w:val="0"/>
                    <w:rPr>
                      <w:lang w:bidi="ar"/>
                    </w:rPr>
                  </w:pPr>
                  <w:r>
                    <w:rPr>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91" w:type="pct"/>
                  <w:vAlign w:val="center"/>
                </w:tcPr>
                <w:p>
                  <w:pPr>
                    <w:pStyle w:val="136"/>
                    <w:adjustRightInd w:val="0"/>
                    <w:snapToGrid w:val="0"/>
                    <w:rPr>
                      <w:lang w:bidi="ar"/>
                    </w:rPr>
                  </w:pPr>
                  <w:r>
                    <w:rPr>
                      <w:rFonts w:hint="eastAsia"/>
                      <w:lang w:bidi="ar"/>
                    </w:rPr>
                    <w:t>4</w:t>
                  </w:r>
                </w:p>
              </w:tc>
              <w:tc>
                <w:tcPr>
                  <w:tcW w:w="2754" w:type="pct"/>
                  <w:vAlign w:val="center"/>
                </w:tcPr>
                <w:p>
                  <w:pPr>
                    <w:pStyle w:val="136"/>
                    <w:adjustRightInd w:val="0"/>
                    <w:snapToGrid w:val="0"/>
                    <w:jc w:val="both"/>
                    <w:rPr>
                      <w:lang w:bidi="ar"/>
                    </w:rPr>
                  </w:pPr>
                  <w:r>
                    <w:rPr>
                      <w:lang w:bidi="ar"/>
                    </w:rPr>
                    <w:t>第</w:t>
                  </w:r>
                  <w:r>
                    <w:rPr>
                      <w:rFonts w:hint="eastAsia"/>
                      <w:lang w:bidi="ar"/>
                    </w:rPr>
                    <w:t>十二</w:t>
                  </w:r>
                  <w:r>
                    <w:rPr>
                      <w:lang w:bidi="ar"/>
                    </w:rPr>
                    <w:t>条 禁止在水产种质资源保护区岸线和河段范围内新建围湖造田、围湖造地或挖沙采石等投资建设项目</w:t>
                  </w:r>
                  <w:r>
                    <w:rPr>
                      <w:rFonts w:hint="eastAsia"/>
                      <w:lang w:bidi="ar"/>
                    </w:rPr>
                    <w:t>。</w:t>
                  </w:r>
                </w:p>
              </w:tc>
              <w:tc>
                <w:tcPr>
                  <w:tcW w:w="1380" w:type="pct"/>
                  <w:vAlign w:val="center"/>
                </w:tcPr>
                <w:p>
                  <w:pPr>
                    <w:pStyle w:val="136"/>
                    <w:adjustRightInd w:val="0"/>
                    <w:snapToGrid w:val="0"/>
                    <w:rPr>
                      <w:lang w:bidi="ar"/>
                    </w:rPr>
                  </w:pPr>
                  <w:r>
                    <w:rPr>
                      <w:rFonts w:hint="eastAsia"/>
                      <w:lang w:bidi="ar"/>
                    </w:rPr>
                    <w:t>本项目</w:t>
                  </w:r>
                  <w:r>
                    <w:rPr>
                      <w:lang w:bidi="ar"/>
                    </w:rPr>
                    <w:t>不涉及水产种质资源保护区岸线和河段范围</w:t>
                  </w:r>
                  <w:r>
                    <w:rPr>
                      <w:rFonts w:hint="eastAsia"/>
                      <w:lang w:bidi="ar"/>
                    </w:rPr>
                    <w:t>；</w:t>
                  </w:r>
                </w:p>
              </w:tc>
              <w:tc>
                <w:tcPr>
                  <w:tcW w:w="475" w:type="pct"/>
                  <w:vAlign w:val="center"/>
                </w:tcPr>
                <w:p>
                  <w:pPr>
                    <w:pStyle w:val="136"/>
                    <w:adjustRightInd w:val="0"/>
                    <w:snapToGrid w:val="0"/>
                    <w:rPr>
                      <w:lang w:bidi="ar"/>
                    </w:rPr>
                  </w:pPr>
                  <w:r>
                    <w:rPr>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57" w:hRule="atLeast"/>
              </w:trPr>
              <w:tc>
                <w:tcPr>
                  <w:tcW w:w="391" w:type="pct"/>
                  <w:vAlign w:val="center"/>
                </w:tcPr>
                <w:p>
                  <w:pPr>
                    <w:pStyle w:val="136"/>
                    <w:adjustRightInd w:val="0"/>
                    <w:snapToGrid w:val="0"/>
                    <w:rPr>
                      <w:lang w:bidi="ar"/>
                    </w:rPr>
                  </w:pPr>
                  <w:r>
                    <w:rPr>
                      <w:rFonts w:hint="eastAsia"/>
                      <w:lang w:bidi="ar"/>
                    </w:rPr>
                    <w:t>5</w:t>
                  </w:r>
                </w:p>
              </w:tc>
              <w:tc>
                <w:tcPr>
                  <w:tcW w:w="2754" w:type="pct"/>
                  <w:vAlign w:val="center"/>
                </w:tcPr>
                <w:p>
                  <w:pPr>
                    <w:pStyle w:val="136"/>
                    <w:adjustRightInd w:val="0"/>
                    <w:snapToGrid w:val="0"/>
                    <w:jc w:val="both"/>
                    <w:rPr>
                      <w:lang w:bidi="ar"/>
                    </w:rPr>
                  </w:pPr>
                  <w:r>
                    <w:rPr>
                      <w:lang w:bidi="ar"/>
                    </w:rPr>
                    <w:t>第十三条 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沺游通道</w:t>
                  </w:r>
                  <w:r>
                    <w:rPr>
                      <w:rFonts w:hint="eastAsia"/>
                      <w:lang w:bidi="ar"/>
                    </w:rPr>
                    <w:t>。</w:t>
                  </w:r>
                </w:p>
              </w:tc>
              <w:tc>
                <w:tcPr>
                  <w:tcW w:w="1380" w:type="pct"/>
                  <w:vAlign w:val="center"/>
                </w:tcPr>
                <w:p>
                  <w:pPr>
                    <w:pStyle w:val="136"/>
                    <w:adjustRightInd w:val="0"/>
                    <w:snapToGrid w:val="0"/>
                    <w:rPr>
                      <w:lang w:bidi="ar"/>
                    </w:rPr>
                  </w:pPr>
                  <w:r>
                    <w:rPr>
                      <w:rFonts w:hint="eastAsia"/>
                      <w:lang w:bidi="ar"/>
                    </w:rPr>
                    <w:t>本项目</w:t>
                  </w:r>
                  <w:r>
                    <w:rPr>
                      <w:lang w:bidi="ar"/>
                    </w:rPr>
                    <w:t>不涉及国家湿地公园的岸线和河段范围</w:t>
                  </w:r>
                  <w:r>
                    <w:rPr>
                      <w:rFonts w:hint="eastAsia"/>
                      <w:lang w:bidi="ar"/>
                    </w:rPr>
                    <w:t>；</w:t>
                  </w:r>
                </w:p>
              </w:tc>
              <w:tc>
                <w:tcPr>
                  <w:tcW w:w="475" w:type="pct"/>
                  <w:vAlign w:val="center"/>
                </w:tcPr>
                <w:p>
                  <w:pPr>
                    <w:pStyle w:val="136"/>
                    <w:adjustRightInd w:val="0"/>
                    <w:snapToGrid w:val="0"/>
                    <w:rPr>
                      <w:lang w:bidi="ar"/>
                    </w:rPr>
                  </w:pPr>
                  <w:r>
                    <w:rPr>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26" w:hRule="atLeast"/>
              </w:trPr>
              <w:tc>
                <w:tcPr>
                  <w:tcW w:w="391" w:type="pct"/>
                  <w:vAlign w:val="center"/>
                </w:tcPr>
                <w:p>
                  <w:pPr>
                    <w:pStyle w:val="136"/>
                    <w:adjustRightInd w:val="0"/>
                    <w:snapToGrid w:val="0"/>
                    <w:rPr>
                      <w:lang w:bidi="ar"/>
                    </w:rPr>
                  </w:pPr>
                  <w:r>
                    <w:rPr>
                      <w:rFonts w:hint="eastAsia"/>
                      <w:lang w:bidi="ar"/>
                    </w:rPr>
                    <w:t>6</w:t>
                  </w:r>
                </w:p>
              </w:tc>
              <w:tc>
                <w:tcPr>
                  <w:tcW w:w="2754" w:type="pct"/>
                  <w:vAlign w:val="center"/>
                </w:tcPr>
                <w:p>
                  <w:pPr>
                    <w:pStyle w:val="136"/>
                    <w:adjustRightInd w:val="0"/>
                    <w:snapToGrid w:val="0"/>
                    <w:jc w:val="both"/>
                    <w:rPr>
                      <w:lang w:bidi="ar"/>
                    </w:rPr>
                  </w:pPr>
                  <w:r>
                    <w:rPr>
                      <w:lang w:bidi="ar"/>
                    </w:rPr>
                    <w:t>第十四条 禁止违法利用、占用长江流域河湖岸线</w:t>
                  </w:r>
                  <w:r>
                    <w:rPr>
                      <w:rFonts w:hint="eastAsia"/>
                      <w:lang w:bidi="ar"/>
                    </w:rPr>
                    <w:t>。</w:t>
                  </w:r>
                  <w:r>
                    <w:rPr>
                      <w:lang w:bidi="ar"/>
                    </w:rPr>
                    <w:t>禁止在《长江岸线保护和开发利用总体规划》划定的岸线保护区和岸线保留区内投资建设除事关公共安全及公众利益的防洪护岸、河道治理、供水、生态环境保护、航道整治、国家重要基础设施以外的项目</w:t>
                  </w:r>
                  <w:r>
                    <w:rPr>
                      <w:rFonts w:hint="eastAsia"/>
                      <w:lang w:bidi="ar"/>
                    </w:rPr>
                    <w:t>。</w:t>
                  </w:r>
                </w:p>
              </w:tc>
              <w:tc>
                <w:tcPr>
                  <w:tcW w:w="1380" w:type="pct"/>
                  <w:vAlign w:val="center"/>
                </w:tcPr>
                <w:p>
                  <w:pPr>
                    <w:pStyle w:val="136"/>
                    <w:adjustRightInd w:val="0"/>
                    <w:snapToGrid w:val="0"/>
                    <w:rPr>
                      <w:lang w:bidi="ar"/>
                    </w:rPr>
                  </w:pPr>
                  <w:r>
                    <w:rPr>
                      <w:rFonts w:hint="eastAsia"/>
                      <w:lang w:bidi="ar"/>
                    </w:rPr>
                    <w:t>本项目不涉及利用、</w:t>
                  </w:r>
                  <w:r>
                    <w:rPr>
                      <w:lang w:bidi="ar"/>
                    </w:rPr>
                    <w:t>占用长江流域河湖岸线</w:t>
                  </w:r>
                  <w:r>
                    <w:rPr>
                      <w:rFonts w:hint="eastAsia"/>
                      <w:lang w:bidi="ar"/>
                    </w:rPr>
                    <w:t>。</w:t>
                  </w:r>
                </w:p>
              </w:tc>
              <w:tc>
                <w:tcPr>
                  <w:tcW w:w="475" w:type="pct"/>
                  <w:vAlign w:val="center"/>
                </w:tcPr>
                <w:p>
                  <w:pPr>
                    <w:pStyle w:val="136"/>
                    <w:adjustRightInd w:val="0"/>
                    <w:snapToGrid w:val="0"/>
                    <w:rPr>
                      <w:lang w:bidi="ar"/>
                    </w:rPr>
                  </w:pPr>
                  <w:r>
                    <w:rPr>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236" w:hRule="atLeast"/>
              </w:trPr>
              <w:tc>
                <w:tcPr>
                  <w:tcW w:w="391" w:type="pct"/>
                  <w:vAlign w:val="center"/>
                </w:tcPr>
                <w:p>
                  <w:pPr>
                    <w:pStyle w:val="136"/>
                    <w:adjustRightInd w:val="0"/>
                    <w:snapToGrid w:val="0"/>
                    <w:rPr>
                      <w:lang w:bidi="ar"/>
                    </w:rPr>
                  </w:pPr>
                  <w:r>
                    <w:rPr>
                      <w:rFonts w:hint="eastAsia"/>
                      <w:lang w:bidi="ar"/>
                    </w:rPr>
                    <w:t>7</w:t>
                  </w:r>
                </w:p>
              </w:tc>
              <w:tc>
                <w:tcPr>
                  <w:tcW w:w="2754" w:type="pct"/>
                  <w:vAlign w:val="center"/>
                </w:tcPr>
                <w:p>
                  <w:pPr>
                    <w:pStyle w:val="136"/>
                    <w:adjustRightInd w:val="0"/>
                    <w:snapToGrid w:val="0"/>
                    <w:jc w:val="both"/>
                    <w:rPr>
                      <w:lang w:bidi="ar"/>
                    </w:rPr>
                  </w:pPr>
                  <w:r>
                    <w:rPr>
                      <w:lang w:bidi="ar"/>
                    </w:rPr>
                    <w:t>第十五条 禁止在《全国重要江河湖泊水功能区划》划定的河段及湖泊保护区、保留区内投资建设不利于水资源及自然生态保护的项目</w:t>
                  </w:r>
                  <w:r>
                    <w:rPr>
                      <w:rFonts w:hint="eastAsia"/>
                      <w:lang w:bidi="ar"/>
                    </w:rPr>
                    <w:t>。</w:t>
                  </w:r>
                </w:p>
              </w:tc>
              <w:tc>
                <w:tcPr>
                  <w:tcW w:w="1380" w:type="pct"/>
                  <w:vAlign w:val="center"/>
                </w:tcPr>
                <w:p>
                  <w:pPr>
                    <w:pStyle w:val="136"/>
                    <w:adjustRightInd w:val="0"/>
                    <w:snapToGrid w:val="0"/>
                    <w:rPr>
                      <w:lang w:bidi="ar"/>
                    </w:rPr>
                  </w:pPr>
                  <w:r>
                    <w:rPr>
                      <w:rFonts w:hint="eastAsia"/>
                      <w:lang w:bidi="ar"/>
                    </w:rPr>
                    <w:t>本项目不涉及占用</w:t>
                  </w:r>
                  <w:r>
                    <w:rPr>
                      <w:lang w:bidi="ar"/>
                    </w:rPr>
                    <w:t>《全国重要江河湖泊水功能区划》划定的河段及湖泊保护区、保留区</w:t>
                  </w:r>
                  <w:r>
                    <w:rPr>
                      <w:rFonts w:hint="eastAsia"/>
                      <w:lang w:bidi="ar"/>
                    </w:rPr>
                    <w:t>。</w:t>
                  </w:r>
                </w:p>
              </w:tc>
              <w:tc>
                <w:tcPr>
                  <w:tcW w:w="475" w:type="pct"/>
                  <w:vAlign w:val="center"/>
                </w:tcPr>
                <w:p>
                  <w:pPr>
                    <w:pStyle w:val="136"/>
                    <w:adjustRightInd w:val="0"/>
                    <w:snapToGrid w:val="0"/>
                    <w:rPr>
                      <w:lang w:bidi="ar"/>
                    </w:rPr>
                  </w:pPr>
                  <w:r>
                    <w:rPr>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236" w:hRule="atLeast"/>
              </w:trPr>
              <w:tc>
                <w:tcPr>
                  <w:tcW w:w="391" w:type="pct"/>
                  <w:vAlign w:val="center"/>
                </w:tcPr>
                <w:p>
                  <w:pPr>
                    <w:pStyle w:val="136"/>
                    <w:adjustRightInd w:val="0"/>
                    <w:snapToGrid w:val="0"/>
                    <w:rPr>
                      <w:lang w:bidi="ar"/>
                    </w:rPr>
                  </w:pPr>
                  <w:r>
                    <w:rPr>
                      <w:rFonts w:hint="eastAsia"/>
                      <w:lang w:bidi="ar"/>
                    </w:rPr>
                    <w:t>8</w:t>
                  </w:r>
                </w:p>
              </w:tc>
              <w:tc>
                <w:tcPr>
                  <w:tcW w:w="2754" w:type="pct"/>
                  <w:vAlign w:val="center"/>
                </w:tcPr>
                <w:p>
                  <w:pPr>
                    <w:pStyle w:val="136"/>
                    <w:adjustRightInd w:val="0"/>
                    <w:snapToGrid w:val="0"/>
                    <w:jc w:val="both"/>
                    <w:rPr>
                      <w:lang w:bidi="ar"/>
                    </w:rPr>
                  </w:pPr>
                  <w:r>
                    <w:rPr>
                      <w:lang w:bidi="ar"/>
                    </w:rPr>
                    <w:t>第十六条 禁止在长江流域江河、湖泊新设、改设或者扩大排污口</w:t>
                  </w:r>
                  <w:r>
                    <w:rPr>
                      <w:rFonts w:hint="eastAsia"/>
                      <w:lang w:bidi="ar"/>
                    </w:rPr>
                    <w:t>。</w:t>
                  </w:r>
                  <w:r>
                    <w:rPr>
                      <w:lang w:bidi="ar"/>
                    </w:rPr>
                    <w:t>经有管辖权的生态环境主管部门或者长江流域生态环境监督管理机构同意的除外</w:t>
                  </w:r>
                  <w:r>
                    <w:rPr>
                      <w:rFonts w:hint="eastAsia"/>
                      <w:lang w:bidi="ar"/>
                    </w:rPr>
                    <w:t>。</w:t>
                  </w:r>
                </w:p>
              </w:tc>
              <w:tc>
                <w:tcPr>
                  <w:tcW w:w="1380" w:type="pct"/>
                  <w:vAlign w:val="center"/>
                </w:tcPr>
                <w:p>
                  <w:pPr>
                    <w:pStyle w:val="136"/>
                    <w:adjustRightInd w:val="0"/>
                    <w:snapToGrid w:val="0"/>
                    <w:jc w:val="both"/>
                    <w:rPr>
                      <w:lang w:bidi="ar"/>
                    </w:rPr>
                  </w:pPr>
                  <w:r>
                    <w:rPr>
                      <w:rFonts w:hint="eastAsia"/>
                    </w:rPr>
                    <w:t>本项目废水经预处理后排入巴中经济开发区污水处理厂处理达标后排入巴河，不涉及新设、改设或者扩大排污口。</w:t>
                  </w:r>
                </w:p>
              </w:tc>
              <w:tc>
                <w:tcPr>
                  <w:tcW w:w="475" w:type="pct"/>
                  <w:vAlign w:val="center"/>
                </w:tcPr>
                <w:p>
                  <w:pPr>
                    <w:pStyle w:val="136"/>
                    <w:adjustRightInd w:val="0"/>
                    <w:snapToGrid w:val="0"/>
                    <w:rPr>
                      <w:lang w:bidi="ar"/>
                    </w:rPr>
                  </w:pPr>
                  <w:r>
                    <w:rPr>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91" w:type="pct"/>
                  <w:vAlign w:val="center"/>
                </w:tcPr>
                <w:p>
                  <w:pPr>
                    <w:pStyle w:val="136"/>
                    <w:adjustRightInd w:val="0"/>
                    <w:snapToGrid w:val="0"/>
                    <w:rPr>
                      <w:lang w:bidi="ar"/>
                    </w:rPr>
                  </w:pPr>
                  <w:r>
                    <w:rPr>
                      <w:rFonts w:hint="eastAsia"/>
                      <w:lang w:bidi="ar"/>
                    </w:rPr>
                    <w:t>9</w:t>
                  </w:r>
                </w:p>
              </w:tc>
              <w:tc>
                <w:tcPr>
                  <w:tcW w:w="2754" w:type="pct"/>
                  <w:vAlign w:val="center"/>
                </w:tcPr>
                <w:p>
                  <w:pPr>
                    <w:pStyle w:val="136"/>
                    <w:adjustRightInd w:val="0"/>
                    <w:snapToGrid w:val="0"/>
                    <w:jc w:val="both"/>
                    <w:rPr>
                      <w:lang w:bidi="ar"/>
                    </w:rPr>
                  </w:pPr>
                  <w:r>
                    <w:rPr>
                      <w:lang w:bidi="ar"/>
                    </w:rPr>
                    <w:t>第十八条 禁止在长江</w:t>
                  </w:r>
                  <w:r>
                    <w:rPr>
                      <w:rFonts w:hint="eastAsia"/>
                      <w:lang w:bidi="ar"/>
                    </w:rPr>
                    <w:t>干</w:t>
                  </w:r>
                  <w:r>
                    <w:rPr>
                      <w:lang w:bidi="ar"/>
                    </w:rPr>
                    <w:t>支流、重要湖泊岸线一公里范围内新建、扩建化工园区和化工项目</w:t>
                  </w:r>
                  <w:r>
                    <w:rPr>
                      <w:rFonts w:hint="eastAsia"/>
                      <w:lang w:bidi="ar"/>
                    </w:rPr>
                    <w:t>。</w:t>
                  </w:r>
                </w:p>
              </w:tc>
              <w:tc>
                <w:tcPr>
                  <w:tcW w:w="1380" w:type="pct"/>
                  <w:vMerge w:val="restart"/>
                  <w:vAlign w:val="center"/>
                </w:tcPr>
                <w:p>
                  <w:pPr>
                    <w:pStyle w:val="136"/>
                    <w:adjustRightInd w:val="0"/>
                    <w:snapToGrid w:val="0"/>
                    <w:rPr>
                      <w:lang w:bidi="ar"/>
                    </w:rPr>
                  </w:pPr>
                  <w:r>
                    <w:rPr>
                      <w:rFonts w:hint="eastAsia"/>
                      <w:lang w:bidi="ar"/>
                    </w:rPr>
                    <w:t>本项目属于</w:t>
                  </w:r>
                  <w:r>
                    <w:rPr>
                      <w:rFonts w:hint="eastAsia"/>
                    </w:rPr>
                    <w:t>环境检测实验室建设项目</w:t>
                  </w:r>
                  <w:r>
                    <w:rPr>
                      <w:rFonts w:hint="eastAsia"/>
                      <w:lang w:bidi="ar"/>
                    </w:rPr>
                    <w:t>，不属于化工、</w:t>
                  </w:r>
                  <w:r>
                    <w:rPr>
                      <w:lang w:bidi="ar"/>
                    </w:rPr>
                    <w:t>尾矿库、冶炼渣库、磷石膏库</w:t>
                  </w:r>
                  <w:r>
                    <w:rPr>
                      <w:rFonts w:hint="eastAsia"/>
                      <w:lang w:bidi="ar"/>
                    </w:rPr>
                    <w:t>类项目。</w:t>
                  </w:r>
                </w:p>
              </w:tc>
              <w:tc>
                <w:tcPr>
                  <w:tcW w:w="475" w:type="pct"/>
                  <w:vAlign w:val="center"/>
                </w:tcPr>
                <w:p>
                  <w:pPr>
                    <w:pStyle w:val="136"/>
                    <w:adjustRightInd w:val="0"/>
                    <w:snapToGrid w:val="0"/>
                    <w:rPr>
                      <w:lang w:bidi="ar"/>
                    </w:rPr>
                  </w:pPr>
                  <w:r>
                    <w:rPr>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91" w:type="pct"/>
                  <w:vAlign w:val="center"/>
                </w:tcPr>
                <w:p>
                  <w:pPr>
                    <w:pStyle w:val="136"/>
                    <w:adjustRightInd w:val="0"/>
                    <w:snapToGrid w:val="0"/>
                    <w:rPr>
                      <w:lang w:bidi="ar"/>
                    </w:rPr>
                  </w:pPr>
                  <w:r>
                    <w:rPr>
                      <w:rFonts w:hint="eastAsia"/>
                      <w:lang w:bidi="ar"/>
                    </w:rPr>
                    <w:t>10</w:t>
                  </w:r>
                </w:p>
              </w:tc>
              <w:tc>
                <w:tcPr>
                  <w:tcW w:w="2754" w:type="pct"/>
                  <w:vAlign w:val="center"/>
                </w:tcPr>
                <w:p>
                  <w:pPr>
                    <w:pStyle w:val="136"/>
                    <w:adjustRightInd w:val="0"/>
                    <w:snapToGrid w:val="0"/>
                    <w:jc w:val="both"/>
                    <w:rPr>
                      <w:lang w:bidi="ar"/>
                    </w:rPr>
                  </w:pPr>
                  <w:r>
                    <w:rPr>
                      <w:lang w:bidi="ar"/>
                    </w:rPr>
                    <w:t>第十九条 禁止在长江</w:t>
                  </w:r>
                  <w:r>
                    <w:rPr>
                      <w:rFonts w:hint="eastAsia"/>
                      <w:lang w:bidi="ar"/>
                    </w:rPr>
                    <w:t>干</w:t>
                  </w:r>
                  <w:r>
                    <w:rPr>
                      <w:lang w:bidi="ar"/>
                    </w:rPr>
                    <w:t>流岸线</w:t>
                  </w:r>
                  <w:r>
                    <w:rPr>
                      <w:rFonts w:hint="eastAsia"/>
                      <w:lang w:bidi="ar"/>
                    </w:rPr>
                    <w:t>三</w:t>
                  </w:r>
                  <w:r>
                    <w:rPr>
                      <w:lang w:bidi="ar"/>
                    </w:rPr>
                    <w:t>公里范围内和重要支流岸线一公里范围内新建、改建扩建尾矿库、冶炼渣库、磷石膏库，以提升安全、生态环境保护水平为目的的改建除外</w:t>
                  </w:r>
                  <w:r>
                    <w:rPr>
                      <w:rFonts w:hint="eastAsia"/>
                      <w:lang w:bidi="ar"/>
                    </w:rPr>
                    <w:t>。</w:t>
                  </w:r>
                </w:p>
              </w:tc>
              <w:tc>
                <w:tcPr>
                  <w:tcW w:w="1380" w:type="pct"/>
                  <w:vMerge w:val="continue"/>
                  <w:vAlign w:val="center"/>
                </w:tcPr>
                <w:p>
                  <w:pPr>
                    <w:pStyle w:val="136"/>
                    <w:adjustRightInd w:val="0"/>
                    <w:snapToGrid w:val="0"/>
                    <w:rPr>
                      <w:lang w:bidi="ar"/>
                    </w:rPr>
                  </w:pPr>
                </w:p>
              </w:tc>
              <w:tc>
                <w:tcPr>
                  <w:tcW w:w="475" w:type="pct"/>
                  <w:vAlign w:val="center"/>
                </w:tcPr>
                <w:p>
                  <w:pPr>
                    <w:pStyle w:val="136"/>
                    <w:adjustRightInd w:val="0"/>
                    <w:snapToGrid w:val="0"/>
                    <w:rPr>
                      <w:lang w:bidi="ar"/>
                    </w:rPr>
                  </w:pPr>
                  <w:r>
                    <w:rPr>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91" w:type="pct"/>
                  <w:vAlign w:val="center"/>
                </w:tcPr>
                <w:p>
                  <w:pPr>
                    <w:pStyle w:val="136"/>
                    <w:adjustRightInd w:val="0"/>
                    <w:snapToGrid w:val="0"/>
                    <w:rPr>
                      <w:lang w:bidi="ar"/>
                    </w:rPr>
                  </w:pPr>
                  <w:r>
                    <w:rPr>
                      <w:rFonts w:hint="eastAsia"/>
                      <w:lang w:bidi="ar"/>
                    </w:rPr>
                    <w:t>11</w:t>
                  </w:r>
                </w:p>
              </w:tc>
              <w:tc>
                <w:tcPr>
                  <w:tcW w:w="2754" w:type="pct"/>
                  <w:vAlign w:val="center"/>
                </w:tcPr>
                <w:p>
                  <w:pPr>
                    <w:pStyle w:val="136"/>
                    <w:adjustRightInd w:val="0"/>
                    <w:snapToGrid w:val="0"/>
                    <w:jc w:val="both"/>
                    <w:rPr>
                      <w:lang w:bidi="ar"/>
                    </w:rPr>
                  </w:pPr>
                  <w:r>
                    <w:rPr>
                      <w:rFonts w:hint="eastAsia"/>
                      <w:lang w:bidi="ar"/>
                    </w:rPr>
                    <w:t>第二</w:t>
                  </w:r>
                  <w:r>
                    <w:rPr>
                      <w:lang w:bidi="ar"/>
                    </w:rPr>
                    <w:t>十条 禁止在生态保护</w:t>
                  </w:r>
                  <w:r>
                    <w:rPr>
                      <w:rFonts w:hint="eastAsia"/>
                      <w:lang w:bidi="ar"/>
                    </w:rPr>
                    <w:t>红</w:t>
                  </w:r>
                  <w:r>
                    <w:rPr>
                      <w:lang w:bidi="ar"/>
                    </w:rPr>
                    <w:t>线区域、永久基本农田集中区域和其他需要特别保护的区域内选址建设尾矿库、冶炼渣库、磷石膏库</w:t>
                  </w:r>
                  <w:r>
                    <w:rPr>
                      <w:rFonts w:hint="eastAsia"/>
                      <w:lang w:bidi="ar"/>
                    </w:rPr>
                    <w:t>。</w:t>
                  </w:r>
                </w:p>
              </w:tc>
              <w:tc>
                <w:tcPr>
                  <w:tcW w:w="1380" w:type="pct"/>
                  <w:vAlign w:val="center"/>
                </w:tcPr>
                <w:p>
                  <w:pPr>
                    <w:pStyle w:val="136"/>
                    <w:adjustRightInd w:val="0"/>
                    <w:snapToGrid w:val="0"/>
                    <w:rPr>
                      <w:bCs/>
                      <w:lang w:bidi="ar"/>
                    </w:rPr>
                  </w:pPr>
                  <w:r>
                    <w:rPr>
                      <w:rFonts w:hint="eastAsia"/>
                      <w:lang w:bidi="ar"/>
                    </w:rPr>
                    <w:t>项目选址范围不涉及</w:t>
                  </w:r>
                  <w:r>
                    <w:rPr>
                      <w:lang w:bidi="ar"/>
                    </w:rPr>
                    <w:t>生态保护</w:t>
                  </w:r>
                  <w:r>
                    <w:rPr>
                      <w:rFonts w:hint="eastAsia"/>
                      <w:lang w:bidi="ar"/>
                    </w:rPr>
                    <w:t>hing</w:t>
                  </w:r>
                  <w:r>
                    <w:rPr>
                      <w:lang w:bidi="ar"/>
                    </w:rPr>
                    <w:t>线区域、永久基本农田集中区域和其他需要特别保护的区域</w:t>
                  </w:r>
                  <w:r>
                    <w:rPr>
                      <w:rFonts w:hint="eastAsia"/>
                      <w:lang w:bidi="ar"/>
                    </w:rPr>
                    <w:t>。</w:t>
                  </w:r>
                </w:p>
              </w:tc>
              <w:tc>
                <w:tcPr>
                  <w:tcW w:w="475" w:type="pct"/>
                  <w:vAlign w:val="center"/>
                </w:tcPr>
                <w:p>
                  <w:pPr>
                    <w:pStyle w:val="136"/>
                    <w:adjustRightInd w:val="0"/>
                    <w:snapToGrid w:val="0"/>
                    <w:rPr>
                      <w:lang w:bidi="ar"/>
                    </w:rPr>
                  </w:pPr>
                  <w:r>
                    <w:rPr>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91" w:type="pct"/>
                  <w:vAlign w:val="center"/>
                </w:tcPr>
                <w:p>
                  <w:pPr>
                    <w:pStyle w:val="136"/>
                    <w:adjustRightInd w:val="0"/>
                    <w:snapToGrid w:val="0"/>
                    <w:rPr>
                      <w:lang w:bidi="ar"/>
                    </w:rPr>
                  </w:pPr>
                  <w:r>
                    <w:rPr>
                      <w:rFonts w:hint="eastAsia"/>
                      <w:lang w:bidi="ar"/>
                    </w:rPr>
                    <w:t>12</w:t>
                  </w:r>
                </w:p>
              </w:tc>
              <w:tc>
                <w:tcPr>
                  <w:tcW w:w="2754" w:type="pct"/>
                  <w:vAlign w:val="center"/>
                </w:tcPr>
                <w:p>
                  <w:pPr>
                    <w:pStyle w:val="136"/>
                    <w:adjustRightInd w:val="0"/>
                    <w:snapToGrid w:val="0"/>
                    <w:jc w:val="both"/>
                    <w:rPr>
                      <w:lang w:bidi="ar"/>
                    </w:rPr>
                  </w:pPr>
                  <w:r>
                    <w:rPr>
                      <w:rFonts w:hint="eastAsia"/>
                      <w:lang w:bidi="ar"/>
                    </w:rPr>
                    <w:t>第二</w:t>
                  </w:r>
                  <w:r>
                    <w:rPr>
                      <w:lang w:bidi="ar"/>
                    </w:rPr>
                    <w:t>十</w:t>
                  </w:r>
                  <w:r>
                    <w:rPr>
                      <w:rFonts w:hint="eastAsia"/>
                      <w:lang w:bidi="ar"/>
                    </w:rPr>
                    <w:t>一</w:t>
                  </w:r>
                  <w:r>
                    <w:rPr>
                      <w:lang w:bidi="ar"/>
                    </w:rPr>
                    <w:t>条</w:t>
                  </w:r>
                  <w:r>
                    <w:rPr>
                      <w:rFonts w:hint="eastAsia"/>
                      <w:lang w:bidi="ar"/>
                    </w:rPr>
                    <w:t xml:space="preserve"> </w:t>
                  </w:r>
                  <w:r>
                    <w:rPr>
                      <w:lang w:bidi="ar"/>
                    </w:rPr>
                    <w:t>禁止在合规园区外新建、扩建钢铁、石化、化工、焦化、建材、有色、制浆造纸等高污染项目。</w:t>
                  </w:r>
                </w:p>
              </w:tc>
              <w:tc>
                <w:tcPr>
                  <w:tcW w:w="1380" w:type="pct"/>
                  <w:vAlign w:val="center"/>
                </w:tcPr>
                <w:p>
                  <w:pPr>
                    <w:pStyle w:val="136"/>
                    <w:adjustRightInd w:val="0"/>
                    <w:snapToGrid w:val="0"/>
                    <w:jc w:val="both"/>
                    <w:rPr>
                      <w:lang w:bidi="ar"/>
                    </w:rPr>
                  </w:pPr>
                  <w:r>
                    <w:rPr>
                      <w:rFonts w:hint="eastAsia"/>
                      <w:lang w:bidi="ar"/>
                    </w:rPr>
                    <w:t>本项目属于</w:t>
                  </w:r>
                  <w:r>
                    <w:rPr>
                      <w:rFonts w:hint="eastAsia"/>
                    </w:rPr>
                    <w:t>环境监测实验室建设项目</w:t>
                  </w:r>
                  <w:r>
                    <w:rPr>
                      <w:rFonts w:hint="eastAsia"/>
                      <w:lang w:bidi="ar"/>
                    </w:rPr>
                    <w:t>，不属于</w:t>
                  </w:r>
                  <w:r>
                    <w:rPr>
                      <w:lang w:bidi="ar"/>
                    </w:rPr>
                    <w:t>钢铁、石化、化工、焦化、建材、有色、制浆造纸等高污染项目</w:t>
                  </w:r>
                  <w:r>
                    <w:rPr>
                      <w:rFonts w:hint="eastAsia"/>
                      <w:lang w:bidi="ar"/>
                    </w:rPr>
                    <w:t>。</w:t>
                  </w:r>
                </w:p>
              </w:tc>
              <w:tc>
                <w:tcPr>
                  <w:tcW w:w="475" w:type="pct"/>
                  <w:vAlign w:val="center"/>
                </w:tcPr>
                <w:p>
                  <w:pPr>
                    <w:pStyle w:val="136"/>
                    <w:adjustRightInd w:val="0"/>
                    <w:snapToGrid w:val="0"/>
                    <w:rPr>
                      <w:lang w:bidi="ar"/>
                    </w:rPr>
                  </w:pPr>
                  <w:r>
                    <w:rPr>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91" w:type="pct"/>
                  <w:vAlign w:val="center"/>
                </w:tcPr>
                <w:p>
                  <w:pPr>
                    <w:pStyle w:val="136"/>
                    <w:adjustRightInd w:val="0"/>
                    <w:snapToGrid w:val="0"/>
                    <w:rPr>
                      <w:lang w:bidi="ar"/>
                    </w:rPr>
                  </w:pPr>
                  <w:r>
                    <w:rPr>
                      <w:rFonts w:hint="eastAsia"/>
                      <w:lang w:bidi="ar"/>
                    </w:rPr>
                    <w:t>13</w:t>
                  </w:r>
                </w:p>
              </w:tc>
              <w:tc>
                <w:tcPr>
                  <w:tcW w:w="2754" w:type="pct"/>
                  <w:vAlign w:val="center"/>
                </w:tcPr>
                <w:p>
                  <w:pPr>
                    <w:pStyle w:val="136"/>
                    <w:adjustRightInd w:val="0"/>
                    <w:snapToGrid w:val="0"/>
                    <w:jc w:val="both"/>
                    <w:rPr>
                      <w:lang w:bidi="ar"/>
                    </w:rPr>
                  </w:pPr>
                  <w:r>
                    <w:rPr>
                      <w:rFonts w:hint="eastAsia"/>
                      <w:lang w:bidi="ar"/>
                    </w:rPr>
                    <w:t>第二</w:t>
                  </w:r>
                  <w:r>
                    <w:rPr>
                      <w:lang w:bidi="ar"/>
                    </w:rPr>
                    <w:t>十</w:t>
                  </w:r>
                  <w:r>
                    <w:rPr>
                      <w:rFonts w:hint="eastAsia"/>
                      <w:lang w:bidi="ar"/>
                    </w:rPr>
                    <w:t>二</w:t>
                  </w:r>
                  <w:r>
                    <w:rPr>
                      <w:lang w:bidi="ar"/>
                    </w:rPr>
                    <w:t>条</w:t>
                  </w:r>
                  <w:r>
                    <w:rPr>
                      <w:rFonts w:hint="eastAsia"/>
                      <w:lang w:bidi="ar"/>
                    </w:rPr>
                    <w:t xml:space="preserve"> </w:t>
                  </w:r>
                  <w:r>
                    <w:rPr>
                      <w:lang w:bidi="ar"/>
                    </w:rPr>
                    <w:t>禁止新建、扩建不符合国家石化、现代煤化工等产业布局规划的项目。</w:t>
                  </w:r>
                </w:p>
              </w:tc>
              <w:tc>
                <w:tcPr>
                  <w:tcW w:w="1380" w:type="pct"/>
                  <w:vAlign w:val="center"/>
                </w:tcPr>
                <w:p>
                  <w:pPr>
                    <w:pStyle w:val="136"/>
                    <w:adjustRightInd w:val="0"/>
                    <w:snapToGrid w:val="0"/>
                    <w:rPr>
                      <w:lang w:bidi="ar"/>
                    </w:rPr>
                  </w:pPr>
                  <w:r>
                    <w:rPr>
                      <w:lang w:bidi="ar"/>
                    </w:rPr>
                    <w:t>不涉及。</w:t>
                  </w:r>
                </w:p>
              </w:tc>
              <w:tc>
                <w:tcPr>
                  <w:tcW w:w="475" w:type="pct"/>
                  <w:vAlign w:val="center"/>
                </w:tcPr>
                <w:p>
                  <w:pPr>
                    <w:pStyle w:val="136"/>
                    <w:adjustRightInd w:val="0"/>
                    <w:snapToGrid w:val="0"/>
                    <w:rPr>
                      <w:lang w:bidi="ar"/>
                    </w:rPr>
                  </w:pPr>
                  <w:r>
                    <w:rPr>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91" w:type="pct"/>
                  <w:vAlign w:val="center"/>
                </w:tcPr>
                <w:p>
                  <w:pPr>
                    <w:pStyle w:val="136"/>
                    <w:adjustRightInd w:val="0"/>
                    <w:snapToGrid w:val="0"/>
                    <w:rPr>
                      <w:lang w:bidi="ar"/>
                    </w:rPr>
                  </w:pPr>
                  <w:r>
                    <w:rPr>
                      <w:rFonts w:hint="eastAsia"/>
                      <w:lang w:bidi="ar"/>
                    </w:rPr>
                    <w:t>14</w:t>
                  </w:r>
                </w:p>
              </w:tc>
              <w:tc>
                <w:tcPr>
                  <w:tcW w:w="2754" w:type="pct"/>
                  <w:vAlign w:val="center"/>
                </w:tcPr>
                <w:p>
                  <w:pPr>
                    <w:pStyle w:val="136"/>
                    <w:adjustRightInd w:val="0"/>
                    <w:snapToGrid w:val="0"/>
                    <w:jc w:val="both"/>
                    <w:rPr>
                      <w:lang w:bidi="ar"/>
                    </w:rPr>
                  </w:pPr>
                  <w:r>
                    <w:rPr>
                      <w:rFonts w:hint="eastAsia"/>
                      <w:lang w:bidi="ar"/>
                    </w:rPr>
                    <w:t>第二</w:t>
                  </w:r>
                  <w:r>
                    <w:rPr>
                      <w:lang w:bidi="ar"/>
                    </w:rPr>
                    <w:t>十</w:t>
                  </w:r>
                  <w:r>
                    <w:rPr>
                      <w:rFonts w:hint="eastAsia"/>
                      <w:lang w:bidi="ar"/>
                    </w:rPr>
                    <w:t>三</w:t>
                  </w:r>
                  <w:r>
                    <w:rPr>
                      <w:lang w:bidi="ar"/>
                    </w:rPr>
                    <w:t>条</w:t>
                  </w:r>
                  <w:r>
                    <w:rPr>
                      <w:rFonts w:hint="eastAsia"/>
                      <w:lang w:bidi="ar"/>
                    </w:rPr>
                    <w:t xml:space="preserve"> </w:t>
                  </w:r>
                  <w:r>
                    <w:rPr>
                      <w:lang w:bidi="ar"/>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r>
                    <w:rPr>
                      <w:rFonts w:hint="eastAsia"/>
                      <w:lang w:bidi="ar"/>
                    </w:rPr>
                    <w:t>。</w:t>
                  </w:r>
                </w:p>
              </w:tc>
              <w:tc>
                <w:tcPr>
                  <w:tcW w:w="1380" w:type="pct"/>
                  <w:vAlign w:val="center"/>
                </w:tcPr>
                <w:p>
                  <w:pPr>
                    <w:pStyle w:val="136"/>
                    <w:adjustRightInd w:val="0"/>
                    <w:snapToGrid w:val="0"/>
                    <w:jc w:val="both"/>
                    <w:rPr>
                      <w:lang w:bidi="ar"/>
                    </w:rPr>
                  </w:pPr>
                  <w:r>
                    <w:rPr>
                      <w:lang w:bidi="ar"/>
                    </w:rPr>
                    <w:t>本项目不属法律法规和相关政策明令禁止的落后产能项目</w:t>
                  </w:r>
                  <w:r>
                    <w:rPr>
                      <w:rFonts w:hint="eastAsia"/>
                      <w:lang w:bidi="ar"/>
                    </w:rPr>
                    <w:t>，属于</w:t>
                  </w:r>
                  <w:r>
                    <w:rPr>
                      <w:lang w:bidi="ar"/>
                    </w:rPr>
                    <w:t>《产业结构调整指导目录》中</w:t>
                  </w:r>
                  <w:r>
                    <w:rPr>
                      <w:rFonts w:hint="eastAsia"/>
                      <w:lang w:bidi="ar"/>
                    </w:rPr>
                    <w:t>“鼓励</w:t>
                  </w:r>
                  <w:r>
                    <w:rPr>
                      <w:lang w:bidi="ar"/>
                    </w:rPr>
                    <w:t>类</w:t>
                  </w:r>
                  <w:r>
                    <w:rPr>
                      <w:rFonts w:hint="eastAsia"/>
                      <w:lang w:bidi="ar"/>
                    </w:rPr>
                    <w:t>”</w:t>
                  </w:r>
                  <w:r>
                    <w:rPr>
                      <w:lang w:bidi="ar"/>
                    </w:rPr>
                    <w:t>项目</w:t>
                  </w:r>
                  <w:r>
                    <w:rPr>
                      <w:rFonts w:hint="eastAsia"/>
                      <w:lang w:bidi="ar"/>
                    </w:rPr>
                    <w:t>。</w:t>
                  </w:r>
                </w:p>
              </w:tc>
              <w:tc>
                <w:tcPr>
                  <w:tcW w:w="475" w:type="pct"/>
                  <w:vAlign w:val="center"/>
                </w:tcPr>
                <w:p>
                  <w:pPr>
                    <w:pStyle w:val="136"/>
                    <w:adjustRightInd w:val="0"/>
                    <w:snapToGrid w:val="0"/>
                    <w:rPr>
                      <w:lang w:bidi="ar"/>
                    </w:rPr>
                  </w:pPr>
                  <w:r>
                    <w:rPr>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91" w:type="pct"/>
                  <w:vAlign w:val="center"/>
                </w:tcPr>
                <w:p>
                  <w:pPr>
                    <w:pStyle w:val="136"/>
                    <w:adjustRightInd w:val="0"/>
                    <w:snapToGrid w:val="0"/>
                    <w:rPr>
                      <w:lang w:bidi="ar"/>
                    </w:rPr>
                  </w:pPr>
                  <w:r>
                    <w:rPr>
                      <w:rFonts w:hint="eastAsia"/>
                      <w:lang w:bidi="ar"/>
                    </w:rPr>
                    <w:t>15</w:t>
                  </w:r>
                </w:p>
              </w:tc>
              <w:tc>
                <w:tcPr>
                  <w:tcW w:w="2754" w:type="pct"/>
                  <w:vAlign w:val="center"/>
                </w:tcPr>
                <w:p>
                  <w:pPr>
                    <w:pStyle w:val="136"/>
                    <w:adjustRightInd w:val="0"/>
                    <w:snapToGrid w:val="0"/>
                    <w:jc w:val="both"/>
                    <w:rPr>
                      <w:lang w:bidi="ar"/>
                    </w:rPr>
                  </w:pPr>
                  <w:r>
                    <w:rPr>
                      <w:rFonts w:hint="eastAsia"/>
                      <w:lang w:bidi="ar"/>
                    </w:rPr>
                    <w:t>第二十四条 禁止新建、扩建不符合国家产能置换要求的严重过剩产能行业的项目。对于不符合国家产能置换要求的严重过剩产能行业，不得以其他任何名义任何方式备案新增产能项目。</w:t>
                  </w:r>
                </w:p>
              </w:tc>
              <w:tc>
                <w:tcPr>
                  <w:tcW w:w="1380" w:type="pct"/>
                  <w:vAlign w:val="center"/>
                </w:tcPr>
                <w:p>
                  <w:pPr>
                    <w:pStyle w:val="136"/>
                    <w:adjustRightInd w:val="0"/>
                    <w:snapToGrid w:val="0"/>
                    <w:rPr>
                      <w:lang w:bidi="ar"/>
                    </w:rPr>
                  </w:pPr>
                  <w:r>
                    <w:rPr>
                      <w:rFonts w:hint="eastAsia"/>
                      <w:lang w:bidi="ar"/>
                    </w:rPr>
                    <w:t>经对照，本项目不属于严重过剩产能行业。</w:t>
                  </w:r>
                </w:p>
              </w:tc>
              <w:tc>
                <w:tcPr>
                  <w:tcW w:w="475" w:type="pct"/>
                  <w:vAlign w:val="center"/>
                </w:tcPr>
                <w:p>
                  <w:pPr>
                    <w:pStyle w:val="136"/>
                    <w:adjustRightInd w:val="0"/>
                    <w:snapToGrid w:val="0"/>
                    <w:rPr>
                      <w:lang w:bidi="ar"/>
                    </w:rPr>
                  </w:pPr>
                  <w:r>
                    <w:rPr>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91" w:type="pct"/>
                  <w:vAlign w:val="center"/>
                </w:tcPr>
                <w:p>
                  <w:pPr>
                    <w:pStyle w:val="136"/>
                    <w:adjustRightInd w:val="0"/>
                    <w:snapToGrid w:val="0"/>
                    <w:rPr>
                      <w:lang w:bidi="ar"/>
                    </w:rPr>
                  </w:pPr>
                  <w:r>
                    <w:rPr>
                      <w:rFonts w:hint="eastAsia"/>
                      <w:lang w:bidi="ar"/>
                    </w:rPr>
                    <w:t>16</w:t>
                  </w:r>
                </w:p>
              </w:tc>
              <w:tc>
                <w:tcPr>
                  <w:tcW w:w="2754" w:type="pct"/>
                  <w:vAlign w:val="center"/>
                </w:tcPr>
                <w:p>
                  <w:pPr>
                    <w:pStyle w:val="136"/>
                    <w:adjustRightInd w:val="0"/>
                    <w:snapToGrid w:val="0"/>
                    <w:jc w:val="both"/>
                    <w:rPr>
                      <w:lang w:bidi="ar"/>
                    </w:rPr>
                  </w:pPr>
                  <w:r>
                    <w:rPr>
                      <w:rFonts w:hint="eastAsia"/>
                      <w:lang w:bidi="ar"/>
                    </w:rPr>
                    <w:t>第二十六条 禁止新建、扩建不符合要求的高耗能、高排放、低水平项目。</w:t>
                  </w:r>
                </w:p>
              </w:tc>
              <w:tc>
                <w:tcPr>
                  <w:tcW w:w="1380" w:type="pct"/>
                  <w:vAlign w:val="center"/>
                </w:tcPr>
                <w:p>
                  <w:pPr>
                    <w:pStyle w:val="136"/>
                    <w:adjustRightInd w:val="0"/>
                    <w:snapToGrid w:val="0"/>
                    <w:rPr>
                      <w:lang w:bidi="ar"/>
                    </w:rPr>
                  </w:pPr>
                  <w:r>
                    <w:rPr>
                      <w:rFonts w:hint="eastAsia"/>
                      <w:lang w:bidi="ar"/>
                    </w:rPr>
                    <w:t>经对照，本项目不属于高耗能、高排放、低水平项目。</w:t>
                  </w:r>
                </w:p>
              </w:tc>
              <w:tc>
                <w:tcPr>
                  <w:tcW w:w="475" w:type="pct"/>
                  <w:vAlign w:val="center"/>
                </w:tcPr>
                <w:p>
                  <w:pPr>
                    <w:pStyle w:val="136"/>
                    <w:adjustRightInd w:val="0"/>
                    <w:snapToGrid w:val="0"/>
                    <w:rPr>
                      <w:lang w:bidi="ar"/>
                    </w:rPr>
                  </w:pPr>
                  <w:r>
                    <w:rPr>
                      <w:lang w:bidi="ar"/>
                    </w:rPr>
                    <w:t>符合</w:t>
                  </w:r>
                </w:p>
              </w:tc>
            </w:tr>
          </w:tbl>
          <w:p>
            <w:pPr>
              <w:ind w:firstLine="480"/>
              <w:rPr>
                <w:b/>
                <w:lang w:bidi="ar"/>
              </w:rPr>
            </w:pPr>
            <w:r>
              <w:rPr>
                <w:lang w:bidi="ar"/>
              </w:rPr>
              <w:t>对比分析可知，项目符合</w:t>
            </w:r>
            <w:r>
              <w:rPr>
                <w:rFonts w:hint="eastAsia"/>
                <w:lang w:bidi="ar"/>
              </w:rPr>
              <w:t>《中华人民共和国长江保护法》《</w:t>
            </w:r>
            <w:r>
              <w:rPr>
                <w:lang w:bidi="ar"/>
              </w:rPr>
              <w:t>长江经济带</w:t>
            </w:r>
            <w:r>
              <w:rPr>
                <w:rFonts w:hint="eastAsia"/>
                <w:lang w:bidi="ar"/>
              </w:rPr>
              <w:t>发展</w:t>
            </w:r>
            <w:r>
              <w:rPr>
                <w:lang w:bidi="ar"/>
              </w:rPr>
              <w:t>负面清单指南（试行</w:t>
            </w:r>
            <w:r>
              <w:rPr>
                <w:rFonts w:hint="eastAsia"/>
                <w:lang w:bidi="ar"/>
              </w:rPr>
              <w:t>，2022年版</w:t>
            </w:r>
            <w:r>
              <w:rPr>
                <w:lang w:bidi="ar"/>
              </w:rPr>
              <w:t>）</w:t>
            </w:r>
            <w:r>
              <w:rPr>
                <w:rFonts w:hint="eastAsia"/>
                <w:lang w:bidi="ar"/>
              </w:rPr>
              <w:t>》《</w:t>
            </w:r>
            <w:r>
              <w:rPr>
                <w:lang w:bidi="ar"/>
              </w:rPr>
              <w:t>四川省、重庆市长江经济带发展负面清单实施细则</w:t>
            </w:r>
            <w:r>
              <w:rPr>
                <w:rFonts w:hint="eastAsia"/>
                <w:lang w:bidi="ar"/>
              </w:rPr>
              <w:t>（</w:t>
            </w:r>
            <w:r>
              <w:rPr>
                <w:lang w:bidi="ar"/>
              </w:rPr>
              <w:t>试行</w:t>
            </w:r>
            <w:r>
              <w:rPr>
                <w:rFonts w:hint="eastAsia"/>
                <w:lang w:bidi="ar"/>
              </w:rPr>
              <w:t>，</w:t>
            </w:r>
            <w:r>
              <w:rPr>
                <w:lang w:bidi="ar"/>
              </w:rPr>
              <w:t>2022年版）</w:t>
            </w:r>
            <w:r>
              <w:rPr>
                <w:rFonts w:hint="eastAsia"/>
                <w:lang w:bidi="ar"/>
              </w:rPr>
              <w:t>》中</w:t>
            </w:r>
            <w:r>
              <w:rPr>
                <w:lang w:bidi="ar"/>
              </w:rPr>
              <w:t>相关要求。</w:t>
            </w:r>
          </w:p>
          <w:p>
            <w:pPr>
              <w:ind w:firstLine="0" w:firstLineChars="0"/>
              <w:rPr>
                <w:b/>
              </w:rPr>
            </w:pPr>
            <w:r>
              <w:rPr>
                <w:rFonts w:hint="eastAsia"/>
                <w:b/>
              </w:rPr>
              <w:t>6</w:t>
            </w:r>
            <w:r>
              <w:rPr>
                <w:b/>
              </w:rPr>
              <w:t>、外环境及选址合理性分析</w:t>
            </w:r>
          </w:p>
          <w:p>
            <w:pPr>
              <w:ind w:firstLine="480"/>
            </w:pPr>
            <w:r>
              <w:rPr>
                <w:rFonts w:hint="eastAsia"/>
              </w:rPr>
              <w:t>（1）外环境关系</w:t>
            </w:r>
          </w:p>
          <w:p>
            <w:pPr>
              <w:spacing w:line="480" w:lineRule="exact"/>
              <w:ind w:firstLine="480"/>
            </w:pPr>
            <w:r>
              <w:rPr>
                <w:rFonts w:hint="eastAsia"/>
              </w:rPr>
              <w:t>四川巴中经济开发区时新街道宝峰社区，在四川省巴中水文水资源勘测中心办公楼4F、5F进行建设，项目周边外环境关系如下：</w:t>
            </w:r>
          </w:p>
          <w:p>
            <w:pPr>
              <w:pStyle w:val="157"/>
            </w:pPr>
            <w:r>
              <w:rPr>
                <w:rFonts w:hint="eastAsia"/>
              </w:rPr>
              <w:t>表1</w:t>
            </w:r>
            <w:r>
              <w:t xml:space="preserve">-8  </w:t>
            </w:r>
            <w:r>
              <w:rPr>
                <w:rFonts w:hint="eastAsia"/>
              </w:rPr>
              <w:t>项目周边外环境关系一览表</w:t>
            </w:r>
          </w:p>
          <w:tbl>
            <w:tblPr>
              <w:tblStyle w:val="195"/>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99"/>
              <w:gridCol w:w="2694"/>
              <w:gridCol w:w="850"/>
              <w:gridCol w:w="1559"/>
              <w:gridCol w:w="20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99" w:type="dxa"/>
                  <w:vAlign w:val="center"/>
                </w:tcPr>
                <w:p>
                  <w:pPr>
                    <w:pStyle w:val="136"/>
                    <w:adjustRightInd w:val="0"/>
                    <w:snapToGrid w:val="0"/>
                    <w:rPr>
                      <w:b/>
                      <w:bCs/>
                    </w:rPr>
                  </w:pPr>
                  <w:r>
                    <w:rPr>
                      <w:rFonts w:hint="eastAsia"/>
                      <w:b/>
                      <w:bCs/>
                    </w:rPr>
                    <w:t>序号</w:t>
                  </w:r>
                </w:p>
              </w:tc>
              <w:tc>
                <w:tcPr>
                  <w:tcW w:w="2694" w:type="dxa"/>
                  <w:vAlign w:val="center"/>
                </w:tcPr>
                <w:p>
                  <w:pPr>
                    <w:pStyle w:val="136"/>
                    <w:adjustRightInd w:val="0"/>
                    <w:snapToGrid w:val="0"/>
                    <w:rPr>
                      <w:b/>
                      <w:bCs/>
                    </w:rPr>
                  </w:pPr>
                  <w:r>
                    <w:rPr>
                      <w:rFonts w:hint="eastAsia"/>
                      <w:b/>
                      <w:bCs/>
                    </w:rPr>
                    <w:t>名称</w:t>
                  </w:r>
                </w:p>
              </w:tc>
              <w:tc>
                <w:tcPr>
                  <w:tcW w:w="850" w:type="dxa"/>
                  <w:vAlign w:val="center"/>
                </w:tcPr>
                <w:p>
                  <w:pPr>
                    <w:pStyle w:val="136"/>
                    <w:adjustRightInd w:val="0"/>
                    <w:snapToGrid w:val="0"/>
                    <w:rPr>
                      <w:b/>
                      <w:bCs/>
                    </w:rPr>
                  </w:pPr>
                  <w:r>
                    <w:rPr>
                      <w:rFonts w:hint="eastAsia"/>
                      <w:b/>
                      <w:bCs/>
                    </w:rPr>
                    <w:t>方位</w:t>
                  </w:r>
                </w:p>
              </w:tc>
              <w:tc>
                <w:tcPr>
                  <w:tcW w:w="1559" w:type="dxa"/>
                  <w:vAlign w:val="center"/>
                </w:tcPr>
                <w:p>
                  <w:pPr>
                    <w:pStyle w:val="136"/>
                    <w:adjustRightInd w:val="0"/>
                    <w:snapToGrid w:val="0"/>
                    <w:rPr>
                      <w:b/>
                      <w:bCs/>
                    </w:rPr>
                  </w:pPr>
                  <w:r>
                    <w:rPr>
                      <w:rFonts w:hint="eastAsia"/>
                      <w:b/>
                      <w:bCs/>
                    </w:rPr>
                    <w:t>最近距离（m）</w:t>
                  </w:r>
                </w:p>
              </w:tc>
              <w:tc>
                <w:tcPr>
                  <w:tcW w:w="2089" w:type="dxa"/>
                  <w:vAlign w:val="center"/>
                </w:tcPr>
                <w:p>
                  <w:pPr>
                    <w:pStyle w:val="136"/>
                    <w:adjustRightInd w:val="0"/>
                    <w:snapToGrid w:val="0"/>
                    <w:rPr>
                      <w:b/>
                      <w:bCs/>
                    </w:rPr>
                  </w:pPr>
                  <w:r>
                    <w:rPr>
                      <w:rFonts w:hint="eastAsia"/>
                      <w:b/>
                      <w:bCs/>
                    </w:rPr>
                    <w:t>类型/概况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99" w:type="dxa"/>
                  <w:vAlign w:val="center"/>
                </w:tcPr>
                <w:p>
                  <w:pPr>
                    <w:pStyle w:val="136"/>
                    <w:adjustRightInd w:val="0"/>
                    <w:snapToGrid w:val="0"/>
                  </w:pPr>
                  <w:r>
                    <w:rPr>
                      <w:rFonts w:hint="eastAsia"/>
                    </w:rPr>
                    <w:t>1</w:t>
                  </w:r>
                </w:p>
              </w:tc>
              <w:tc>
                <w:tcPr>
                  <w:tcW w:w="2694" w:type="dxa"/>
                  <w:vAlign w:val="center"/>
                </w:tcPr>
                <w:p>
                  <w:pPr>
                    <w:pStyle w:val="136"/>
                    <w:adjustRightInd w:val="0"/>
                    <w:snapToGrid w:val="0"/>
                  </w:pPr>
                  <w:r>
                    <w:rPr>
                      <w:rFonts w:hint="eastAsia" w:cs="Times New Roman"/>
                      <w:szCs w:val="18"/>
                    </w:rPr>
                    <w:t>巴中气象灾害监测预警及西南气象数据灾难备份中心</w:t>
                  </w:r>
                </w:p>
              </w:tc>
              <w:tc>
                <w:tcPr>
                  <w:tcW w:w="850" w:type="dxa"/>
                  <w:vAlign w:val="center"/>
                </w:tcPr>
                <w:p>
                  <w:pPr>
                    <w:pStyle w:val="136"/>
                    <w:adjustRightInd w:val="0"/>
                    <w:snapToGrid w:val="0"/>
                  </w:pPr>
                  <w:r>
                    <w:rPr>
                      <w:rFonts w:hint="eastAsia" w:cs="Times New Roman"/>
                      <w:szCs w:val="18"/>
                      <w:lang w:val="de-DE"/>
                    </w:rPr>
                    <w:t>SE</w:t>
                  </w:r>
                </w:p>
              </w:tc>
              <w:tc>
                <w:tcPr>
                  <w:tcW w:w="1559" w:type="dxa"/>
                  <w:vAlign w:val="center"/>
                </w:tcPr>
                <w:p>
                  <w:pPr>
                    <w:pStyle w:val="136"/>
                    <w:adjustRightInd w:val="0"/>
                    <w:snapToGrid w:val="0"/>
                  </w:pPr>
                  <w:r>
                    <w:rPr>
                      <w:rFonts w:hint="eastAsia"/>
                    </w:rPr>
                    <w:t>1</w:t>
                  </w:r>
                  <w:r>
                    <w:t>0</w:t>
                  </w:r>
                </w:p>
              </w:tc>
              <w:tc>
                <w:tcPr>
                  <w:tcW w:w="2089" w:type="dxa"/>
                  <w:vAlign w:val="center"/>
                </w:tcPr>
                <w:p>
                  <w:pPr>
                    <w:pStyle w:val="136"/>
                    <w:adjustRightInd w:val="0"/>
                    <w:snapToGrid w:val="0"/>
                  </w:pPr>
                  <w:r>
                    <w:rPr>
                      <w:rFonts w:hint="eastAsia" w:cs="Times New Roman"/>
                      <w:szCs w:val="18"/>
                      <w:lang w:val="de-DE"/>
                    </w:rPr>
                    <w:t>机关单位（</w:t>
                  </w:r>
                  <w:r>
                    <w:rPr>
                      <w:rFonts w:hint="eastAsia" w:cs="Times New Roman"/>
                      <w:b/>
                      <w:bCs/>
                      <w:szCs w:val="18"/>
                      <w:lang w:val="de-DE"/>
                    </w:rPr>
                    <w:t>在建，无人员办公</w:t>
                  </w:r>
                  <w:r>
                    <w:rPr>
                      <w:rFonts w:hint="eastAsia" w:cs="Times New Roman"/>
                      <w:szCs w:val="18"/>
                      <w:lang w:val="de-D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99" w:type="dxa"/>
                  <w:vAlign w:val="center"/>
                </w:tcPr>
                <w:p>
                  <w:pPr>
                    <w:pStyle w:val="136"/>
                    <w:adjustRightInd w:val="0"/>
                    <w:snapToGrid w:val="0"/>
                  </w:pPr>
                  <w:r>
                    <w:rPr>
                      <w:rFonts w:hint="eastAsia"/>
                    </w:rPr>
                    <w:t>2</w:t>
                  </w:r>
                </w:p>
              </w:tc>
              <w:tc>
                <w:tcPr>
                  <w:tcW w:w="2694" w:type="dxa"/>
                  <w:vAlign w:val="center"/>
                </w:tcPr>
                <w:p>
                  <w:pPr>
                    <w:pStyle w:val="136"/>
                    <w:adjustRightInd w:val="0"/>
                    <w:snapToGrid w:val="0"/>
                  </w:pPr>
                  <w:r>
                    <w:rPr>
                      <w:rFonts w:hint="eastAsia"/>
                    </w:rPr>
                    <w:t>华兴·逸境新城B区</w:t>
                  </w:r>
                </w:p>
              </w:tc>
              <w:tc>
                <w:tcPr>
                  <w:tcW w:w="850" w:type="dxa"/>
                  <w:vAlign w:val="center"/>
                </w:tcPr>
                <w:p>
                  <w:pPr>
                    <w:pStyle w:val="136"/>
                    <w:adjustRightInd w:val="0"/>
                    <w:snapToGrid w:val="0"/>
                  </w:pPr>
                  <w:r>
                    <w:rPr>
                      <w:rFonts w:hint="eastAsia" w:cs="Times New Roman"/>
                      <w:szCs w:val="18"/>
                      <w:lang w:val="de-DE"/>
                    </w:rPr>
                    <w:t>SW</w:t>
                  </w:r>
                </w:p>
              </w:tc>
              <w:tc>
                <w:tcPr>
                  <w:tcW w:w="1559" w:type="dxa"/>
                  <w:vAlign w:val="center"/>
                </w:tcPr>
                <w:p>
                  <w:pPr>
                    <w:pStyle w:val="136"/>
                    <w:adjustRightInd w:val="0"/>
                    <w:snapToGrid w:val="0"/>
                  </w:pPr>
                  <w:r>
                    <w:rPr>
                      <w:rFonts w:hint="eastAsia" w:cs="Times New Roman"/>
                      <w:szCs w:val="18"/>
                      <w:lang w:val="de-DE"/>
                    </w:rPr>
                    <w:t>4</w:t>
                  </w:r>
                  <w:r>
                    <w:rPr>
                      <w:rFonts w:cs="Times New Roman"/>
                      <w:szCs w:val="18"/>
                      <w:lang w:val="de-DE"/>
                    </w:rPr>
                    <w:t>0</w:t>
                  </w:r>
                </w:p>
              </w:tc>
              <w:tc>
                <w:tcPr>
                  <w:tcW w:w="2089" w:type="dxa"/>
                  <w:vAlign w:val="center"/>
                </w:tcPr>
                <w:p>
                  <w:pPr>
                    <w:pStyle w:val="136"/>
                    <w:adjustRightInd w:val="0"/>
                    <w:snapToGrid w:val="0"/>
                  </w:pPr>
                  <w:r>
                    <w:rPr>
                      <w:rFonts w:hint="eastAsia" w:cs="Times New Roman"/>
                      <w:szCs w:val="18"/>
                      <w:lang w:val="de-DE"/>
                    </w:rPr>
                    <w:t>居住区，约3</w:t>
                  </w:r>
                  <w:r>
                    <w:rPr>
                      <w:rFonts w:cs="Times New Roman"/>
                      <w:szCs w:val="18"/>
                      <w:lang w:val="de-DE"/>
                    </w:rPr>
                    <w:t>000</w:t>
                  </w:r>
                  <w:r>
                    <w:rPr>
                      <w:rFonts w:hint="eastAsia" w:cs="Times New Roman"/>
                      <w:szCs w:val="18"/>
                      <w:lang w:val="de-DE"/>
                    </w:rPr>
                    <w:t>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99" w:type="dxa"/>
                  <w:vAlign w:val="center"/>
                </w:tcPr>
                <w:p>
                  <w:pPr>
                    <w:pStyle w:val="136"/>
                    <w:adjustRightInd w:val="0"/>
                    <w:snapToGrid w:val="0"/>
                  </w:pPr>
                  <w:r>
                    <w:rPr>
                      <w:rFonts w:hint="eastAsia"/>
                    </w:rPr>
                    <w:t>3</w:t>
                  </w:r>
                </w:p>
              </w:tc>
              <w:tc>
                <w:tcPr>
                  <w:tcW w:w="2694" w:type="dxa"/>
                  <w:vAlign w:val="center"/>
                </w:tcPr>
                <w:p>
                  <w:pPr>
                    <w:pStyle w:val="136"/>
                    <w:adjustRightInd w:val="0"/>
                    <w:snapToGrid w:val="0"/>
                  </w:pPr>
                  <w:r>
                    <w:rPr>
                      <w:rFonts w:hint="eastAsia"/>
                    </w:rPr>
                    <w:t>华兴·逸境新城</w:t>
                  </w:r>
                </w:p>
              </w:tc>
              <w:tc>
                <w:tcPr>
                  <w:tcW w:w="850" w:type="dxa"/>
                  <w:vAlign w:val="center"/>
                </w:tcPr>
                <w:p>
                  <w:pPr>
                    <w:pStyle w:val="136"/>
                    <w:adjustRightInd w:val="0"/>
                    <w:snapToGrid w:val="0"/>
                  </w:pPr>
                  <w:r>
                    <w:rPr>
                      <w:rFonts w:hint="eastAsia" w:cs="Times New Roman"/>
                      <w:szCs w:val="18"/>
                      <w:lang w:val="de-DE"/>
                    </w:rPr>
                    <w:t>S</w:t>
                  </w:r>
                </w:p>
              </w:tc>
              <w:tc>
                <w:tcPr>
                  <w:tcW w:w="1559" w:type="dxa"/>
                  <w:vAlign w:val="center"/>
                </w:tcPr>
                <w:p>
                  <w:pPr>
                    <w:pStyle w:val="136"/>
                    <w:adjustRightInd w:val="0"/>
                    <w:snapToGrid w:val="0"/>
                  </w:pPr>
                  <w:r>
                    <w:rPr>
                      <w:rFonts w:hint="eastAsia" w:cs="Times New Roman"/>
                      <w:szCs w:val="18"/>
                      <w:lang w:val="de-DE"/>
                    </w:rPr>
                    <w:t>2</w:t>
                  </w:r>
                  <w:r>
                    <w:rPr>
                      <w:rFonts w:cs="Times New Roman"/>
                      <w:szCs w:val="18"/>
                      <w:lang w:val="de-DE"/>
                    </w:rPr>
                    <w:t>05</w:t>
                  </w:r>
                </w:p>
              </w:tc>
              <w:tc>
                <w:tcPr>
                  <w:tcW w:w="2089" w:type="dxa"/>
                  <w:vAlign w:val="center"/>
                </w:tcPr>
                <w:p>
                  <w:pPr>
                    <w:pStyle w:val="136"/>
                    <w:adjustRightInd w:val="0"/>
                    <w:snapToGrid w:val="0"/>
                  </w:pPr>
                  <w:r>
                    <w:rPr>
                      <w:rFonts w:hint="eastAsia" w:cs="Times New Roman"/>
                      <w:szCs w:val="18"/>
                      <w:lang w:val="de-DE"/>
                    </w:rPr>
                    <w:t>居住区，约4</w:t>
                  </w:r>
                  <w:r>
                    <w:rPr>
                      <w:rFonts w:cs="Times New Roman"/>
                      <w:szCs w:val="18"/>
                      <w:lang w:val="de-DE"/>
                    </w:rPr>
                    <w:t>500</w:t>
                  </w:r>
                  <w:r>
                    <w:rPr>
                      <w:rFonts w:hint="eastAsia" w:cs="Times New Roman"/>
                      <w:szCs w:val="18"/>
                      <w:lang w:val="de-DE"/>
                    </w:rPr>
                    <w:t>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99" w:type="dxa"/>
                  <w:vAlign w:val="center"/>
                </w:tcPr>
                <w:p>
                  <w:pPr>
                    <w:pStyle w:val="136"/>
                    <w:adjustRightInd w:val="0"/>
                    <w:snapToGrid w:val="0"/>
                  </w:pPr>
                  <w:r>
                    <w:rPr>
                      <w:rFonts w:hint="eastAsia"/>
                    </w:rPr>
                    <w:t>4</w:t>
                  </w:r>
                </w:p>
              </w:tc>
              <w:tc>
                <w:tcPr>
                  <w:tcW w:w="2694" w:type="dxa"/>
                  <w:vAlign w:val="center"/>
                </w:tcPr>
                <w:p>
                  <w:pPr>
                    <w:pStyle w:val="136"/>
                    <w:adjustRightInd w:val="0"/>
                    <w:snapToGrid w:val="0"/>
                  </w:pPr>
                  <w:r>
                    <w:rPr>
                      <w:rFonts w:hint="eastAsia" w:cs="Times New Roman"/>
                      <w:szCs w:val="18"/>
                      <w:lang w:val="de-DE"/>
                    </w:rPr>
                    <w:t>置信府小区</w:t>
                  </w:r>
                </w:p>
              </w:tc>
              <w:tc>
                <w:tcPr>
                  <w:tcW w:w="850" w:type="dxa"/>
                  <w:vAlign w:val="center"/>
                </w:tcPr>
                <w:p>
                  <w:pPr>
                    <w:pStyle w:val="136"/>
                    <w:adjustRightInd w:val="0"/>
                    <w:snapToGrid w:val="0"/>
                  </w:pPr>
                  <w:r>
                    <w:rPr>
                      <w:rFonts w:hint="eastAsia" w:cs="Times New Roman"/>
                      <w:szCs w:val="18"/>
                      <w:lang w:val="de-DE"/>
                    </w:rPr>
                    <w:t>SW</w:t>
                  </w:r>
                </w:p>
              </w:tc>
              <w:tc>
                <w:tcPr>
                  <w:tcW w:w="1559" w:type="dxa"/>
                  <w:vAlign w:val="center"/>
                </w:tcPr>
                <w:p>
                  <w:pPr>
                    <w:pStyle w:val="136"/>
                    <w:adjustRightInd w:val="0"/>
                    <w:snapToGrid w:val="0"/>
                  </w:pPr>
                  <w:r>
                    <w:rPr>
                      <w:rFonts w:hint="eastAsia" w:cs="Times New Roman"/>
                      <w:szCs w:val="18"/>
                      <w:lang w:val="de-DE"/>
                    </w:rPr>
                    <w:t>3</w:t>
                  </w:r>
                  <w:r>
                    <w:rPr>
                      <w:rFonts w:cs="Times New Roman"/>
                      <w:szCs w:val="18"/>
                      <w:lang w:val="de-DE"/>
                    </w:rPr>
                    <w:t>45</w:t>
                  </w:r>
                </w:p>
              </w:tc>
              <w:tc>
                <w:tcPr>
                  <w:tcW w:w="2089" w:type="dxa"/>
                  <w:vAlign w:val="center"/>
                </w:tcPr>
                <w:p>
                  <w:pPr>
                    <w:pStyle w:val="136"/>
                    <w:adjustRightInd w:val="0"/>
                    <w:snapToGrid w:val="0"/>
                  </w:pPr>
                  <w:r>
                    <w:rPr>
                      <w:rFonts w:hint="eastAsia" w:cs="Times New Roman"/>
                      <w:szCs w:val="18"/>
                      <w:lang w:val="de-DE"/>
                    </w:rPr>
                    <w:t>居住区，约1</w:t>
                  </w:r>
                  <w:r>
                    <w:rPr>
                      <w:rFonts w:cs="Times New Roman"/>
                      <w:szCs w:val="18"/>
                      <w:lang w:val="de-DE"/>
                    </w:rPr>
                    <w:t>2000</w:t>
                  </w:r>
                  <w:r>
                    <w:rPr>
                      <w:rFonts w:hint="eastAsia" w:cs="Times New Roman"/>
                      <w:szCs w:val="18"/>
                      <w:lang w:val="de-DE"/>
                    </w:rPr>
                    <w:t>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99" w:type="dxa"/>
                  <w:vAlign w:val="center"/>
                </w:tcPr>
                <w:p>
                  <w:pPr>
                    <w:pStyle w:val="136"/>
                    <w:adjustRightInd w:val="0"/>
                    <w:snapToGrid w:val="0"/>
                  </w:pPr>
                  <w:r>
                    <w:rPr>
                      <w:rFonts w:hint="eastAsia"/>
                    </w:rPr>
                    <w:t>5</w:t>
                  </w:r>
                </w:p>
              </w:tc>
              <w:tc>
                <w:tcPr>
                  <w:tcW w:w="2694" w:type="dxa"/>
                  <w:vAlign w:val="center"/>
                </w:tcPr>
                <w:p>
                  <w:pPr>
                    <w:pStyle w:val="136"/>
                    <w:adjustRightInd w:val="0"/>
                    <w:snapToGrid w:val="0"/>
                  </w:pPr>
                  <w:r>
                    <w:rPr>
                      <w:rFonts w:hint="eastAsia" w:cs="Times New Roman"/>
                      <w:szCs w:val="18"/>
                      <w:lang w:val="de-DE"/>
                    </w:rPr>
                    <w:t>巴中市自然资源和规划局</w:t>
                  </w:r>
                </w:p>
              </w:tc>
              <w:tc>
                <w:tcPr>
                  <w:tcW w:w="850" w:type="dxa"/>
                  <w:vAlign w:val="center"/>
                </w:tcPr>
                <w:p>
                  <w:pPr>
                    <w:pStyle w:val="136"/>
                    <w:adjustRightInd w:val="0"/>
                    <w:snapToGrid w:val="0"/>
                  </w:pPr>
                  <w:r>
                    <w:rPr>
                      <w:rFonts w:hint="eastAsia" w:cs="Times New Roman"/>
                      <w:szCs w:val="18"/>
                      <w:lang w:val="de-DE"/>
                    </w:rPr>
                    <w:t>SW</w:t>
                  </w:r>
                </w:p>
              </w:tc>
              <w:tc>
                <w:tcPr>
                  <w:tcW w:w="1559" w:type="dxa"/>
                  <w:vAlign w:val="center"/>
                </w:tcPr>
                <w:p>
                  <w:pPr>
                    <w:pStyle w:val="136"/>
                    <w:adjustRightInd w:val="0"/>
                    <w:snapToGrid w:val="0"/>
                  </w:pPr>
                  <w:r>
                    <w:rPr>
                      <w:rFonts w:hint="eastAsia" w:cs="Times New Roman"/>
                      <w:szCs w:val="18"/>
                      <w:lang w:val="de-DE"/>
                    </w:rPr>
                    <w:t>3</w:t>
                  </w:r>
                  <w:r>
                    <w:rPr>
                      <w:rFonts w:cs="Times New Roman"/>
                      <w:szCs w:val="18"/>
                      <w:lang w:val="de-DE"/>
                    </w:rPr>
                    <w:t>00</w:t>
                  </w:r>
                </w:p>
              </w:tc>
              <w:tc>
                <w:tcPr>
                  <w:tcW w:w="2089" w:type="dxa"/>
                  <w:vAlign w:val="center"/>
                </w:tcPr>
                <w:p>
                  <w:pPr>
                    <w:pStyle w:val="136"/>
                    <w:adjustRightInd w:val="0"/>
                    <w:snapToGrid w:val="0"/>
                  </w:pPr>
                  <w:r>
                    <w:rPr>
                      <w:rFonts w:hint="eastAsia" w:cs="Times New Roman"/>
                      <w:szCs w:val="18"/>
                      <w:lang w:val="de-DE"/>
                    </w:rPr>
                    <w:t>机关单位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99" w:type="dxa"/>
                  <w:vAlign w:val="center"/>
                </w:tcPr>
                <w:p>
                  <w:pPr>
                    <w:pStyle w:val="136"/>
                    <w:adjustRightInd w:val="0"/>
                    <w:snapToGrid w:val="0"/>
                  </w:pPr>
                  <w:r>
                    <w:rPr>
                      <w:rFonts w:hint="eastAsia"/>
                    </w:rPr>
                    <w:t>6</w:t>
                  </w:r>
                </w:p>
              </w:tc>
              <w:tc>
                <w:tcPr>
                  <w:tcW w:w="2694" w:type="dxa"/>
                  <w:vAlign w:val="center"/>
                </w:tcPr>
                <w:p>
                  <w:pPr>
                    <w:pStyle w:val="136"/>
                    <w:adjustRightInd w:val="0"/>
                    <w:snapToGrid w:val="0"/>
                  </w:pPr>
                  <w:r>
                    <w:rPr>
                      <w:rFonts w:hint="eastAsia" w:cs="Times New Roman"/>
                      <w:szCs w:val="18"/>
                      <w:lang w:val="de-DE"/>
                    </w:rPr>
                    <w:t>巴中职业技术学院</w:t>
                  </w:r>
                </w:p>
              </w:tc>
              <w:tc>
                <w:tcPr>
                  <w:tcW w:w="850" w:type="dxa"/>
                  <w:vAlign w:val="center"/>
                </w:tcPr>
                <w:p>
                  <w:pPr>
                    <w:pStyle w:val="136"/>
                    <w:adjustRightInd w:val="0"/>
                    <w:snapToGrid w:val="0"/>
                  </w:pPr>
                  <w:r>
                    <w:rPr>
                      <w:rFonts w:hint="eastAsia" w:cs="Times New Roman"/>
                      <w:szCs w:val="18"/>
                      <w:lang w:val="de-DE"/>
                    </w:rPr>
                    <w:t>NW</w:t>
                  </w:r>
                </w:p>
              </w:tc>
              <w:tc>
                <w:tcPr>
                  <w:tcW w:w="1559" w:type="dxa"/>
                  <w:vAlign w:val="center"/>
                </w:tcPr>
                <w:p>
                  <w:pPr>
                    <w:pStyle w:val="136"/>
                    <w:adjustRightInd w:val="0"/>
                    <w:snapToGrid w:val="0"/>
                  </w:pPr>
                  <w:r>
                    <w:rPr>
                      <w:rFonts w:hint="eastAsia" w:cs="Times New Roman"/>
                      <w:szCs w:val="18"/>
                      <w:lang w:val="de-DE"/>
                    </w:rPr>
                    <w:t>5</w:t>
                  </w:r>
                  <w:r>
                    <w:rPr>
                      <w:rFonts w:cs="Times New Roman"/>
                      <w:szCs w:val="18"/>
                      <w:lang w:val="de-DE"/>
                    </w:rPr>
                    <w:t>00</w:t>
                  </w:r>
                </w:p>
              </w:tc>
              <w:tc>
                <w:tcPr>
                  <w:tcW w:w="2089" w:type="dxa"/>
                  <w:vAlign w:val="center"/>
                </w:tcPr>
                <w:p>
                  <w:pPr>
                    <w:pStyle w:val="136"/>
                    <w:adjustRightInd w:val="0"/>
                    <w:snapToGrid w:val="0"/>
                  </w:pPr>
                  <w:r>
                    <w:rPr>
                      <w:rFonts w:hint="eastAsia" w:cs="Times New Roman"/>
                      <w:szCs w:val="18"/>
                      <w:lang w:val="de-DE"/>
                    </w:rPr>
                    <w:t>学校，约1</w:t>
                  </w:r>
                  <w:r>
                    <w:rPr>
                      <w:rFonts w:cs="Times New Roman"/>
                      <w:szCs w:val="18"/>
                      <w:lang w:val="de-DE"/>
                    </w:rPr>
                    <w:t>0000</w:t>
                  </w:r>
                  <w:r>
                    <w:rPr>
                      <w:rFonts w:hint="eastAsia" w:cs="Times New Roman"/>
                      <w:szCs w:val="18"/>
                      <w:lang w:val="de-DE"/>
                    </w:rPr>
                    <w:t>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99" w:type="dxa"/>
                  <w:vAlign w:val="center"/>
                </w:tcPr>
                <w:p>
                  <w:pPr>
                    <w:pStyle w:val="136"/>
                    <w:adjustRightInd w:val="0"/>
                    <w:snapToGrid w:val="0"/>
                  </w:pPr>
                  <w:r>
                    <w:rPr>
                      <w:rFonts w:hint="eastAsia"/>
                    </w:rPr>
                    <w:t>7</w:t>
                  </w:r>
                </w:p>
              </w:tc>
              <w:tc>
                <w:tcPr>
                  <w:tcW w:w="2694" w:type="dxa"/>
                  <w:vAlign w:val="center"/>
                </w:tcPr>
                <w:p>
                  <w:pPr>
                    <w:pStyle w:val="136"/>
                    <w:adjustRightInd w:val="0"/>
                    <w:snapToGrid w:val="0"/>
                    <w:rPr>
                      <w:rFonts w:cs="Times New Roman"/>
                      <w:szCs w:val="18"/>
                      <w:lang w:val="de-DE"/>
                    </w:rPr>
                  </w:pPr>
                  <w:r>
                    <w:rPr>
                      <w:rFonts w:hint="eastAsia" w:cs="Times New Roman"/>
                      <w:szCs w:val="18"/>
                      <w:lang w:val="de-DE"/>
                    </w:rPr>
                    <w:t>巴中巨能石化加油加气站</w:t>
                  </w:r>
                </w:p>
              </w:tc>
              <w:tc>
                <w:tcPr>
                  <w:tcW w:w="850" w:type="dxa"/>
                  <w:vAlign w:val="center"/>
                </w:tcPr>
                <w:p>
                  <w:pPr>
                    <w:pStyle w:val="136"/>
                    <w:adjustRightInd w:val="0"/>
                    <w:snapToGrid w:val="0"/>
                    <w:rPr>
                      <w:rFonts w:cs="Times New Roman"/>
                      <w:szCs w:val="18"/>
                      <w:lang w:val="de-DE"/>
                    </w:rPr>
                  </w:pPr>
                  <w:r>
                    <w:rPr>
                      <w:rFonts w:hint="eastAsia" w:cs="Times New Roman"/>
                      <w:szCs w:val="18"/>
                      <w:lang w:val="de-DE"/>
                    </w:rPr>
                    <w:t>NW</w:t>
                  </w:r>
                </w:p>
              </w:tc>
              <w:tc>
                <w:tcPr>
                  <w:tcW w:w="1559" w:type="dxa"/>
                  <w:vAlign w:val="center"/>
                </w:tcPr>
                <w:p>
                  <w:pPr>
                    <w:pStyle w:val="136"/>
                    <w:adjustRightInd w:val="0"/>
                    <w:snapToGrid w:val="0"/>
                    <w:rPr>
                      <w:rFonts w:cs="Times New Roman"/>
                      <w:szCs w:val="18"/>
                      <w:lang w:val="de-DE"/>
                    </w:rPr>
                  </w:pPr>
                  <w:r>
                    <w:rPr>
                      <w:rFonts w:hint="eastAsia" w:cs="Times New Roman"/>
                      <w:szCs w:val="18"/>
                      <w:lang w:val="de-DE"/>
                    </w:rPr>
                    <w:t>2</w:t>
                  </w:r>
                  <w:r>
                    <w:rPr>
                      <w:rFonts w:cs="Times New Roman"/>
                      <w:szCs w:val="18"/>
                      <w:lang w:val="de-DE"/>
                    </w:rPr>
                    <w:t>35</w:t>
                  </w:r>
                </w:p>
              </w:tc>
              <w:tc>
                <w:tcPr>
                  <w:tcW w:w="2089" w:type="dxa"/>
                  <w:vAlign w:val="center"/>
                </w:tcPr>
                <w:p>
                  <w:pPr>
                    <w:pStyle w:val="136"/>
                    <w:adjustRightInd w:val="0"/>
                    <w:snapToGrid w:val="0"/>
                  </w:pPr>
                  <w:r>
                    <w:rPr>
                      <w:rFonts w:hint="eastAsia"/>
                    </w:rPr>
                    <w:t>加油站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99" w:type="dxa"/>
                  <w:vAlign w:val="center"/>
                </w:tcPr>
                <w:p>
                  <w:pPr>
                    <w:pStyle w:val="136"/>
                    <w:adjustRightInd w:val="0"/>
                    <w:snapToGrid w:val="0"/>
                  </w:pPr>
                  <w:r>
                    <w:rPr>
                      <w:rFonts w:hint="eastAsia"/>
                    </w:rPr>
                    <w:t>8</w:t>
                  </w:r>
                </w:p>
              </w:tc>
              <w:tc>
                <w:tcPr>
                  <w:tcW w:w="2694" w:type="dxa"/>
                  <w:vAlign w:val="center"/>
                </w:tcPr>
                <w:p>
                  <w:pPr>
                    <w:pStyle w:val="136"/>
                    <w:adjustRightInd w:val="0"/>
                    <w:snapToGrid w:val="0"/>
                    <w:rPr>
                      <w:rFonts w:cs="Times New Roman"/>
                      <w:szCs w:val="18"/>
                      <w:lang w:val="de-DE"/>
                    </w:rPr>
                  </w:pPr>
                  <w:r>
                    <w:rPr>
                      <w:rFonts w:hint="eastAsia" w:cs="Times New Roman"/>
                      <w:szCs w:val="18"/>
                      <w:lang w:val="de-DE"/>
                    </w:rPr>
                    <w:t>G</w:t>
                  </w:r>
                  <w:r>
                    <w:rPr>
                      <w:rFonts w:cs="Times New Roman"/>
                      <w:szCs w:val="18"/>
                      <w:lang w:val="de-DE"/>
                    </w:rPr>
                    <w:t>85</w:t>
                  </w:r>
                  <w:r>
                    <w:rPr>
                      <w:rFonts w:hint="eastAsia" w:cs="Times New Roman"/>
                      <w:szCs w:val="18"/>
                      <w:lang w:val="de-DE"/>
                    </w:rPr>
                    <w:t>高速</w:t>
                  </w:r>
                </w:p>
              </w:tc>
              <w:tc>
                <w:tcPr>
                  <w:tcW w:w="850" w:type="dxa"/>
                  <w:vAlign w:val="center"/>
                </w:tcPr>
                <w:p>
                  <w:pPr>
                    <w:pStyle w:val="136"/>
                    <w:adjustRightInd w:val="0"/>
                    <w:snapToGrid w:val="0"/>
                    <w:rPr>
                      <w:rFonts w:cs="Times New Roman"/>
                      <w:szCs w:val="18"/>
                      <w:lang w:val="de-DE"/>
                    </w:rPr>
                  </w:pPr>
                  <w:r>
                    <w:rPr>
                      <w:rFonts w:hint="eastAsia" w:cs="Times New Roman"/>
                      <w:szCs w:val="18"/>
                      <w:lang w:val="de-DE"/>
                    </w:rPr>
                    <w:t>NE</w:t>
                  </w:r>
                </w:p>
              </w:tc>
              <w:tc>
                <w:tcPr>
                  <w:tcW w:w="1559" w:type="dxa"/>
                  <w:vAlign w:val="center"/>
                </w:tcPr>
                <w:p>
                  <w:pPr>
                    <w:pStyle w:val="136"/>
                    <w:adjustRightInd w:val="0"/>
                    <w:snapToGrid w:val="0"/>
                    <w:rPr>
                      <w:rFonts w:cs="Times New Roman"/>
                      <w:szCs w:val="18"/>
                      <w:lang w:val="de-DE"/>
                    </w:rPr>
                  </w:pPr>
                  <w:r>
                    <w:rPr>
                      <w:rFonts w:hint="eastAsia" w:cs="Times New Roman"/>
                      <w:szCs w:val="18"/>
                      <w:lang w:val="de-DE"/>
                    </w:rPr>
                    <w:t>1</w:t>
                  </w:r>
                  <w:r>
                    <w:rPr>
                      <w:rFonts w:cs="Times New Roman"/>
                      <w:szCs w:val="18"/>
                      <w:lang w:val="de-DE"/>
                    </w:rPr>
                    <w:t>80</w:t>
                  </w:r>
                </w:p>
              </w:tc>
              <w:tc>
                <w:tcPr>
                  <w:tcW w:w="2089" w:type="dxa"/>
                  <w:vAlign w:val="center"/>
                </w:tcPr>
                <w:p>
                  <w:pPr>
                    <w:pStyle w:val="136"/>
                    <w:adjustRightInd w:val="0"/>
                    <w:snapToGrid w:val="0"/>
                  </w:pPr>
                  <w:r>
                    <w:rPr>
                      <w:rFonts w:hint="eastAsia"/>
                    </w:rPr>
                    <w:t>高速公路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99" w:type="dxa"/>
                  <w:vAlign w:val="center"/>
                </w:tcPr>
                <w:p>
                  <w:pPr>
                    <w:pStyle w:val="136"/>
                    <w:adjustRightInd w:val="0"/>
                    <w:snapToGrid w:val="0"/>
                  </w:pPr>
                  <w:r>
                    <w:rPr>
                      <w:rFonts w:hint="eastAsia"/>
                    </w:rPr>
                    <w:t>9</w:t>
                  </w:r>
                </w:p>
              </w:tc>
              <w:tc>
                <w:tcPr>
                  <w:tcW w:w="2694" w:type="dxa"/>
                  <w:vAlign w:val="center"/>
                </w:tcPr>
                <w:p>
                  <w:pPr>
                    <w:pStyle w:val="136"/>
                    <w:adjustRightInd w:val="0"/>
                    <w:snapToGrid w:val="0"/>
                    <w:rPr>
                      <w:rFonts w:cs="Times New Roman"/>
                      <w:szCs w:val="18"/>
                      <w:lang w:val="de-DE"/>
                    </w:rPr>
                  </w:pPr>
                  <w:r>
                    <w:rPr>
                      <w:rFonts w:hint="eastAsia" w:cs="Times New Roman"/>
                      <w:szCs w:val="18"/>
                      <w:lang w:val="de-DE"/>
                    </w:rPr>
                    <w:t>二郎庙农户</w:t>
                  </w:r>
                </w:p>
              </w:tc>
              <w:tc>
                <w:tcPr>
                  <w:tcW w:w="850" w:type="dxa"/>
                  <w:vAlign w:val="center"/>
                </w:tcPr>
                <w:p>
                  <w:pPr>
                    <w:pStyle w:val="136"/>
                    <w:adjustRightInd w:val="0"/>
                    <w:snapToGrid w:val="0"/>
                    <w:rPr>
                      <w:rFonts w:cs="Times New Roman"/>
                      <w:szCs w:val="18"/>
                      <w:lang w:val="de-DE"/>
                    </w:rPr>
                  </w:pPr>
                  <w:r>
                    <w:rPr>
                      <w:rFonts w:hint="eastAsia" w:cs="Times New Roman"/>
                      <w:szCs w:val="18"/>
                      <w:lang w:val="de-DE"/>
                    </w:rPr>
                    <w:t>NE</w:t>
                  </w:r>
                </w:p>
              </w:tc>
              <w:tc>
                <w:tcPr>
                  <w:tcW w:w="1559" w:type="dxa"/>
                  <w:vAlign w:val="center"/>
                </w:tcPr>
                <w:p>
                  <w:pPr>
                    <w:pStyle w:val="136"/>
                    <w:adjustRightInd w:val="0"/>
                    <w:snapToGrid w:val="0"/>
                    <w:rPr>
                      <w:rFonts w:cs="Times New Roman"/>
                      <w:szCs w:val="18"/>
                      <w:lang w:val="de-DE"/>
                    </w:rPr>
                  </w:pPr>
                  <w:r>
                    <w:rPr>
                      <w:rFonts w:hint="eastAsia" w:cs="Times New Roman"/>
                      <w:szCs w:val="18"/>
                      <w:lang w:val="de-DE"/>
                    </w:rPr>
                    <w:t>3</w:t>
                  </w:r>
                  <w:r>
                    <w:rPr>
                      <w:rFonts w:cs="Times New Roman"/>
                      <w:szCs w:val="18"/>
                      <w:lang w:val="de-DE"/>
                    </w:rPr>
                    <w:t>70</w:t>
                  </w:r>
                </w:p>
              </w:tc>
              <w:tc>
                <w:tcPr>
                  <w:tcW w:w="2089" w:type="dxa"/>
                  <w:vAlign w:val="center"/>
                </w:tcPr>
                <w:p>
                  <w:pPr>
                    <w:pStyle w:val="136"/>
                    <w:adjustRightInd w:val="0"/>
                    <w:snapToGrid w:val="0"/>
                  </w:pPr>
                  <w:r>
                    <w:rPr>
                      <w:rFonts w:hint="eastAsia"/>
                    </w:rPr>
                    <w:t>散居农户，约1</w:t>
                  </w:r>
                  <w:r>
                    <w:t>2</w:t>
                  </w:r>
                  <w:r>
                    <w:rPr>
                      <w:rFonts w:hint="eastAsia"/>
                    </w:rPr>
                    <w:t>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99" w:type="dxa"/>
                  <w:vAlign w:val="center"/>
                </w:tcPr>
                <w:p>
                  <w:pPr>
                    <w:pStyle w:val="136"/>
                    <w:adjustRightInd w:val="0"/>
                    <w:snapToGrid w:val="0"/>
                  </w:pPr>
                  <w:r>
                    <w:rPr>
                      <w:rFonts w:hint="eastAsia"/>
                    </w:rPr>
                    <w:t>1</w:t>
                  </w:r>
                  <w:r>
                    <w:t>0</w:t>
                  </w:r>
                </w:p>
              </w:tc>
              <w:tc>
                <w:tcPr>
                  <w:tcW w:w="2694" w:type="dxa"/>
                  <w:vAlign w:val="center"/>
                </w:tcPr>
                <w:p>
                  <w:pPr>
                    <w:pStyle w:val="136"/>
                    <w:adjustRightInd w:val="0"/>
                    <w:snapToGrid w:val="0"/>
                    <w:rPr>
                      <w:rFonts w:cs="Times New Roman"/>
                      <w:szCs w:val="18"/>
                      <w:lang w:val="de-DE"/>
                    </w:rPr>
                  </w:pPr>
                  <w:r>
                    <w:rPr>
                      <w:rFonts w:hint="eastAsia" w:cs="Times New Roman"/>
                      <w:szCs w:val="18"/>
                      <w:lang w:val="de-DE"/>
                    </w:rPr>
                    <w:t>人工渠</w:t>
                  </w:r>
                </w:p>
              </w:tc>
              <w:tc>
                <w:tcPr>
                  <w:tcW w:w="850" w:type="dxa"/>
                  <w:vAlign w:val="center"/>
                </w:tcPr>
                <w:p>
                  <w:pPr>
                    <w:pStyle w:val="136"/>
                    <w:adjustRightInd w:val="0"/>
                    <w:snapToGrid w:val="0"/>
                    <w:rPr>
                      <w:rFonts w:cs="Times New Roman"/>
                      <w:szCs w:val="18"/>
                      <w:lang w:val="de-DE"/>
                    </w:rPr>
                  </w:pPr>
                  <w:r>
                    <w:rPr>
                      <w:rFonts w:hint="eastAsia" w:cs="Times New Roman"/>
                      <w:szCs w:val="18"/>
                      <w:lang w:val="de-DE"/>
                    </w:rPr>
                    <w:t>SW</w:t>
                  </w:r>
                </w:p>
              </w:tc>
              <w:tc>
                <w:tcPr>
                  <w:tcW w:w="1559" w:type="dxa"/>
                  <w:vAlign w:val="center"/>
                </w:tcPr>
                <w:p>
                  <w:pPr>
                    <w:pStyle w:val="136"/>
                    <w:adjustRightInd w:val="0"/>
                    <w:snapToGrid w:val="0"/>
                    <w:rPr>
                      <w:rFonts w:cs="Times New Roman"/>
                      <w:szCs w:val="18"/>
                      <w:lang w:val="de-DE"/>
                    </w:rPr>
                  </w:pPr>
                  <w:r>
                    <w:rPr>
                      <w:rFonts w:hint="eastAsia" w:cs="Times New Roman"/>
                      <w:szCs w:val="18"/>
                      <w:lang w:val="de-DE"/>
                    </w:rPr>
                    <w:t>1</w:t>
                  </w:r>
                  <w:r>
                    <w:rPr>
                      <w:rFonts w:cs="Times New Roman"/>
                      <w:szCs w:val="18"/>
                      <w:lang w:val="de-DE"/>
                    </w:rPr>
                    <w:t>45</w:t>
                  </w:r>
                </w:p>
              </w:tc>
              <w:tc>
                <w:tcPr>
                  <w:tcW w:w="2089" w:type="dxa"/>
                  <w:vAlign w:val="center"/>
                </w:tcPr>
                <w:p>
                  <w:pPr>
                    <w:pStyle w:val="136"/>
                    <w:adjustRightInd w:val="0"/>
                    <w:snapToGrid w:val="0"/>
                  </w:pPr>
                  <w:r>
                    <w:rPr>
                      <w:rFonts w:hint="eastAsia"/>
                    </w:rPr>
                    <w:t>人工排水渠，纳污、行洪</w:t>
                  </w:r>
                </w:p>
              </w:tc>
            </w:tr>
          </w:tbl>
          <w:p>
            <w:pPr>
              <w:ind w:firstLine="480"/>
            </w:pPr>
            <w:r>
              <w:rPr>
                <w:rFonts w:hint="eastAsia"/>
              </w:rPr>
              <w:t>（2）项目对周边外环境的影响</w:t>
            </w:r>
          </w:p>
          <w:p>
            <w:pPr>
              <w:ind w:firstLine="480"/>
            </w:pPr>
            <w:r>
              <w:t>根据本项目外环境关系可知，项目周边主要为</w:t>
            </w:r>
            <w:r>
              <w:rPr>
                <w:rFonts w:hint="eastAsia"/>
              </w:rPr>
              <w:t>居民、学校、机关单位，周围</w:t>
            </w:r>
            <w:r>
              <w:t>无文物保护、风景名胜区等环境敏感目标，无重大环境制约因素。本项目从事</w:t>
            </w:r>
            <w:r>
              <w:rPr>
                <w:rFonts w:hint="eastAsia"/>
              </w:rPr>
              <w:t>地表水环境监测工作</w:t>
            </w:r>
            <w:r>
              <w:t>，产生的环境影响主要为废气（挥发性有机物</w:t>
            </w:r>
            <w:r>
              <w:rPr>
                <w:rFonts w:hint="eastAsia"/>
              </w:rPr>
              <w:t>、酸雾等</w:t>
            </w:r>
            <w:r>
              <w:t>）、废水、噪声及固废。本项目采取可行性污染防治措施后，废气、废水、噪声可达标排放，固体废物妥善处置，对周边环境</w:t>
            </w:r>
            <w:r>
              <w:rPr>
                <w:rFonts w:hint="eastAsia"/>
              </w:rPr>
              <w:t>不会造成</w:t>
            </w:r>
            <w:r>
              <w:t>明显影响。因此，本项目建设与环境相容。</w:t>
            </w:r>
          </w:p>
          <w:p>
            <w:pPr>
              <w:ind w:firstLine="480"/>
            </w:pPr>
            <w:r>
              <w:rPr>
                <w:rFonts w:hint="eastAsia"/>
              </w:rPr>
              <w:t>（3）基础设施建设条件</w:t>
            </w:r>
          </w:p>
          <w:p>
            <w:pPr>
              <w:ind w:firstLine="480"/>
            </w:pPr>
            <w:r>
              <w:t>区域规划有完善的市政配套设施（供水、供电、雨污管网），项目用水、用电能够满足要求，生活污水可接入市政污水管网，交通运输条件良好</w:t>
            </w:r>
            <w:r>
              <w:rPr>
                <w:rFonts w:hint="eastAsia"/>
              </w:rPr>
              <w:t>。</w:t>
            </w:r>
            <w:r>
              <w:t>同时区域环境质量现状良好，具有环境容量</w:t>
            </w:r>
            <w:r>
              <w:rPr>
                <w:rFonts w:hint="eastAsia"/>
              </w:rPr>
              <w:t>。根据建设单位提供的《建设用地规划许可证》（地字第5</w:t>
            </w:r>
            <w:r>
              <w:t>11924202200008</w:t>
            </w:r>
            <w:r>
              <w:rPr>
                <w:rFonts w:hint="eastAsia"/>
              </w:rPr>
              <w:t>号）</w:t>
            </w:r>
            <w:r>
              <w:t>可知</w:t>
            </w:r>
            <w:r>
              <w:rPr>
                <w:rFonts w:hint="eastAsia"/>
              </w:rPr>
              <w:t>，</w:t>
            </w:r>
            <w:r>
              <w:t>项目用地性质</w:t>
            </w:r>
            <w:r>
              <w:rPr>
                <w:rFonts w:hint="eastAsia"/>
              </w:rPr>
              <w:t>为</w:t>
            </w:r>
            <w:r>
              <w:rPr>
                <w:rFonts w:hint="eastAsia"/>
                <w:b/>
                <w:bCs/>
              </w:rPr>
              <w:t>机关团体用地</w:t>
            </w:r>
            <w:r>
              <w:rPr>
                <w:rFonts w:hint="eastAsia"/>
              </w:rPr>
              <w:t>，符合用地规划要求。</w:t>
            </w:r>
          </w:p>
          <w:p>
            <w:pPr>
              <w:ind w:firstLine="482"/>
              <w:rPr>
                <w:b/>
              </w:rPr>
            </w:pPr>
            <w:r>
              <w:rPr>
                <w:b/>
                <w:iCs/>
              </w:rPr>
              <w:t>综上，本项目建设选址符合当地相关规划，无明显环境制约因素，与环境相容，周边基础设施建设条件良好，选址合理。</w:t>
            </w:r>
          </w:p>
        </w:tc>
      </w:tr>
    </w:tbl>
    <w:p>
      <w:pPr>
        <w:adjustRightInd w:val="0"/>
        <w:snapToGrid w:val="0"/>
        <w:spacing w:line="288" w:lineRule="auto"/>
        <w:ind w:firstLine="480"/>
        <w:jc w:val="center"/>
        <w:sectPr>
          <w:pgSz w:w="11906" w:h="16838"/>
          <w:pgMar w:top="1440" w:right="1797" w:bottom="1440" w:left="1797" w:header="851" w:footer="958" w:gutter="0"/>
          <w:pgNumType w:fmt="numberInDash"/>
          <w:cols w:space="720" w:num="1"/>
          <w:docGrid w:linePitch="312" w:charSpace="0"/>
        </w:sectPr>
      </w:pPr>
    </w:p>
    <w:p>
      <w:pPr>
        <w:pStyle w:val="29"/>
        <w:spacing w:before="0" w:beforeAutospacing="0" w:after="0" w:afterAutospacing="0" w:line="240" w:lineRule="auto"/>
        <w:ind w:firstLine="0" w:firstLineChars="0"/>
        <w:outlineLvl w:val="0"/>
        <w:rPr>
          <w:rFonts w:ascii="Times New Roman" w:hAnsi="Times New Roman"/>
          <w:snapToGrid w:val="0"/>
        </w:rPr>
      </w:pPr>
      <w:bookmarkStart w:id="4" w:name="_Toc108119957"/>
      <w:r>
        <w:rPr>
          <w:rFonts w:cs="宋体"/>
          <w:b/>
          <w:bCs/>
          <w:snapToGrid w:val="0"/>
          <w:sz w:val="30"/>
          <w:szCs w:val="30"/>
        </w:rPr>
        <w:t>二、建设项目工程分析</w:t>
      </w:r>
      <w:bookmarkEnd w:id="4"/>
    </w:p>
    <w:tbl>
      <w:tblPr>
        <w:tblStyle w:val="34"/>
        <w:tblW w:w="839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74"/>
        <w:gridCol w:w="81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74" w:type="dxa"/>
            <w:vAlign w:val="center"/>
          </w:tcPr>
          <w:p>
            <w:pPr>
              <w:pStyle w:val="29"/>
              <w:adjustRightInd w:val="0"/>
              <w:snapToGrid w:val="0"/>
              <w:spacing w:before="0" w:beforeAutospacing="0" w:after="0" w:afterAutospacing="0"/>
              <w:ind w:firstLine="0" w:firstLineChars="0"/>
              <w:jc w:val="center"/>
              <w:rPr>
                <w:rFonts w:ascii="Times New Roman" w:hAnsi="Times New Roman"/>
                <w:sz w:val="21"/>
                <w:szCs w:val="21"/>
              </w:rPr>
            </w:pPr>
            <w:r>
              <w:rPr>
                <w:rFonts w:ascii="Times New Roman" w:hAnsi="Times New Roman"/>
                <w:sz w:val="21"/>
                <w:szCs w:val="21"/>
              </w:rPr>
              <w:t>建设内容</w:t>
            </w:r>
          </w:p>
        </w:tc>
        <w:tc>
          <w:tcPr>
            <w:tcW w:w="8119" w:type="dxa"/>
            <w:vAlign w:val="center"/>
          </w:tcPr>
          <w:p>
            <w:pPr>
              <w:adjustRightInd w:val="0"/>
              <w:snapToGrid w:val="0"/>
              <w:ind w:firstLine="0" w:firstLineChars="0"/>
              <w:rPr>
                <w:b/>
                <w:bCs/>
                <w:szCs w:val="21"/>
              </w:rPr>
            </w:pPr>
            <w:r>
              <w:rPr>
                <w:b/>
                <w:bCs/>
                <w:szCs w:val="21"/>
              </w:rPr>
              <w:t>1</w:t>
            </w:r>
            <w:r>
              <w:rPr>
                <w:rFonts w:hint="eastAsia"/>
                <w:b/>
                <w:bCs/>
                <w:szCs w:val="21"/>
              </w:rPr>
              <w:t>、项目由来</w:t>
            </w:r>
          </w:p>
          <w:p>
            <w:pPr>
              <w:ind w:firstLine="480"/>
            </w:pPr>
            <w:r>
              <w:rPr>
                <w:rFonts w:hint="eastAsia"/>
              </w:rPr>
              <w:t>巴中市辖区内承担水质水生态监测的巴中水文局，长期以来不具备水质监测、水生态监测能力。水质水生态监测完全依靠达州水文局提供和进行水质水生态监测。由于行政跨地区原因，很难及时与巴中市政府进行水质会商应对突发污染事件，很难及时为当地政府水资源配置与管理、当地政府水质决策提供水质技术支撑。同时为全面建立和完善一个应对水质等自然灾害的快速反应体系，所以有必要在当地建设一个能及时为地方水质分析、水质事件减灾服务的水质部门，发挥水质的社会效益，以便及时为当地政府水资源配置与管理、为地方政府水质决策提供水质支撑。</w:t>
            </w:r>
          </w:p>
          <w:p>
            <w:pPr>
              <w:ind w:firstLine="480"/>
            </w:pPr>
            <w:r>
              <w:rPr>
                <w:rFonts w:hint="eastAsia"/>
              </w:rPr>
              <w:t>为此，四川省巴中水文水资源勘测中心投资</w:t>
            </w:r>
            <w:r>
              <w:t>451</w:t>
            </w:r>
            <w:r>
              <w:rPr>
                <w:rFonts w:hint="eastAsia"/>
              </w:rPr>
              <w:t>万元，在四川巴中经济开发区建设“水质分析实验室建设项目”，项目建成后负责辖区内近20处水质断面的监测、运行管理和其他水质工作，承担了巴中市的水质水生态监测和防灾减灾、地下水监测，水源地监测等管理决策所需水质信息。</w:t>
            </w:r>
          </w:p>
          <w:p>
            <w:pPr>
              <w:ind w:firstLine="480"/>
            </w:pPr>
            <w:r>
              <w:rPr>
                <w:rFonts w:hint="eastAsia"/>
              </w:rPr>
              <w:t>根据《中华人民共和国环境影响评价法》《建设项目环境保护管理条例》，本项目属新建项目，需进行环境影响评价。根据《建设项目环境影响评价分类管理名录（2</w:t>
            </w:r>
            <w:r>
              <w:t>021</w:t>
            </w:r>
            <w:r>
              <w:rPr>
                <w:rFonts w:hint="eastAsia"/>
              </w:rPr>
              <w:t>年版）》，本项目属于名录“</w:t>
            </w:r>
            <w:r>
              <w:rPr>
                <w:rFonts w:hint="eastAsia"/>
                <w:szCs w:val="21"/>
              </w:rPr>
              <w:t>四十五、研究和试验发展 9</w:t>
            </w:r>
            <w:r>
              <w:rPr>
                <w:szCs w:val="21"/>
              </w:rPr>
              <w:t>8.</w:t>
            </w:r>
            <w:r>
              <w:rPr>
                <w:rFonts w:hint="eastAsia"/>
                <w:szCs w:val="21"/>
              </w:rPr>
              <w:t>专业实验室、研发（试验）基地中的‘其他（不产生实验废气、废水、危险废物的除外）’</w:t>
            </w:r>
            <w:r>
              <w:rPr>
                <w:rFonts w:hint="eastAsia"/>
              </w:rPr>
              <w:t>”，应编制环境影响报告表。</w:t>
            </w:r>
          </w:p>
          <w:p>
            <w:pPr>
              <w:ind w:firstLine="480"/>
            </w:pPr>
            <w:r>
              <w:rPr>
                <w:rFonts w:hint="eastAsia"/>
              </w:rPr>
              <w:t>为此，四川省巴中水文水资源勘测中心委托四川省众诚瀚蓝环保服务有限公司承担本项目环境影响评价工作，我公司接受委托后，立即组织技术人员对现场情况及其周边环境进行实地勘察和相关资料的收集、核实与分析工作，并按照国家有关规范要求，编制完成本项目环境影响报告表。</w:t>
            </w:r>
          </w:p>
          <w:p>
            <w:pPr>
              <w:adjustRightInd w:val="0"/>
              <w:snapToGrid w:val="0"/>
              <w:ind w:firstLine="0" w:firstLineChars="0"/>
              <w:rPr>
                <w:b/>
                <w:bCs/>
                <w:szCs w:val="21"/>
              </w:rPr>
            </w:pPr>
            <w:r>
              <w:rPr>
                <w:b/>
                <w:bCs/>
                <w:szCs w:val="21"/>
              </w:rPr>
              <w:t>2、项目基本情况</w:t>
            </w:r>
          </w:p>
          <w:p>
            <w:pPr>
              <w:ind w:firstLine="480"/>
            </w:pPr>
            <w:r>
              <w:t>（1）</w:t>
            </w:r>
            <w:r>
              <w:rPr>
                <w:rFonts w:hint="eastAsia"/>
              </w:rPr>
              <w:t>项目名称：水质分析实验室建设项目</w:t>
            </w:r>
          </w:p>
          <w:p>
            <w:pPr>
              <w:ind w:firstLine="480"/>
            </w:pPr>
            <w:r>
              <w:t>（2）建设单位：</w:t>
            </w:r>
            <w:r>
              <w:rPr>
                <w:rFonts w:hint="eastAsia"/>
              </w:rPr>
              <w:t>四川省巴中水文水资源勘测中心</w:t>
            </w:r>
          </w:p>
          <w:p>
            <w:pPr>
              <w:ind w:firstLine="480"/>
            </w:pPr>
            <w:r>
              <w:t>（3）建设地点：</w:t>
            </w:r>
            <w:r>
              <w:rPr>
                <w:rFonts w:hint="eastAsia"/>
              </w:rPr>
              <w:t>四川巴中经济开发区时新街道宝峰社区（E</w:t>
            </w:r>
            <w:r>
              <w:t>106°50′22.870″</w:t>
            </w:r>
            <w:r>
              <w:rPr>
                <w:rFonts w:hint="eastAsia"/>
              </w:rPr>
              <w:t>，N</w:t>
            </w:r>
            <w:r>
              <w:t>31°51′56.994″</w:t>
            </w:r>
            <w:r>
              <w:rPr>
                <w:rFonts w:hint="eastAsia"/>
              </w:rPr>
              <w:t>）</w:t>
            </w:r>
          </w:p>
          <w:p>
            <w:pPr>
              <w:ind w:firstLine="480"/>
            </w:pPr>
            <w:r>
              <w:rPr>
                <w:rFonts w:hint="eastAsia"/>
              </w:rPr>
              <w:t>（4）建设性质：新建</w:t>
            </w:r>
          </w:p>
          <w:p>
            <w:pPr>
              <w:ind w:firstLine="480"/>
            </w:pPr>
            <w:r>
              <w:t>（4）建设工期：3</w:t>
            </w:r>
            <w:r>
              <w:rPr>
                <w:rFonts w:hint="eastAsia"/>
              </w:rPr>
              <w:t>个月</w:t>
            </w:r>
          </w:p>
          <w:p>
            <w:pPr>
              <w:ind w:firstLine="480"/>
            </w:pPr>
            <w:r>
              <w:t>（6）总投资：451</w:t>
            </w:r>
            <w:r>
              <w:rPr>
                <w:rFonts w:hint="eastAsia"/>
              </w:rPr>
              <w:t>万元</w:t>
            </w:r>
          </w:p>
          <w:p>
            <w:pPr>
              <w:ind w:firstLine="480"/>
              <w:rPr>
                <w:b/>
              </w:rPr>
            </w:pPr>
            <w:r>
              <w:t>（7）建设内容：</w:t>
            </w:r>
            <w:r>
              <w:rPr>
                <w:rFonts w:hint="eastAsia"/>
              </w:rPr>
              <w:t>在四川省巴中水文水资源勘测中心办公楼4F、5F预留房间内建设水质分析实验室，建筑面积约8</w:t>
            </w:r>
            <w:r>
              <w:t>00</w:t>
            </w:r>
            <w:r>
              <w:rPr>
                <w:rFonts w:hint="eastAsia"/>
              </w:rPr>
              <w:t>m</w:t>
            </w:r>
            <w:r>
              <w:rPr>
                <w:vertAlign w:val="superscript"/>
              </w:rPr>
              <w:t>2</w:t>
            </w:r>
            <w:r>
              <w:rPr>
                <w:rFonts w:hint="eastAsia"/>
              </w:rPr>
              <w:t>。购置电感耦合等离子体光谱仪 (ICP-PRO)、全自动紫外测油仪、全自动COD分析仪、离子色谱仪、原子荧光仪等仪器设备。</w:t>
            </w:r>
            <w:r>
              <w:rPr>
                <w:rFonts w:hint="eastAsia"/>
                <w:b/>
              </w:rPr>
              <w:t>需要说明的是，项目为</w:t>
            </w:r>
            <w:r>
              <w:rPr>
                <w:rFonts w:hint="eastAsia"/>
                <w:b/>
                <w:bCs/>
              </w:rPr>
              <w:t>四川省巴中水文水资源勘测中心配套地表水</w:t>
            </w:r>
            <w:r>
              <w:rPr>
                <w:rFonts w:hint="eastAsia"/>
                <w:b/>
              </w:rPr>
              <w:t>环境监测实验室，不涉及有严重恶臭、异味物质的实验，不对外承接监测业务。</w:t>
            </w:r>
          </w:p>
          <w:p>
            <w:pPr>
              <w:ind w:firstLine="480"/>
            </w:pPr>
            <w:r>
              <w:rPr>
                <w:rFonts w:hint="eastAsia"/>
              </w:rPr>
              <w:t>（</w:t>
            </w:r>
            <w:r>
              <w:t>8</w:t>
            </w:r>
            <w:r>
              <w:rPr>
                <w:rFonts w:hint="eastAsia"/>
              </w:rPr>
              <w:t>）监测指标和服务对象</w:t>
            </w:r>
          </w:p>
          <w:p>
            <w:pPr>
              <w:ind w:firstLine="480"/>
            </w:pPr>
            <w:r>
              <w:rPr>
                <w:rFonts w:hint="eastAsia"/>
              </w:rPr>
              <w:t>本项目监测指标如下表所示：</w:t>
            </w:r>
          </w:p>
          <w:p>
            <w:pPr>
              <w:pStyle w:val="157"/>
            </w:pPr>
            <w:r>
              <w:rPr>
                <w:rFonts w:hint="eastAsia"/>
              </w:rPr>
              <w:t>表2</w:t>
            </w:r>
            <w:r>
              <w:t xml:space="preserve">.1-1  </w:t>
            </w:r>
            <w:r>
              <w:rPr>
                <w:rFonts w:hint="eastAsia"/>
              </w:rPr>
              <w:t>本项目监测指标一览表</w:t>
            </w:r>
          </w:p>
          <w:tbl>
            <w:tblPr>
              <w:tblStyle w:val="195"/>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53"/>
              <w:gridCol w:w="1134"/>
              <w:gridCol w:w="64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53" w:type="dxa"/>
                  <w:vAlign w:val="center"/>
                </w:tcPr>
                <w:p>
                  <w:pPr>
                    <w:pStyle w:val="136"/>
                    <w:adjustRightInd w:val="0"/>
                    <w:snapToGrid w:val="0"/>
                    <w:rPr>
                      <w:b/>
                      <w:bCs/>
                    </w:rPr>
                  </w:pPr>
                  <w:r>
                    <w:rPr>
                      <w:rFonts w:hint="eastAsia"/>
                      <w:b/>
                      <w:bCs/>
                    </w:rPr>
                    <w:t>序号</w:t>
                  </w:r>
                </w:p>
              </w:tc>
              <w:tc>
                <w:tcPr>
                  <w:tcW w:w="1134" w:type="dxa"/>
                  <w:vAlign w:val="center"/>
                </w:tcPr>
                <w:p>
                  <w:pPr>
                    <w:pStyle w:val="136"/>
                    <w:adjustRightInd w:val="0"/>
                    <w:snapToGrid w:val="0"/>
                    <w:rPr>
                      <w:b/>
                      <w:bCs/>
                    </w:rPr>
                  </w:pPr>
                  <w:r>
                    <w:rPr>
                      <w:rFonts w:hint="eastAsia"/>
                      <w:b/>
                      <w:bCs/>
                    </w:rPr>
                    <w:t>类别</w:t>
                  </w:r>
                </w:p>
              </w:tc>
              <w:tc>
                <w:tcPr>
                  <w:tcW w:w="6430" w:type="dxa"/>
                  <w:vAlign w:val="center"/>
                </w:tcPr>
                <w:p>
                  <w:pPr>
                    <w:pStyle w:val="136"/>
                    <w:adjustRightInd w:val="0"/>
                    <w:snapToGrid w:val="0"/>
                    <w:rPr>
                      <w:b/>
                      <w:bCs/>
                    </w:rPr>
                  </w:pPr>
                  <w:r>
                    <w:rPr>
                      <w:rFonts w:hint="eastAsia"/>
                      <w:b/>
                      <w:bCs/>
                    </w:rPr>
                    <w:t>监测指标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53" w:type="dxa"/>
                  <w:vAlign w:val="center"/>
                </w:tcPr>
                <w:p>
                  <w:pPr>
                    <w:pStyle w:val="136"/>
                    <w:adjustRightInd w:val="0"/>
                    <w:snapToGrid w:val="0"/>
                  </w:pPr>
                  <w:r>
                    <w:rPr>
                      <w:rFonts w:hint="eastAsia"/>
                    </w:rPr>
                    <w:t>1</w:t>
                  </w:r>
                </w:p>
              </w:tc>
              <w:tc>
                <w:tcPr>
                  <w:tcW w:w="1134" w:type="dxa"/>
                  <w:vAlign w:val="center"/>
                </w:tcPr>
                <w:p>
                  <w:pPr>
                    <w:pStyle w:val="136"/>
                    <w:adjustRightInd w:val="0"/>
                    <w:snapToGrid w:val="0"/>
                  </w:pPr>
                  <w:r>
                    <w:rPr>
                      <w:rFonts w:hint="eastAsia"/>
                    </w:rPr>
                    <w:t>地表水</w:t>
                  </w:r>
                </w:p>
              </w:tc>
              <w:tc>
                <w:tcPr>
                  <w:tcW w:w="6430" w:type="dxa"/>
                  <w:vAlign w:val="center"/>
                </w:tcPr>
                <w:p>
                  <w:pPr>
                    <w:pStyle w:val="136"/>
                    <w:adjustRightInd w:val="0"/>
                    <w:snapToGrid w:val="0"/>
                    <w:jc w:val="both"/>
                  </w:pPr>
                  <w:r>
                    <w:rPr>
                      <w:rFonts w:hint="eastAsia"/>
                    </w:rPr>
                    <w:t>水温（℃）、pH值（无量纲）、溶解氧、高锰酸盐指数、化学需氧量、五日生化需氧量、氨氮、总磷、总氮（湖、库、以N计）、铜、锌、氟化物（以F</w:t>
                  </w:r>
                  <w:r>
                    <w:rPr>
                      <w:rFonts w:hint="eastAsia"/>
                      <w:vertAlign w:val="superscript"/>
                    </w:rPr>
                    <w:t>-</w:t>
                  </w:r>
                  <w:r>
                    <w:rPr>
                      <w:rFonts w:hint="eastAsia"/>
                    </w:rPr>
                    <w:t>计算）、硒、砷、汞、镉、铬（六价）、铅、氰化物、挥发酚、石油类、阴离子表面活化剂、硫化物、粪大肠菌群（个/L），共计2</w:t>
                  </w:r>
                  <w:r>
                    <w:t>4</w:t>
                  </w:r>
                  <w:r>
                    <w:rPr>
                      <w:rFonts w:hint="eastAsia"/>
                    </w:rPr>
                    <w:t>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53" w:type="dxa"/>
                  <w:vAlign w:val="center"/>
                </w:tcPr>
                <w:p>
                  <w:pPr>
                    <w:pStyle w:val="136"/>
                    <w:adjustRightInd w:val="0"/>
                    <w:snapToGrid w:val="0"/>
                  </w:pPr>
                  <w:r>
                    <w:rPr>
                      <w:rFonts w:hint="eastAsia"/>
                    </w:rPr>
                    <w:t>2</w:t>
                  </w:r>
                </w:p>
              </w:tc>
              <w:tc>
                <w:tcPr>
                  <w:tcW w:w="1134" w:type="dxa"/>
                  <w:vAlign w:val="center"/>
                </w:tcPr>
                <w:p>
                  <w:pPr>
                    <w:pStyle w:val="136"/>
                    <w:adjustRightInd w:val="0"/>
                    <w:snapToGrid w:val="0"/>
                  </w:pPr>
                  <w:r>
                    <w:rPr>
                      <w:rFonts w:hint="eastAsia"/>
                    </w:rPr>
                    <w:t>饮用水源</w:t>
                  </w:r>
                </w:p>
              </w:tc>
              <w:tc>
                <w:tcPr>
                  <w:tcW w:w="6430" w:type="dxa"/>
                  <w:vAlign w:val="center"/>
                </w:tcPr>
                <w:p>
                  <w:pPr>
                    <w:pStyle w:val="136"/>
                    <w:adjustRightInd w:val="0"/>
                    <w:snapToGrid w:val="0"/>
                    <w:jc w:val="both"/>
                  </w:pPr>
                  <w:r>
                    <w:rPr>
                      <w:rFonts w:hint="eastAsia"/>
                    </w:rPr>
                    <w:t>水温（℃）、pH值（无量纲）、溶解氧、高锰酸盐指数、化学需氧量、五日生化需氧量、氨氮、总磷、总氮（湖、库、以N计）、铜、锌、氟化物（以F</w:t>
                  </w:r>
                  <w:r>
                    <w:rPr>
                      <w:rFonts w:hint="eastAsia"/>
                      <w:vertAlign w:val="superscript"/>
                    </w:rPr>
                    <w:t>-</w:t>
                  </w:r>
                  <w:r>
                    <w:rPr>
                      <w:rFonts w:hint="eastAsia"/>
                    </w:rPr>
                    <w:t>计算）、硒、砷、汞、镉、铬（六价）、铅、氰化物、挥发酚、石油类、阴离子表面活化剂、硫化物、粪大肠菌群（个/L），铁、锰、铝、硫酸盐、氯化物、总硬度，共计</w:t>
                  </w:r>
                  <w:r>
                    <w:t>30</w:t>
                  </w:r>
                  <w:r>
                    <w:rPr>
                      <w:rFonts w:hint="eastAsia"/>
                    </w:rPr>
                    <w:t>项。</w:t>
                  </w:r>
                </w:p>
              </w:tc>
            </w:tr>
          </w:tbl>
          <w:p>
            <w:pPr>
              <w:ind w:firstLine="480"/>
            </w:pPr>
            <w:r>
              <w:rPr>
                <w:rFonts w:hint="eastAsia"/>
              </w:rPr>
              <w:t>服务对象及监测频率如下表所示：</w:t>
            </w:r>
          </w:p>
          <w:p>
            <w:pPr>
              <w:pStyle w:val="157"/>
            </w:pPr>
            <w:r>
              <w:rPr>
                <w:rFonts w:hint="eastAsia"/>
              </w:rPr>
              <w:t>表2</w:t>
            </w:r>
            <w:r>
              <w:t xml:space="preserve">.1-2  </w:t>
            </w:r>
            <w:r>
              <w:rPr>
                <w:rFonts w:hint="eastAsia"/>
              </w:rPr>
              <w:t>本项目服务对象及监测频次一览表</w:t>
            </w:r>
          </w:p>
          <w:tbl>
            <w:tblPr>
              <w:tblStyle w:val="19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57"/>
              <w:gridCol w:w="1658"/>
              <w:gridCol w:w="1428"/>
              <w:gridCol w:w="3731"/>
              <w:gridCol w:w="8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82" w:type="pct"/>
                  <w:vAlign w:val="center"/>
                </w:tcPr>
                <w:p>
                  <w:pPr>
                    <w:pStyle w:val="136"/>
                    <w:adjustRightInd w:val="0"/>
                    <w:snapToGrid w:val="0"/>
                    <w:rPr>
                      <w:b/>
                      <w:bCs/>
                    </w:rPr>
                  </w:pPr>
                  <w:r>
                    <w:rPr>
                      <w:rFonts w:hint="eastAsia"/>
                      <w:b/>
                      <w:bCs/>
                    </w:rPr>
                    <w:t>序号</w:t>
                  </w:r>
                </w:p>
              </w:tc>
              <w:tc>
                <w:tcPr>
                  <w:tcW w:w="1023" w:type="pct"/>
                  <w:vAlign w:val="center"/>
                </w:tcPr>
                <w:p>
                  <w:pPr>
                    <w:pStyle w:val="136"/>
                    <w:adjustRightInd w:val="0"/>
                    <w:snapToGrid w:val="0"/>
                    <w:rPr>
                      <w:b/>
                      <w:bCs/>
                    </w:rPr>
                  </w:pPr>
                  <w:r>
                    <w:rPr>
                      <w:rFonts w:hint="eastAsia"/>
                      <w:b/>
                      <w:bCs/>
                    </w:rPr>
                    <w:t>测站/断面名称</w:t>
                  </w:r>
                </w:p>
              </w:tc>
              <w:tc>
                <w:tcPr>
                  <w:tcW w:w="881" w:type="pct"/>
                  <w:vAlign w:val="center"/>
                </w:tcPr>
                <w:p>
                  <w:pPr>
                    <w:pStyle w:val="136"/>
                    <w:adjustRightInd w:val="0"/>
                    <w:snapToGrid w:val="0"/>
                    <w:rPr>
                      <w:b/>
                      <w:bCs/>
                    </w:rPr>
                  </w:pPr>
                  <w:r>
                    <w:rPr>
                      <w:rFonts w:hint="eastAsia"/>
                      <w:b/>
                      <w:bCs/>
                    </w:rPr>
                    <w:t>测站/断面等级</w:t>
                  </w:r>
                </w:p>
              </w:tc>
              <w:tc>
                <w:tcPr>
                  <w:tcW w:w="2302" w:type="pct"/>
                  <w:vAlign w:val="center"/>
                </w:tcPr>
                <w:p>
                  <w:pPr>
                    <w:pStyle w:val="136"/>
                    <w:adjustRightInd w:val="0"/>
                    <w:snapToGrid w:val="0"/>
                    <w:rPr>
                      <w:b/>
                      <w:bCs/>
                    </w:rPr>
                  </w:pPr>
                  <w:r>
                    <w:rPr>
                      <w:rFonts w:hint="eastAsia"/>
                      <w:b/>
                      <w:bCs/>
                    </w:rPr>
                    <w:t>站址</w:t>
                  </w:r>
                </w:p>
              </w:tc>
              <w:tc>
                <w:tcPr>
                  <w:tcW w:w="512" w:type="pct"/>
                  <w:vAlign w:val="center"/>
                </w:tcPr>
                <w:p>
                  <w:pPr>
                    <w:pStyle w:val="136"/>
                    <w:adjustRightInd w:val="0"/>
                    <w:snapToGrid w:val="0"/>
                    <w:rPr>
                      <w:b/>
                      <w:bCs/>
                    </w:rPr>
                  </w:pPr>
                  <w:r>
                    <w:rPr>
                      <w:rFonts w:hint="eastAsia"/>
                      <w:b/>
                      <w:bCs/>
                    </w:rPr>
                    <w:t>监测频次（次/年）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82" w:type="pct"/>
                  <w:vAlign w:val="center"/>
                </w:tcPr>
                <w:p>
                  <w:pPr>
                    <w:pStyle w:val="136"/>
                    <w:adjustRightInd w:val="0"/>
                    <w:snapToGrid w:val="0"/>
                  </w:pPr>
                  <w:r>
                    <w:rPr>
                      <w:rFonts w:hint="eastAsia"/>
                    </w:rPr>
                    <w:t>1</w:t>
                  </w:r>
                </w:p>
              </w:tc>
              <w:tc>
                <w:tcPr>
                  <w:tcW w:w="1023" w:type="pct"/>
                  <w:vAlign w:val="center"/>
                </w:tcPr>
                <w:p>
                  <w:pPr>
                    <w:pStyle w:val="136"/>
                    <w:adjustRightInd w:val="0"/>
                    <w:snapToGrid w:val="0"/>
                  </w:pPr>
                  <w:r>
                    <w:rPr>
                      <w:rFonts w:hint="eastAsia"/>
                    </w:rPr>
                    <w:t>养生潭</w:t>
                  </w:r>
                </w:p>
              </w:tc>
              <w:tc>
                <w:tcPr>
                  <w:tcW w:w="881" w:type="pct"/>
                  <w:vAlign w:val="center"/>
                </w:tcPr>
                <w:p>
                  <w:pPr>
                    <w:pStyle w:val="136"/>
                    <w:adjustRightInd w:val="0"/>
                    <w:snapToGrid w:val="0"/>
                  </w:pPr>
                  <w:r>
                    <w:rPr>
                      <w:rFonts w:hint="eastAsia"/>
                    </w:rPr>
                    <w:t>国家级（重点）</w:t>
                  </w:r>
                </w:p>
              </w:tc>
              <w:tc>
                <w:tcPr>
                  <w:tcW w:w="2302" w:type="pct"/>
                  <w:vAlign w:val="center"/>
                </w:tcPr>
                <w:p>
                  <w:pPr>
                    <w:pStyle w:val="136"/>
                    <w:adjustRightInd w:val="0"/>
                    <w:snapToGrid w:val="0"/>
                  </w:pPr>
                  <w:r>
                    <w:rPr>
                      <w:rFonts w:hint="eastAsia"/>
                    </w:rPr>
                    <w:t>巴中市南江县南江镇琉璃寺庙门口上游约</w:t>
                  </w:r>
                  <w:r>
                    <w:t xml:space="preserve">50 </w:t>
                  </w:r>
                  <w:r>
                    <w:rPr>
                      <w:rFonts w:hint="eastAsia"/>
                    </w:rPr>
                    <w:t>米</w:t>
                  </w:r>
                </w:p>
              </w:tc>
              <w:tc>
                <w:tcPr>
                  <w:tcW w:w="512" w:type="pct"/>
                  <w:vAlign w:val="center"/>
                </w:tcPr>
                <w:p>
                  <w:pPr>
                    <w:pStyle w:val="136"/>
                    <w:adjustRightInd w:val="0"/>
                    <w:snapToGrid w:val="0"/>
                  </w:pPr>
                  <w:r>
                    <w:rPr>
                      <w:rFonts w:hint="eastAsia"/>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82" w:type="pct"/>
                  <w:vAlign w:val="center"/>
                </w:tcPr>
                <w:p>
                  <w:pPr>
                    <w:pStyle w:val="136"/>
                    <w:adjustRightInd w:val="0"/>
                    <w:snapToGrid w:val="0"/>
                  </w:pPr>
                  <w:r>
                    <w:rPr>
                      <w:rFonts w:hint="eastAsia"/>
                    </w:rPr>
                    <w:t>2</w:t>
                  </w:r>
                </w:p>
              </w:tc>
              <w:tc>
                <w:tcPr>
                  <w:tcW w:w="1023" w:type="pct"/>
                  <w:vAlign w:val="center"/>
                </w:tcPr>
                <w:p>
                  <w:pPr>
                    <w:pStyle w:val="136"/>
                    <w:adjustRightInd w:val="0"/>
                    <w:snapToGrid w:val="0"/>
                  </w:pPr>
                  <w:r>
                    <w:rPr>
                      <w:rFonts w:hint="eastAsia"/>
                    </w:rPr>
                    <w:t>金台水库</w:t>
                  </w:r>
                </w:p>
              </w:tc>
              <w:tc>
                <w:tcPr>
                  <w:tcW w:w="881" w:type="pct"/>
                  <w:vAlign w:val="center"/>
                </w:tcPr>
                <w:p>
                  <w:pPr>
                    <w:pStyle w:val="136"/>
                    <w:adjustRightInd w:val="0"/>
                    <w:snapToGrid w:val="0"/>
                  </w:pPr>
                  <w:r>
                    <w:rPr>
                      <w:rFonts w:hint="eastAsia"/>
                    </w:rPr>
                    <w:t>中型水库</w:t>
                  </w:r>
                </w:p>
              </w:tc>
              <w:tc>
                <w:tcPr>
                  <w:tcW w:w="2302" w:type="pct"/>
                  <w:vAlign w:val="center"/>
                </w:tcPr>
                <w:p>
                  <w:pPr>
                    <w:pStyle w:val="136"/>
                    <w:adjustRightInd w:val="0"/>
                    <w:snapToGrid w:val="0"/>
                  </w:pPr>
                  <w:r>
                    <w:rPr>
                      <w:rFonts w:hint="eastAsia"/>
                    </w:rPr>
                    <w:t>巴中市南江县公山镇流坝乡梅岭村</w:t>
                  </w:r>
                </w:p>
              </w:tc>
              <w:tc>
                <w:tcPr>
                  <w:tcW w:w="512" w:type="pct"/>
                  <w:vAlign w:val="center"/>
                </w:tcPr>
                <w:p>
                  <w:pPr>
                    <w:pStyle w:val="136"/>
                    <w:adjustRightInd w:val="0"/>
                    <w:snapToGrid w:val="0"/>
                  </w:pPr>
                  <w:r>
                    <w:rPr>
                      <w:rFonts w:hint="eastAsia"/>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82" w:type="pct"/>
                  <w:vAlign w:val="center"/>
                </w:tcPr>
                <w:p>
                  <w:pPr>
                    <w:pStyle w:val="136"/>
                    <w:adjustRightInd w:val="0"/>
                    <w:snapToGrid w:val="0"/>
                  </w:pPr>
                  <w:r>
                    <w:rPr>
                      <w:rFonts w:hint="eastAsia"/>
                    </w:rPr>
                    <w:t>3</w:t>
                  </w:r>
                </w:p>
              </w:tc>
              <w:tc>
                <w:tcPr>
                  <w:tcW w:w="1023" w:type="pct"/>
                  <w:vAlign w:val="center"/>
                </w:tcPr>
                <w:p>
                  <w:pPr>
                    <w:pStyle w:val="136"/>
                    <w:adjustRightInd w:val="0"/>
                    <w:snapToGrid w:val="0"/>
                  </w:pPr>
                  <w:r>
                    <w:rPr>
                      <w:rFonts w:hint="eastAsia"/>
                    </w:rPr>
                    <w:t>巴中（二）</w:t>
                  </w:r>
                </w:p>
              </w:tc>
              <w:tc>
                <w:tcPr>
                  <w:tcW w:w="881" w:type="pct"/>
                  <w:vAlign w:val="center"/>
                </w:tcPr>
                <w:p>
                  <w:pPr>
                    <w:pStyle w:val="136"/>
                    <w:adjustRightInd w:val="0"/>
                    <w:snapToGrid w:val="0"/>
                  </w:pPr>
                  <w:r>
                    <w:rPr>
                      <w:rFonts w:hint="eastAsia"/>
                    </w:rPr>
                    <w:t>国家级（重点）</w:t>
                  </w:r>
                </w:p>
              </w:tc>
              <w:tc>
                <w:tcPr>
                  <w:tcW w:w="2302" w:type="pct"/>
                  <w:vAlign w:val="center"/>
                </w:tcPr>
                <w:p>
                  <w:pPr>
                    <w:pStyle w:val="136"/>
                    <w:adjustRightInd w:val="0"/>
                    <w:snapToGrid w:val="0"/>
                  </w:pPr>
                  <w:r>
                    <w:rPr>
                      <w:rFonts w:hint="eastAsia"/>
                    </w:rPr>
                    <w:t>巴中市巴州区枣林镇清滩电站大坝上游约</w:t>
                  </w:r>
                  <w:r>
                    <w:t xml:space="preserve">30 </w:t>
                  </w:r>
                  <w:r>
                    <w:rPr>
                      <w:rFonts w:hint="eastAsia"/>
                    </w:rPr>
                    <w:t>米（巴中水文站）</w:t>
                  </w:r>
                </w:p>
              </w:tc>
              <w:tc>
                <w:tcPr>
                  <w:tcW w:w="512" w:type="pct"/>
                  <w:vAlign w:val="center"/>
                </w:tcPr>
                <w:p>
                  <w:pPr>
                    <w:pStyle w:val="136"/>
                    <w:adjustRightInd w:val="0"/>
                    <w:snapToGrid w:val="0"/>
                  </w:pPr>
                  <w:r>
                    <w:rPr>
                      <w:rFonts w:hint="eastAsia"/>
                    </w:rPr>
                    <w:t>1</w:t>
                  </w:r>
                  <w: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82" w:type="pct"/>
                  <w:vAlign w:val="center"/>
                </w:tcPr>
                <w:p>
                  <w:pPr>
                    <w:pStyle w:val="136"/>
                    <w:adjustRightInd w:val="0"/>
                    <w:snapToGrid w:val="0"/>
                  </w:pPr>
                  <w:r>
                    <w:rPr>
                      <w:rFonts w:hint="eastAsia"/>
                    </w:rPr>
                    <w:t>4</w:t>
                  </w:r>
                </w:p>
              </w:tc>
              <w:tc>
                <w:tcPr>
                  <w:tcW w:w="1023" w:type="pct"/>
                  <w:vAlign w:val="center"/>
                </w:tcPr>
                <w:p>
                  <w:pPr>
                    <w:pStyle w:val="136"/>
                    <w:adjustRightInd w:val="0"/>
                    <w:snapToGrid w:val="0"/>
                  </w:pPr>
                  <w:r>
                    <w:rPr>
                      <w:rFonts w:hint="eastAsia"/>
                    </w:rPr>
                    <w:t>大佛寺（饮用水）</w:t>
                  </w:r>
                </w:p>
              </w:tc>
              <w:tc>
                <w:tcPr>
                  <w:tcW w:w="881" w:type="pct"/>
                  <w:vAlign w:val="center"/>
                </w:tcPr>
                <w:p>
                  <w:pPr>
                    <w:pStyle w:val="136"/>
                    <w:adjustRightInd w:val="0"/>
                    <w:snapToGrid w:val="0"/>
                  </w:pPr>
                  <w:r>
                    <w:rPr>
                      <w:rFonts w:hint="eastAsia"/>
                    </w:rPr>
                    <w:t>国家重要饮用水源</w:t>
                  </w:r>
                </w:p>
              </w:tc>
              <w:tc>
                <w:tcPr>
                  <w:tcW w:w="2302" w:type="pct"/>
                  <w:vAlign w:val="center"/>
                </w:tcPr>
                <w:p>
                  <w:pPr>
                    <w:pStyle w:val="136"/>
                    <w:adjustRightInd w:val="0"/>
                    <w:snapToGrid w:val="0"/>
                  </w:pPr>
                  <w:r>
                    <w:rPr>
                      <w:rFonts w:hint="eastAsia"/>
                    </w:rPr>
                    <w:t>巴中市巴州区大佛寺大桥上游约</w:t>
                  </w:r>
                  <w:r>
                    <w:t xml:space="preserve">300 </w:t>
                  </w:r>
                  <w:r>
                    <w:rPr>
                      <w:rFonts w:hint="eastAsia"/>
                    </w:rPr>
                    <w:t>米</w:t>
                  </w:r>
                </w:p>
              </w:tc>
              <w:tc>
                <w:tcPr>
                  <w:tcW w:w="512" w:type="pct"/>
                  <w:vAlign w:val="center"/>
                </w:tcPr>
                <w:p>
                  <w:pPr>
                    <w:pStyle w:val="136"/>
                    <w:adjustRightInd w:val="0"/>
                    <w:snapToGrid w:val="0"/>
                  </w:pPr>
                  <w:r>
                    <w:rPr>
                      <w:rFonts w:hint="eastAsia"/>
                    </w:rPr>
                    <w:t>1</w:t>
                  </w:r>
                  <w: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82" w:type="pct"/>
                  <w:vAlign w:val="center"/>
                </w:tcPr>
                <w:p>
                  <w:pPr>
                    <w:pStyle w:val="136"/>
                    <w:adjustRightInd w:val="0"/>
                    <w:snapToGrid w:val="0"/>
                  </w:pPr>
                  <w:r>
                    <w:rPr>
                      <w:rFonts w:hint="eastAsia"/>
                    </w:rPr>
                    <w:t>5</w:t>
                  </w:r>
                </w:p>
              </w:tc>
              <w:tc>
                <w:tcPr>
                  <w:tcW w:w="1023" w:type="pct"/>
                  <w:vAlign w:val="center"/>
                </w:tcPr>
                <w:p>
                  <w:pPr>
                    <w:pStyle w:val="136"/>
                    <w:adjustRightInd w:val="0"/>
                    <w:snapToGrid w:val="0"/>
                  </w:pPr>
                  <w:r>
                    <w:rPr>
                      <w:rFonts w:hint="eastAsia"/>
                    </w:rPr>
                    <w:t>七里沱（二）</w:t>
                  </w:r>
                </w:p>
              </w:tc>
              <w:tc>
                <w:tcPr>
                  <w:tcW w:w="881" w:type="pct"/>
                  <w:vAlign w:val="center"/>
                </w:tcPr>
                <w:p>
                  <w:pPr>
                    <w:pStyle w:val="136"/>
                    <w:adjustRightInd w:val="0"/>
                    <w:snapToGrid w:val="0"/>
                  </w:pPr>
                  <w:r>
                    <w:rPr>
                      <w:rFonts w:hint="eastAsia"/>
                    </w:rPr>
                    <w:t>国家级（重点）</w:t>
                  </w:r>
                </w:p>
              </w:tc>
              <w:tc>
                <w:tcPr>
                  <w:tcW w:w="2302" w:type="pct"/>
                  <w:vAlign w:val="center"/>
                </w:tcPr>
                <w:p>
                  <w:pPr>
                    <w:pStyle w:val="136"/>
                    <w:adjustRightInd w:val="0"/>
                    <w:snapToGrid w:val="0"/>
                  </w:pPr>
                  <w:r>
                    <w:rPr>
                      <w:rFonts w:hint="eastAsia"/>
                    </w:rPr>
                    <w:t>巴中市平昌县兰草镇兰草大桥上游约</w:t>
                  </w:r>
                  <w:r>
                    <w:t xml:space="preserve">150 </w:t>
                  </w:r>
                  <w:r>
                    <w:rPr>
                      <w:rFonts w:hint="eastAsia"/>
                    </w:rPr>
                    <w:t>米（七里沱水文站）</w:t>
                  </w:r>
                </w:p>
              </w:tc>
              <w:tc>
                <w:tcPr>
                  <w:tcW w:w="512" w:type="pct"/>
                  <w:vAlign w:val="center"/>
                </w:tcPr>
                <w:p>
                  <w:pPr>
                    <w:pStyle w:val="136"/>
                    <w:adjustRightInd w:val="0"/>
                    <w:snapToGrid w:val="0"/>
                  </w:pPr>
                  <w:r>
                    <w:rPr>
                      <w:rFonts w:hint="eastAsia"/>
                    </w:rPr>
                    <w:t>1</w:t>
                  </w:r>
                  <w: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82" w:type="pct"/>
                  <w:vAlign w:val="center"/>
                </w:tcPr>
                <w:p>
                  <w:pPr>
                    <w:pStyle w:val="136"/>
                    <w:adjustRightInd w:val="0"/>
                    <w:snapToGrid w:val="0"/>
                  </w:pPr>
                  <w:r>
                    <w:rPr>
                      <w:rFonts w:hint="eastAsia"/>
                    </w:rPr>
                    <w:t>6</w:t>
                  </w:r>
                </w:p>
              </w:tc>
              <w:tc>
                <w:tcPr>
                  <w:tcW w:w="1023" w:type="pct"/>
                  <w:vAlign w:val="center"/>
                </w:tcPr>
                <w:p>
                  <w:pPr>
                    <w:pStyle w:val="136"/>
                    <w:adjustRightInd w:val="0"/>
                    <w:snapToGrid w:val="0"/>
                  </w:pPr>
                  <w:r>
                    <w:rPr>
                      <w:rFonts w:hint="eastAsia"/>
                    </w:rPr>
                    <w:t>风滩</w:t>
                  </w:r>
                </w:p>
              </w:tc>
              <w:tc>
                <w:tcPr>
                  <w:tcW w:w="881" w:type="pct"/>
                  <w:vAlign w:val="center"/>
                </w:tcPr>
                <w:p>
                  <w:pPr>
                    <w:pStyle w:val="136"/>
                    <w:adjustRightInd w:val="0"/>
                    <w:snapToGrid w:val="0"/>
                  </w:pPr>
                  <w:r>
                    <w:rPr>
                      <w:rFonts w:hint="eastAsia"/>
                    </w:rPr>
                    <w:t>国家级（重点）</w:t>
                  </w:r>
                </w:p>
              </w:tc>
              <w:tc>
                <w:tcPr>
                  <w:tcW w:w="2302" w:type="pct"/>
                  <w:vAlign w:val="center"/>
                </w:tcPr>
                <w:p>
                  <w:pPr>
                    <w:pStyle w:val="136"/>
                    <w:adjustRightInd w:val="0"/>
                    <w:snapToGrid w:val="0"/>
                  </w:pPr>
                  <w:r>
                    <w:rPr>
                      <w:rFonts w:hint="eastAsia"/>
                    </w:rPr>
                    <w:t>巴中市平昌县尖山乡红庙村（风滩水文站）</w:t>
                  </w:r>
                </w:p>
              </w:tc>
              <w:tc>
                <w:tcPr>
                  <w:tcW w:w="512" w:type="pct"/>
                  <w:vAlign w:val="center"/>
                </w:tcPr>
                <w:p>
                  <w:pPr>
                    <w:pStyle w:val="136"/>
                    <w:adjustRightInd w:val="0"/>
                    <w:snapToGrid w:val="0"/>
                  </w:pPr>
                  <w:r>
                    <w:rPr>
                      <w:rFonts w:hint="eastAsia"/>
                    </w:rPr>
                    <w:t>1</w:t>
                  </w:r>
                  <w: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82" w:type="pct"/>
                  <w:vAlign w:val="center"/>
                </w:tcPr>
                <w:p>
                  <w:pPr>
                    <w:pStyle w:val="136"/>
                    <w:adjustRightInd w:val="0"/>
                    <w:snapToGrid w:val="0"/>
                  </w:pPr>
                  <w:r>
                    <w:rPr>
                      <w:rFonts w:hint="eastAsia"/>
                    </w:rPr>
                    <w:t>7</w:t>
                  </w:r>
                </w:p>
              </w:tc>
              <w:tc>
                <w:tcPr>
                  <w:tcW w:w="1023" w:type="pct"/>
                  <w:vAlign w:val="center"/>
                </w:tcPr>
                <w:p>
                  <w:pPr>
                    <w:pStyle w:val="136"/>
                    <w:adjustRightInd w:val="0"/>
                    <w:snapToGrid w:val="0"/>
                  </w:pPr>
                  <w:r>
                    <w:rPr>
                      <w:rFonts w:hint="eastAsia"/>
                    </w:rPr>
                    <w:t>化成水库（饮用水）</w:t>
                  </w:r>
                </w:p>
              </w:tc>
              <w:tc>
                <w:tcPr>
                  <w:tcW w:w="881" w:type="pct"/>
                  <w:vAlign w:val="center"/>
                </w:tcPr>
                <w:p>
                  <w:pPr>
                    <w:pStyle w:val="136"/>
                    <w:adjustRightInd w:val="0"/>
                    <w:snapToGrid w:val="0"/>
                  </w:pPr>
                  <w:r>
                    <w:rPr>
                      <w:rFonts w:hint="eastAsia"/>
                    </w:rPr>
                    <w:t>国家重要饮用水源</w:t>
                  </w:r>
                </w:p>
              </w:tc>
              <w:tc>
                <w:tcPr>
                  <w:tcW w:w="2302" w:type="pct"/>
                  <w:vAlign w:val="center"/>
                </w:tcPr>
                <w:p>
                  <w:pPr>
                    <w:pStyle w:val="136"/>
                    <w:adjustRightInd w:val="0"/>
                    <w:snapToGrid w:val="0"/>
                  </w:pPr>
                  <w:r>
                    <w:rPr>
                      <w:rFonts w:hint="eastAsia"/>
                    </w:rPr>
                    <w:t>巴中市巴州区化成镇</w:t>
                  </w:r>
                </w:p>
              </w:tc>
              <w:tc>
                <w:tcPr>
                  <w:tcW w:w="512" w:type="pct"/>
                  <w:vAlign w:val="center"/>
                </w:tcPr>
                <w:p>
                  <w:pPr>
                    <w:pStyle w:val="136"/>
                    <w:adjustRightInd w:val="0"/>
                    <w:snapToGrid w:val="0"/>
                  </w:pPr>
                  <w:r>
                    <w:rPr>
                      <w:rFonts w:hint="eastAsia"/>
                    </w:rPr>
                    <w:t>1</w:t>
                  </w:r>
                  <w: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82" w:type="pct"/>
                  <w:vAlign w:val="center"/>
                </w:tcPr>
                <w:p>
                  <w:pPr>
                    <w:pStyle w:val="136"/>
                    <w:adjustRightInd w:val="0"/>
                    <w:snapToGrid w:val="0"/>
                  </w:pPr>
                  <w:r>
                    <w:rPr>
                      <w:rFonts w:hint="eastAsia"/>
                    </w:rPr>
                    <w:t>8</w:t>
                  </w:r>
                </w:p>
              </w:tc>
              <w:tc>
                <w:tcPr>
                  <w:tcW w:w="1023" w:type="pct"/>
                  <w:vAlign w:val="center"/>
                </w:tcPr>
                <w:p>
                  <w:pPr>
                    <w:pStyle w:val="136"/>
                    <w:adjustRightInd w:val="0"/>
                    <w:snapToGrid w:val="0"/>
                  </w:pPr>
                  <w:r>
                    <w:rPr>
                      <w:rFonts w:hint="eastAsia"/>
                    </w:rPr>
                    <w:t>通江</w:t>
                  </w:r>
                </w:p>
              </w:tc>
              <w:tc>
                <w:tcPr>
                  <w:tcW w:w="881" w:type="pct"/>
                  <w:vAlign w:val="center"/>
                </w:tcPr>
                <w:p>
                  <w:pPr>
                    <w:pStyle w:val="136"/>
                    <w:adjustRightInd w:val="0"/>
                    <w:snapToGrid w:val="0"/>
                  </w:pPr>
                  <w:r>
                    <w:rPr>
                      <w:rFonts w:hint="eastAsia"/>
                    </w:rPr>
                    <w:t>国家级（重点）</w:t>
                  </w:r>
                </w:p>
              </w:tc>
              <w:tc>
                <w:tcPr>
                  <w:tcW w:w="2302" w:type="pct"/>
                  <w:vAlign w:val="center"/>
                </w:tcPr>
                <w:p>
                  <w:pPr>
                    <w:pStyle w:val="136"/>
                    <w:adjustRightInd w:val="0"/>
                    <w:snapToGrid w:val="0"/>
                  </w:pPr>
                  <w:r>
                    <w:rPr>
                      <w:rFonts w:hint="eastAsia"/>
                    </w:rPr>
                    <w:t>巴中市通江县春载乡秦家岭村</w:t>
                  </w:r>
                </w:p>
              </w:tc>
              <w:tc>
                <w:tcPr>
                  <w:tcW w:w="512" w:type="pct"/>
                  <w:vAlign w:val="center"/>
                </w:tcPr>
                <w:p>
                  <w:pPr>
                    <w:pStyle w:val="136"/>
                    <w:adjustRightInd w:val="0"/>
                    <w:snapToGrid w:val="0"/>
                  </w:pPr>
                  <w:r>
                    <w:rPr>
                      <w:rFonts w:hint="eastAsia"/>
                    </w:rPr>
                    <w:t>1</w:t>
                  </w:r>
                  <w: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82" w:type="pct"/>
                  <w:vAlign w:val="center"/>
                </w:tcPr>
                <w:p>
                  <w:pPr>
                    <w:pStyle w:val="136"/>
                    <w:adjustRightInd w:val="0"/>
                    <w:snapToGrid w:val="0"/>
                  </w:pPr>
                  <w:r>
                    <w:rPr>
                      <w:rFonts w:hint="eastAsia"/>
                    </w:rPr>
                    <w:t>9</w:t>
                  </w:r>
                </w:p>
              </w:tc>
              <w:tc>
                <w:tcPr>
                  <w:tcW w:w="1023" w:type="pct"/>
                  <w:vAlign w:val="center"/>
                </w:tcPr>
                <w:p>
                  <w:pPr>
                    <w:pStyle w:val="136"/>
                    <w:adjustRightInd w:val="0"/>
                    <w:snapToGrid w:val="0"/>
                  </w:pPr>
                  <w:r>
                    <w:rPr>
                      <w:rFonts w:hint="eastAsia"/>
                    </w:rPr>
                    <w:t>碧溪（三）</w:t>
                  </w:r>
                </w:p>
              </w:tc>
              <w:tc>
                <w:tcPr>
                  <w:tcW w:w="881" w:type="pct"/>
                  <w:vAlign w:val="center"/>
                </w:tcPr>
                <w:p>
                  <w:pPr>
                    <w:pStyle w:val="136"/>
                    <w:adjustRightInd w:val="0"/>
                    <w:snapToGrid w:val="0"/>
                  </w:pPr>
                  <w:r>
                    <w:rPr>
                      <w:rFonts w:hint="eastAsia"/>
                    </w:rPr>
                    <w:t>国家级（重点）</w:t>
                  </w:r>
                </w:p>
              </w:tc>
              <w:tc>
                <w:tcPr>
                  <w:tcW w:w="2302" w:type="pct"/>
                  <w:vAlign w:val="center"/>
                </w:tcPr>
                <w:p>
                  <w:pPr>
                    <w:pStyle w:val="136"/>
                    <w:adjustRightInd w:val="0"/>
                    <w:snapToGrid w:val="0"/>
                  </w:pPr>
                  <w:r>
                    <w:rPr>
                      <w:rFonts w:hint="eastAsia"/>
                    </w:rPr>
                    <w:t>巴中市通江县永安镇孙家坪村</w:t>
                  </w:r>
                </w:p>
              </w:tc>
              <w:tc>
                <w:tcPr>
                  <w:tcW w:w="512" w:type="pct"/>
                  <w:vAlign w:val="center"/>
                </w:tcPr>
                <w:p>
                  <w:pPr>
                    <w:pStyle w:val="136"/>
                    <w:adjustRightInd w:val="0"/>
                    <w:snapToGrid w:val="0"/>
                  </w:pPr>
                  <w:r>
                    <w:rPr>
                      <w:rFonts w:hint="eastAsia"/>
                    </w:rPr>
                    <w:t>1</w:t>
                  </w:r>
                  <w: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82" w:type="pct"/>
                  <w:vAlign w:val="center"/>
                </w:tcPr>
                <w:p>
                  <w:pPr>
                    <w:pStyle w:val="136"/>
                    <w:adjustRightInd w:val="0"/>
                    <w:snapToGrid w:val="0"/>
                  </w:pPr>
                  <w:r>
                    <w:rPr>
                      <w:rFonts w:hint="eastAsia"/>
                    </w:rPr>
                    <w:t>1</w:t>
                  </w:r>
                  <w:r>
                    <w:t>0</w:t>
                  </w:r>
                </w:p>
              </w:tc>
              <w:tc>
                <w:tcPr>
                  <w:tcW w:w="1023" w:type="pct"/>
                  <w:vAlign w:val="center"/>
                </w:tcPr>
                <w:p>
                  <w:pPr>
                    <w:pStyle w:val="136"/>
                    <w:adjustRightInd w:val="0"/>
                    <w:snapToGrid w:val="0"/>
                  </w:pPr>
                  <w:r>
                    <w:rPr>
                      <w:rFonts w:hint="eastAsia"/>
                    </w:rPr>
                    <w:t>什字坝</w:t>
                  </w:r>
                </w:p>
              </w:tc>
              <w:tc>
                <w:tcPr>
                  <w:tcW w:w="881" w:type="pct"/>
                  <w:vAlign w:val="center"/>
                </w:tcPr>
                <w:p>
                  <w:pPr>
                    <w:pStyle w:val="136"/>
                    <w:adjustRightInd w:val="0"/>
                    <w:snapToGrid w:val="0"/>
                  </w:pPr>
                  <w:r>
                    <w:rPr>
                      <w:rFonts w:hint="eastAsia"/>
                    </w:rPr>
                    <w:t>国家级（重点）</w:t>
                  </w:r>
                </w:p>
              </w:tc>
              <w:tc>
                <w:tcPr>
                  <w:tcW w:w="2302" w:type="pct"/>
                  <w:vAlign w:val="center"/>
                </w:tcPr>
                <w:p>
                  <w:pPr>
                    <w:pStyle w:val="136"/>
                    <w:adjustRightInd w:val="0"/>
                    <w:snapToGrid w:val="0"/>
                  </w:pPr>
                  <w:r>
                    <w:rPr>
                      <w:rFonts w:hint="eastAsia"/>
                    </w:rPr>
                    <w:t>四川省巴中市通江县铁溪镇什字坝村</w:t>
                  </w:r>
                </w:p>
              </w:tc>
              <w:tc>
                <w:tcPr>
                  <w:tcW w:w="512" w:type="pct"/>
                  <w:vAlign w:val="center"/>
                </w:tcPr>
                <w:p>
                  <w:pPr>
                    <w:pStyle w:val="136"/>
                    <w:adjustRightInd w:val="0"/>
                    <w:snapToGrid w:val="0"/>
                  </w:pPr>
                  <w:r>
                    <w:rPr>
                      <w:rFonts w:hint="eastAsia"/>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82" w:type="pct"/>
                  <w:vAlign w:val="center"/>
                </w:tcPr>
                <w:p>
                  <w:pPr>
                    <w:pStyle w:val="136"/>
                    <w:adjustRightInd w:val="0"/>
                    <w:snapToGrid w:val="0"/>
                  </w:pPr>
                  <w:r>
                    <w:rPr>
                      <w:rFonts w:hint="eastAsia"/>
                    </w:rPr>
                    <w:t>1</w:t>
                  </w:r>
                  <w:r>
                    <w:t>1</w:t>
                  </w:r>
                </w:p>
              </w:tc>
              <w:tc>
                <w:tcPr>
                  <w:tcW w:w="1023" w:type="pct"/>
                  <w:vAlign w:val="center"/>
                </w:tcPr>
                <w:p>
                  <w:pPr>
                    <w:pStyle w:val="136"/>
                    <w:adjustRightInd w:val="0"/>
                    <w:snapToGrid w:val="0"/>
                  </w:pPr>
                  <w:r>
                    <w:rPr>
                      <w:rFonts w:hint="eastAsia"/>
                    </w:rPr>
                    <w:t>友谊水库</w:t>
                  </w:r>
                </w:p>
              </w:tc>
              <w:tc>
                <w:tcPr>
                  <w:tcW w:w="881" w:type="pct"/>
                  <w:vAlign w:val="center"/>
                </w:tcPr>
                <w:p>
                  <w:pPr>
                    <w:pStyle w:val="136"/>
                    <w:adjustRightInd w:val="0"/>
                    <w:snapToGrid w:val="0"/>
                  </w:pPr>
                  <w:r>
                    <w:rPr>
                      <w:rFonts w:hint="eastAsia"/>
                    </w:rPr>
                    <w:t>中型水库</w:t>
                  </w:r>
                </w:p>
              </w:tc>
              <w:tc>
                <w:tcPr>
                  <w:tcW w:w="2302" w:type="pct"/>
                  <w:vAlign w:val="center"/>
                </w:tcPr>
                <w:p>
                  <w:pPr>
                    <w:pStyle w:val="136"/>
                    <w:adjustRightInd w:val="0"/>
                    <w:snapToGrid w:val="0"/>
                  </w:pPr>
                  <w:r>
                    <w:rPr>
                      <w:rFonts w:hint="eastAsia"/>
                    </w:rPr>
                    <w:t>巴中市平昌县南风乡</w:t>
                  </w:r>
                </w:p>
              </w:tc>
              <w:tc>
                <w:tcPr>
                  <w:tcW w:w="512" w:type="pct"/>
                  <w:vAlign w:val="center"/>
                </w:tcPr>
                <w:p>
                  <w:pPr>
                    <w:pStyle w:val="136"/>
                    <w:adjustRightInd w:val="0"/>
                    <w:snapToGrid w:val="0"/>
                  </w:pPr>
                  <w:r>
                    <w:rPr>
                      <w:rFonts w:hint="eastAsia"/>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82" w:type="pct"/>
                  <w:vAlign w:val="center"/>
                </w:tcPr>
                <w:p>
                  <w:pPr>
                    <w:pStyle w:val="136"/>
                    <w:adjustRightInd w:val="0"/>
                    <w:snapToGrid w:val="0"/>
                  </w:pPr>
                  <w:r>
                    <w:rPr>
                      <w:rFonts w:hint="eastAsia"/>
                    </w:rPr>
                    <w:t>1</w:t>
                  </w:r>
                  <w:r>
                    <w:t>2</w:t>
                  </w:r>
                </w:p>
              </w:tc>
              <w:tc>
                <w:tcPr>
                  <w:tcW w:w="1023" w:type="pct"/>
                  <w:vAlign w:val="center"/>
                </w:tcPr>
                <w:p>
                  <w:pPr>
                    <w:pStyle w:val="136"/>
                    <w:adjustRightInd w:val="0"/>
                    <w:snapToGrid w:val="0"/>
                  </w:pPr>
                  <w:r>
                    <w:rPr>
                      <w:rFonts w:hint="eastAsia"/>
                    </w:rPr>
                    <w:t>牛角坑水库</w:t>
                  </w:r>
                </w:p>
              </w:tc>
              <w:tc>
                <w:tcPr>
                  <w:tcW w:w="881" w:type="pct"/>
                  <w:vAlign w:val="center"/>
                </w:tcPr>
                <w:p>
                  <w:pPr>
                    <w:pStyle w:val="136"/>
                    <w:adjustRightInd w:val="0"/>
                    <w:snapToGrid w:val="0"/>
                  </w:pPr>
                  <w:r>
                    <w:rPr>
                      <w:rFonts w:hint="eastAsia"/>
                    </w:rPr>
                    <w:t>中型水库</w:t>
                  </w:r>
                </w:p>
              </w:tc>
              <w:tc>
                <w:tcPr>
                  <w:tcW w:w="2302" w:type="pct"/>
                  <w:vAlign w:val="center"/>
                </w:tcPr>
                <w:p>
                  <w:pPr>
                    <w:pStyle w:val="136"/>
                    <w:adjustRightInd w:val="0"/>
                    <w:snapToGrid w:val="0"/>
                  </w:pPr>
                  <w:r>
                    <w:rPr>
                      <w:rFonts w:hint="eastAsia"/>
                    </w:rPr>
                    <w:t>巴中市平昌县泥龙乡</w:t>
                  </w:r>
                </w:p>
              </w:tc>
              <w:tc>
                <w:tcPr>
                  <w:tcW w:w="512" w:type="pct"/>
                  <w:vAlign w:val="center"/>
                </w:tcPr>
                <w:p>
                  <w:pPr>
                    <w:pStyle w:val="136"/>
                    <w:adjustRightInd w:val="0"/>
                    <w:snapToGrid w:val="0"/>
                  </w:pPr>
                  <w:r>
                    <w:rPr>
                      <w:rFonts w:hint="eastAsia"/>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82" w:type="pct"/>
                  <w:vAlign w:val="center"/>
                </w:tcPr>
                <w:p>
                  <w:pPr>
                    <w:pStyle w:val="136"/>
                    <w:adjustRightInd w:val="0"/>
                    <w:snapToGrid w:val="0"/>
                  </w:pPr>
                  <w:r>
                    <w:rPr>
                      <w:rFonts w:hint="eastAsia"/>
                    </w:rPr>
                    <w:t>1</w:t>
                  </w:r>
                  <w:r>
                    <w:t>3</w:t>
                  </w:r>
                </w:p>
              </w:tc>
              <w:tc>
                <w:tcPr>
                  <w:tcW w:w="1023" w:type="pct"/>
                  <w:vAlign w:val="center"/>
                </w:tcPr>
                <w:p>
                  <w:pPr>
                    <w:pStyle w:val="136"/>
                    <w:adjustRightInd w:val="0"/>
                    <w:snapToGrid w:val="0"/>
                  </w:pPr>
                  <w:r>
                    <w:rPr>
                      <w:rFonts w:hint="eastAsia"/>
                    </w:rPr>
                    <w:t>双桥水库</w:t>
                  </w:r>
                </w:p>
              </w:tc>
              <w:tc>
                <w:tcPr>
                  <w:tcW w:w="881" w:type="pct"/>
                  <w:vAlign w:val="center"/>
                </w:tcPr>
                <w:p>
                  <w:pPr>
                    <w:pStyle w:val="136"/>
                    <w:adjustRightInd w:val="0"/>
                    <w:snapToGrid w:val="0"/>
                  </w:pPr>
                  <w:r>
                    <w:rPr>
                      <w:rFonts w:hint="eastAsia"/>
                    </w:rPr>
                    <w:t>中型水库</w:t>
                  </w:r>
                </w:p>
              </w:tc>
              <w:tc>
                <w:tcPr>
                  <w:tcW w:w="2302" w:type="pct"/>
                  <w:vAlign w:val="center"/>
                </w:tcPr>
                <w:p>
                  <w:pPr>
                    <w:pStyle w:val="136"/>
                    <w:adjustRightInd w:val="0"/>
                    <w:snapToGrid w:val="0"/>
                  </w:pPr>
                  <w:r>
                    <w:rPr>
                      <w:rFonts w:hint="eastAsia"/>
                    </w:rPr>
                    <w:t>巴中市平昌县元山镇</w:t>
                  </w:r>
                </w:p>
              </w:tc>
              <w:tc>
                <w:tcPr>
                  <w:tcW w:w="512" w:type="pct"/>
                  <w:vAlign w:val="center"/>
                </w:tcPr>
                <w:p>
                  <w:pPr>
                    <w:pStyle w:val="136"/>
                    <w:adjustRightInd w:val="0"/>
                    <w:snapToGrid w:val="0"/>
                  </w:pPr>
                  <w:r>
                    <w:rPr>
                      <w:rFonts w:hint="eastAsia"/>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82" w:type="pct"/>
                  <w:vAlign w:val="center"/>
                </w:tcPr>
                <w:p>
                  <w:pPr>
                    <w:pStyle w:val="136"/>
                    <w:adjustRightInd w:val="0"/>
                    <w:snapToGrid w:val="0"/>
                  </w:pPr>
                  <w:r>
                    <w:rPr>
                      <w:rFonts w:hint="eastAsia"/>
                    </w:rPr>
                    <w:t>1</w:t>
                  </w:r>
                  <w:r>
                    <w:t>4</w:t>
                  </w:r>
                </w:p>
              </w:tc>
              <w:tc>
                <w:tcPr>
                  <w:tcW w:w="1023" w:type="pct"/>
                  <w:vAlign w:val="center"/>
                </w:tcPr>
                <w:p>
                  <w:pPr>
                    <w:pStyle w:val="136"/>
                    <w:adjustRightInd w:val="0"/>
                    <w:snapToGrid w:val="0"/>
                  </w:pPr>
                  <w:r>
                    <w:rPr>
                      <w:rFonts w:hint="eastAsia"/>
                    </w:rPr>
                    <w:t>龙洞沟水库</w:t>
                  </w:r>
                </w:p>
              </w:tc>
              <w:tc>
                <w:tcPr>
                  <w:tcW w:w="881" w:type="pct"/>
                  <w:vAlign w:val="center"/>
                </w:tcPr>
                <w:p>
                  <w:pPr>
                    <w:pStyle w:val="136"/>
                    <w:adjustRightInd w:val="0"/>
                    <w:snapToGrid w:val="0"/>
                  </w:pPr>
                  <w:r>
                    <w:rPr>
                      <w:rFonts w:hint="eastAsia"/>
                    </w:rPr>
                    <w:t>小型水库</w:t>
                  </w:r>
                </w:p>
              </w:tc>
              <w:tc>
                <w:tcPr>
                  <w:tcW w:w="2302" w:type="pct"/>
                  <w:vAlign w:val="center"/>
                </w:tcPr>
                <w:p>
                  <w:pPr>
                    <w:pStyle w:val="136"/>
                    <w:adjustRightInd w:val="0"/>
                    <w:snapToGrid w:val="0"/>
                  </w:pPr>
                  <w:r>
                    <w:rPr>
                      <w:rFonts w:hint="eastAsia"/>
                    </w:rPr>
                    <w:t>巴中市巴州区鼎山镇</w:t>
                  </w:r>
                </w:p>
              </w:tc>
              <w:tc>
                <w:tcPr>
                  <w:tcW w:w="512" w:type="pct"/>
                  <w:vAlign w:val="center"/>
                </w:tcPr>
                <w:p>
                  <w:pPr>
                    <w:pStyle w:val="136"/>
                    <w:adjustRightInd w:val="0"/>
                    <w:snapToGrid w:val="0"/>
                  </w:pPr>
                  <w:r>
                    <w:rPr>
                      <w:rFonts w:hint="eastAsia"/>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82" w:type="pct"/>
                  <w:vAlign w:val="center"/>
                </w:tcPr>
                <w:p>
                  <w:pPr>
                    <w:pStyle w:val="136"/>
                    <w:adjustRightInd w:val="0"/>
                    <w:snapToGrid w:val="0"/>
                  </w:pPr>
                  <w:r>
                    <w:rPr>
                      <w:rFonts w:hint="eastAsia"/>
                    </w:rPr>
                    <w:t>1</w:t>
                  </w:r>
                  <w:r>
                    <w:t>5</w:t>
                  </w:r>
                </w:p>
              </w:tc>
              <w:tc>
                <w:tcPr>
                  <w:tcW w:w="1023" w:type="pct"/>
                  <w:vAlign w:val="center"/>
                </w:tcPr>
                <w:p>
                  <w:pPr>
                    <w:pStyle w:val="136"/>
                    <w:adjustRightInd w:val="0"/>
                    <w:snapToGrid w:val="0"/>
                  </w:pPr>
                  <w:r>
                    <w:rPr>
                      <w:rFonts w:hint="eastAsia"/>
                    </w:rPr>
                    <w:t>玉堂水库</w:t>
                  </w:r>
                </w:p>
              </w:tc>
              <w:tc>
                <w:tcPr>
                  <w:tcW w:w="881" w:type="pct"/>
                  <w:vAlign w:val="center"/>
                </w:tcPr>
                <w:p>
                  <w:pPr>
                    <w:pStyle w:val="136"/>
                    <w:adjustRightInd w:val="0"/>
                    <w:snapToGrid w:val="0"/>
                  </w:pPr>
                  <w:r>
                    <w:rPr>
                      <w:rFonts w:hint="eastAsia"/>
                    </w:rPr>
                    <w:t>中型水库</w:t>
                  </w:r>
                </w:p>
              </w:tc>
              <w:tc>
                <w:tcPr>
                  <w:tcW w:w="2302" w:type="pct"/>
                  <w:vAlign w:val="center"/>
                </w:tcPr>
                <w:p>
                  <w:pPr>
                    <w:pStyle w:val="136"/>
                    <w:adjustRightInd w:val="0"/>
                    <w:snapToGrid w:val="0"/>
                  </w:pPr>
                  <w:r>
                    <w:rPr>
                      <w:rFonts w:hint="eastAsia"/>
                    </w:rPr>
                    <w:t>巴中市南江县红光乡</w:t>
                  </w:r>
                </w:p>
              </w:tc>
              <w:tc>
                <w:tcPr>
                  <w:tcW w:w="512" w:type="pct"/>
                  <w:vAlign w:val="center"/>
                </w:tcPr>
                <w:p>
                  <w:pPr>
                    <w:pStyle w:val="136"/>
                    <w:adjustRightInd w:val="0"/>
                    <w:snapToGrid w:val="0"/>
                  </w:pPr>
                  <w:r>
                    <w:rPr>
                      <w:rFonts w:hint="eastAsia"/>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82" w:type="pct"/>
                  <w:vAlign w:val="center"/>
                </w:tcPr>
                <w:p>
                  <w:pPr>
                    <w:pStyle w:val="136"/>
                    <w:adjustRightInd w:val="0"/>
                    <w:snapToGrid w:val="0"/>
                  </w:pPr>
                  <w:r>
                    <w:rPr>
                      <w:rFonts w:hint="eastAsia"/>
                    </w:rPr>
                    <w:t>1</w:t>
                  </w:r>
                  <w:r>
                    <w:t>6</w:t>
                  </w:r>
                </w:p>
              </w:tc>
              <w:tc>
                <w:tcPr>
                  <w:tcW w:w="1023" w:type="pct"/>
                  <w:vAlign w:val="center"/>
                </w:tcPr>
                <w:p>
                  <w:pPr>
                    <w:pStyle w:val="136"/>
                    <w:adjustRightInd w:val="0"/>
                    <w:snapToGrid w:val="0"/>
                  </w:pPr>
                  <w:r>
                    <w:rPr>
                      <w:rFonts w:hint="eastAsia"/>
                    </w:rPr>
                    <w:t>关房沟水库</w:t>
                  </w:r>
                </w:p>
              </w:tc>
              <w:tc>
                <w:tcPr>
                  <w:tcW w:w="881" w:type="pct"/>
                  <w:vAlign w:val="center"/>
                </w:tcPr>
                <w:p>
                  <w:pPr>
                    <w:pStyle w:val="136"/>
                    <w:adjustRightInd w:val="0"/>
                    <w:snapToGrid w:val="0"/>
                  </w:pPr>
                  <w:r>
                    <w:rPr>
                      <w:rFonts w:hint="eastAsia"/>
                    </w:rPr>
                    <w:t>小型水库</w:t>
                  </w:r>
                </w:p>
              </w:tc>
              <w:tc>
                <w:tcPr>
                  <w:tcW w:w="2302" w:type="pct"/>
                  <w:vAlign w:val="center"/>
                </w:tcPr>
                <w:p>
                  <w:pPr>
                    <w:pStyle w:val="136"/>
                    <w:adjustRightInd w:val="0"/>
                    <w:snapToGrid w:val="0"/>
                  </w:pPr>
                  <w:r>
                    <w:rPr>
                      <w:rFonts w:hint="eastAsia"/>
                    </w:rPr>
                    <w:t>巴中市南江县长赤镇</w:t>
                  </w:r>
                </w:p>
              </w:tc>
              <w:tc>
                <w:tcPr>
                  <w:tcW w:w="512" w:type="pct"/>
                  <w:vAlign w:val="center"/>
                </w:tcPr>
                <w:p>
                  <w:pPr>
                    <w:pStyle w:val="136"/>
                    <w:adjustRightInd w:val="0"/>
                    <w:snapToGrid w:val="0"/>
                  </w:pPr>
                  <w:r>
                    <w:rPr>
                      <w:rFonts w:hint="eastAsia"/>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82" w:type="pct"/>
                  <w:vAlign w:val="center"/>
                </w:tcPr>
                <w:p>
                  <w:pPr>
                    <w:pStyle w:val="136"/>
                    <w:adjustRightInd w:val="0"/>
                    <w:snapToGrid w:val="0"/>
                  </w:pPr>
                  <w:r>
                    <w:rPr>
                      <w:rFonts w:hint="eastAsia"/>
                    </w:rPr>
                    <w:t>1</w:t>
                  </w:r>
                  <w:r>
                    <w:t>7</w:t>
                  </w:r>
                </w:p>
              </w:tc>
              <w:tc>
                <w:tcPr>
                  <w:tcW w:w="1023" w:type="pct"/>
                  <w:vAlign w:val="center"/>
                </w:tcPr>
                <w:p>
                  <w:pPr>
                    <w:pStyle w:val="136"/>
                    <w:adjustRightInd w:val="0"/>
                    <w:snapToGrid w:val="0"/>
                  </w:pPr>
                  <w:r>
                    <w:rPr>
                      <w:rFonts w:hint="eastAsia"/>
                    </w:rPr>
                    <w:t>红鱼洞水库</w:t>
                  </w:r>
                </w:p>
              </w:tc>
              <w:tc>
                <w:tcPr>
                  <w:tcW w:w="881" w:type="pct"/>
                  <w:vAlign w:val="center"/>
                </w:tcPr>
                <w:p>
                  <w:pPr>
                    <w:pStyle w:val="136"/>
                    <w:adjustRightInd w:val="0"/>
                    <w:snapToGrid w:val="0"/>
                  </w:pPr>
                  <w:r>
                    <w:rPr>
                      <w:rFonts w:hint="eastAsia"/>
                    </w:rPr>
                    <w:t>大型水库</w:t>
                  </w:r>
                </w:p>
              </w:tc>
              <w:tc>
                <w:tcPr>
                  <w:tcW w:w="2302" w:type="pct"/>
                  <w:vAlign w:val="center"/>
                </w:tcPr>
                <w:p>
                  <w:pPr>
                    <w:pStyle w:val="136"/>
                    <w:adjustRightInd w:val="0"/>
                    <w:snapToGrid w:val="0"/>
                  </w:pPr>
                  <w:r>
                    <w:rPr>
                      <w:rFonts w:hint="eastAsia"/>
                    </w:rPr>
                    <w:t>巴中市南江县桥亭乡红鱼洞</w:t>
                  </w:r>
                </w:p>
              </w:tc>
              <w:tc>
                <w:tcPr>
                  <w:tcW w:w="512" w:type="pct"/>
                  <w:vAlign w:val="center"/>
                </w:tcPr>
                <w:p>
                  <w:pPr>
                    <w:pStyle w:val="136"/>
                    <w:adjustRightInd w:val="0"/>
                    <w:snapToGrid w:val="0"/>
                  </w:pPr>
                  <w:r>
                    <w:rPr>
                      <w:rFonts w:hint="eastAsia"/>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82" w:type="pct"/>
                  <w:vAlign w:val="center"/>
                </w:tcPr>
                <w:p>
                  <w:pPr>
                    <w:pStyle w:val="136"/>
                    <w:adjustRightInd w:val="0"/>
                    <w:snapToGrid w:val="0"/>
                  </w:pPr>
                  <w:r>
                    <w:rPr>
                      <w:rFonts w:hint="eastAsia"/>
                    </w:rPr>
                    <w:t>1</w:t>
                  </w:r>
                  <w:r>
                    <w:t>8</w:t>
                  </w:r>
                </w:p>
              </w:tc>
              <w:tc>
                <w:tcPr>
                  <w:tcW w:w="1023" w:type="pct"/>
                  <w:vAlign w:val="center"/>
                </w:tcPr>
                <w:p>
                  <w:pPr>
                    <w:pStyle w:val="136"/>
                    <w:adjustRightInd w:val="0"/>
                    <w:snapToGrid w:val="0"/>
                  </w:pPr>
                  <w:r>
                    <w:rPr>
                      <w:rFonts w:hint="eastAsia"/>
                    </w:rPr>
                    <w:t>黄石盘水库</w:t>
                  </w:r>
                </w:p>
              </w:tc>
              <w:tc>
                <w:tcPr>
                  <w:tcW w:w="881" w:type="pct"/>
                  <w:vAlign w:val="center"/>
                </w:tcPr>
                <w:p>
                  <w:pPr>
                    <w:pStyle w:val="136"/>
                    <w:adjustRightInd w:val="0"/>
                    <w:snapToGrid w:val="0"/>
                  </w:pPr>
                  <w:r>
                    <w:rPr>
                      <w:rFonts w:hint="eastAsia"/>
                    </w:rPr>
                    <w:t>大型水库</w:t>
                  </w:r>
                </w:p>
              </w:tc>
              <w:tc>
                <w:tcPr>
                  <w:tcW w:w="2302" w:type="pct"/>
                  <w:vAlign w:val="center"/>
                </w:tcPr>
                <w:p>
                  <w:pPr>
                    <w:pStyle w:val="136"/>
                    <w:adjustRightInd w:val="0"/>
                    <w:snapToGrid w:val="0"/>
                  </w:pPr>
                  <w:r>
                    <w:rPr>
                      <w:rFonts w:hint="eastAsia"/>
                    </w:rPr>
                    <w:t>巴中市恩阳区登科办事处曾家坝村</w:t>
                  </w:r>
                </w:p>
              </w:tc>
              <w:tc>
                <w:tcPr>
                  <w:tcW w:w="512" w:type="pct"/>
                  <w:vAlign w:val="center"/>
                </w:tcPr>
                <w:p>
                  <w:pPr>
                    <w:pStyle w:val="136"/>
                    <w:adjustRightInd w:val="0"/>
                    <w:snapToGrid w:val="0"/>
                  </w:pPr>
                  <w:r>
                    <w:rPr>
                      <w:rFonts w:hint="eastAsia"/>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488" w:type="pct"/>
                  <w:gridSpan w:val="4"/>
                  <w:vAlign w:val="center"/>
                </w:tcPr>
                <w:p>
                  <w:pPr>
                    <w:pStyle w:val="136"/>
                    <w:adjustRightInd w:val="0"/>
                    <w:snapToGrid w:val="0"/>
                  </w:pPr>
                  <w:r>
                    <w:rPr>
                      <w:rFonts w:hint="eastAsia"/>
                    </w:rPr>
                    <w:t>合计</w:t>
                  </w:r>
                </w:p>
              </w:tc>
              <w:tc>
                <w:tcPr>
                  <w:tcW w:w="512" w:type="pct"/>
                  <w:vAlign w:val="center"/>
                </w:tcPr>
                <w:p>
                  <w:pPr>
                    <w:pStyle w:val="136"/>
                    <w:adjustRightInd w:val="0"/>
                    <w:snapToGrid w:val="0"/>
                  </w:pPr>
                  <w:r>
                    <w:fldChar w:fldCharType="begin"/>
                  </w:r>
                  <w:r>
                    <w:instrText xml:space="preserve"> </w:instrText>
                  </w:r>
                  <w:r>
                    <w:rPr>
                      <w:rFonts w:hint="eastAsia"/>
                    </w:rPr>
                    <w:instrText xml:space="preserve">=SUM(ABOVE)</w:instrText>
                  </w:r>
                  <w:r>
                    <w:instrText xml:space="preserve"> </w:instrText>
                  </w:r>
                  <w:r>
                    <w:fldChar w:fldCharType="separate"/>
                  </w:r>
                  <w:r>
                    <w:t>124</w:t>
                  </w:r>
                  <w:r>
                    <w:fldChar w:fldCharType="end"/>
                  </w:r>
                </w:p>
              </w:tc>
            </w:tr>
          </w:tbl>
          <w:p>
            <w:pPr>
              <w:adjustRightInd w:val="0"/>
              <w:snapToGrid w:val="0"/>
              <w:ind w:firstLine="0" w:firstLineChars="0"/>
              <w:rPr>
                <w:b/>
                <w:bCs/>
                <w:szCs w:val="21"/>
              </w:rPr>
            </w:pPr>
            <w:r>
              <w:rPr>
                <w:b/>
                <w:bCs/>
                <w:szCs w:val="21"/>
              </w:rPr>
              <w:t>3、项目组成</w:t>
            </w:r>
          </w:p>
          <w:p>
            <w:pPr>
              <w:ind w:firstLine="480"/>
            </w:pPr>
            <w:r>
              <w:rPr>
                <w:rFonts w:hint="eastAsia"/>
              </w:rPr>
              <w:t>本</w:t>
            </w:r>
            <w:r>
              <w:t>项目组成如下表所示：</w:t>
            </w:r>
          </w:p>
          <w:p>
            <w:pPr>
              <w:pStyle w:val="157"/>
            </w:pPr>
            <w:r>
              <w:t>表2.1-3  项目组成表及主要环境影响</w:t>
            </w:r>
          </w:p>
          <w:tbl>
            <w:tblPr>
              <w:tblStyle w:val="35"/>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72"/>
              <w:gridCol w:w="812"/>
              <w:gridCol w:w="4861"/>
              <w:gridCol w:w="592"/>
              <w:gridCol w:w="887"/>
              <w:gridCol w:w="48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2" w:type="pct"/>
                  <w:vMerge w:val="restart"/>
                  <w:tcBorders>
                    <w:top w:val="single" w:color="auto" w:sz="12" w:space="0"/>
                  </w:tcBorders>
                  <w:vAlign w:val="center"/>
                </w:tcPr>
                <w:p>
                  <w:pPr>
                    <w:pStyle w:val="136"/>
                    <w:adjustRightInd w:val="0"/>
                    <w:snapToGrid w:val="0"/>
                    <w:rPr>
                      <w:rFonts w:cs="Times New Roman"/>
                      <w:b/>
                      <w:szCs w:val="18"/>
                    </w:rPr>
                  </w:pPr>
                  <w:r>
                    <w:rPr>
                      <w:rFonts w:cs="Times New Roman"/>
                      <w:b/>
                      <w:szCs w:val="18"/>
                    </w:rPr>
                    <w:t>工程类别</w:t>
                  </w:r>
                </w:p>
              </w:tc>
              <w:tc>
                <w:tcPr>
                  <w:tcW w:w="501" w:type="pct"/>
                  <w:vMerge w:val="restart"/>
                  <w:tcBorders>
                    <w:top w:val="single" w:color="auto" w:sz="12" w:space="0"/>
                  </w:tcBorders>
                  <w:vAlign w:val="center"/>
                </w:tcPr>
                <w:p>
                  <w:pPr>
                    <w:pStyle w:val="136"/>
                    <w:adjustRightInd w:val="0"/>
                    <w:snapToGrid w:val="0"/>
                    <w:rPr>
                      <w:rFonts w:cs="Times New Roman"/>
                      <w:b/>
                      <w:szCs w:val="18"/>
                    </w:rPr>
                  </w:pPr>
                  <w:r>
                    <w:rPr>
                      <w:rFonts w:cs="Times New Roman"/>
                      <w:b/>
                      <w:szCs w:val="18"/>
                    </w:rPr>
                    <w:t>项目组成</w:t>
                  </w:r>
                </w:p>
              </w:tc>
              <w:tc>
                <w:tcPr>
                  <w:tcW w:w="2999" w:type="pct"/>
                  <w:vMerge w:val="restart"/>
                  <w:tcBorders>
                    <w:top w:val="single" w:color="auto" w:sz="12" w:space="0"/>
                  </w:tcBorders>
                  <w:vAlign w:val="center"/>
                </w:tcPr>
                <w:p>
                  <w:pPr>
                    <w:pStyle w:val="136"/>
                    <w:adjustRightInd w:val="0"/>
                    <w:snapToGrid w:val="0"/>
                    <w:rPr>
                      <w:rFonts w:cs="Times New Roman"/>
                      <w:b/>
                      <w:szCs w:val="18"/>
                    </w:rPr>
                  </w:pPr>
                  <w:r>
                    <w:rPr>
                      <w:rFonts w:cs="Times New Roman"/>
                      <w:b/>
                      <w:szCs w:val="18"/>
                    </w:rPr>
                    <w:t>项目建设内容</w:t>
                  </w:r>
                </w:p>
              </w:tc>
              <w:tc>
                <w:tcPr>
                  <w:tcW w:w="912" w:type="pct"/>
                  <w:gridSpan w:val="2"/>
                  <w:tcBorders>
                    <w:top w:val="single" w:color="auto" w:sz="12" w:space="0"/>
                  </w:tcBorders>
                  <w:vAlign w:val="center"/>
                </w:tcPr>
                <w:p>
                  <w:pPr>
                    <w:pStyle w:val="136"/>
                    <w:adjustRightInd w:val="0"/>
                    <w:snapToGrid w:val="0"/>
                    <w:rPr>
                      <w:rFonts w:cs="Times New Roman"/>
                      <w:b/>
                      <w:szCs w:val="18"/>
                    </w:rPr>
                  </w:pPr>
                  <w:r>
                    <w:rPr>
                      <w:rFonts w:cs="Times New Roman"/>
                      <w:b/>
                      <w:szCs w:val="18"/>
                    </w:rPr>
                    <w:t>主要环境问题</w:t>
                  </w:r>
                </w:p>
              </w:tc>
              <w:tc>
                <w:tcPr>
                  <w:tcW w:w="296" w:type="pct"/>
                  <w:vMerge w:val="restart"/>
                  <w:tcBorders>
                    <w:top w:val="single" w:color="auto" w:sz="12" w:space="0"/>
                  </w:tcBorders>
                  <w:vAlign w:val="center"/>
                </w:tcPr>
                <w:p>
                  <w:pPr>
                    <w:pStyle w:val="136"/>
                    <w:adjustRightInd w:val="0"/>
                    <w:snapToGrid w:val="0"/>
                    <w:rPr>
                      <w:rFonts w:cs="Times New Roman"/>
                      <w:b/>
                      <w:szCs w:val="18"/>
                    </w:rPr>
                  </w:pPr>
                  <w:r>
                    <w:rPr>
                      <w:rFonts w:hint="eastAsia" w:cs="Times New Roman"/>
                      <w:b/>
                      <w:szCs w:val="18"/>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2" w:type="pct"/>
                  <w:vMerge w:val="continue"/>
                  <w:tcBorders>
                    <w:bottom w:val="single" w:color="auto" w:sz="4" w:space="0"/>
                  </w:tcBorders>
                  <w:vAlign w:val="center"/>
                </w:tcPr>
                <w:p>
                  <w:pPr>
                    <w:pStyle w:val="136"/>
                    <w:adjustRightInd w:val="0"/>
                    <w:snapToGrid w:val="0"/>
                    <w:rPr>
                      <w:rFonts w:cs="Times New Roman"/>
                      <w:szCs w:val="18"/>
                    </w:rPr>
                  </w:pPr>
                </w:p>
              </w:tc>
              <w:tc>
                <w:tcPr>
                  <w:tcW w:w="501" w:type="pct"/>
                  <w:vMerge w:val="continue"/>
                  <w:tcBorders>
                    <w:bottom w:val="single" w:color="auto" w:sz="4" w:space="0"/>
                  </w:tcBorders>
                  <w:vAlign w:val="center"/>
                </w:tcPr>
                <w:p>
                  <w:pPr>
                    <w:pStyle w:val="136"/>
                    <w:adjustRightInd w:val="0"/>
                    <w:snapToGrid w:val="0"/>
                    <w:rPr>
                      <w:rFonts w:cs="Times New Roman"/>
                      <w:szCs w:val="18"/>
                    </w:rPr>
                  </w:pPr>
                </w:p>
              </w:tc>
              <w:tc>
                <w:tcPr>
                  <w:tcW w:w="2999" w:type="pct"/>
                  <w:vMerge w:val="continue"/>
                  <w:tcBorders>
                    <w:bottom w:val="single" w:color="auto" w:sz="4" w:space="0"/>
                  </w:tcBorders>
                  <w:vAlign w:val="center"/>
                </w:tcPr>
                <w:p>
                  <w:pPr>
                    <w:pStyle w:val="136"/>
                    <w:adjustRightInd w:val="0"/>
                    <w:snapToGrid w:val="0"/>
                    <w:rPr>
                      <w:rFonts w:cs="Times New Roman"/>
                      <w:szCs w:val="18"/>
                    </w:rPr>
                  </w:pPr>
                </w:p>
              </w:tc>
              <w:tc>
                <w:tcPr>
                  <w:tcW w:w="365" w:type="pct"/>
                  <w:tcBorders>
                    <w:bottom w:val="single" w:color="auto" w:sz="4" w:space="0"/>
                  </w:tcBorders>
                  <w:vAlign w:val="center"/>
                </w:tcPr>
                <w:p>
                  <w:pPr>
                    <w:pStyle w:val="136"/>
                    <w:adjustRightInd w:val="0"/>
                    <w:snapToGrid w:val="0"/>
                    <w:rPr>
                      <w:rFonts w:cs="Times New Roman"/>
                      <w:b/>
                      <w:szCs w:val="18"/>
                    </w:rPr>
                  </w:pPr>
                  <w:r>
                    <w:rPr>
                      <w:rFonts w:cs="Times New Roman"/>
                      <w:b/>
                      <w:szCs w:val="18"/>
                    </w:rPr>
                    <w:t>施工期</w:t>
                  </w:r>
                </w:p>
              </w:tc>
              <w:tc>
                <w:tcPr>
                  <w:tcW w:w="547" w:type="pct"/>
                  <w:tcBorders>
                    <w:bottom w:val="single" w:color="auto" w:sz="4" w:space="0"/>
                  </w:tcBorders>
                  <w:vAlign w:val="center"/>
                </w:tcPr>
                <w:p>
                  <w:pPr>
                    <w:pStyle w:val="136"/>
                    <w:adjustRightInd w:val="0"/>
                    <w:snapToGrid w:val="0"/>
                    <w:rPr>
                      <w:rFonts w:cs="Times New Roman"/>
                      <w:b/>
                      <w:szCs w:val="18"/>
                    </w:rPr>
                  </w:pPr>
                  <w:r>
                    <w:rPr>
                      <w:rFonts w:cs="Times New Roman"/>
                      <w:b/>
                      <w:szCs w:val="18"/>
                    </w:rPr>
                    <w:t>运营期</w:t>
                  </w:r>
                </w:p>
              </w:tc>
              <w:tc>
                <w:tcPr>
                  <w:tcW w:w="296" w:type="pct"/>
                  <w:vMerge w:val="continue"/>
                  <w:tcBorders>
                    <w:bottom w:val="single" w:color="auto" w:sz="4" w:space="0"/>
                  </w:tcBorders>
                  <w:vAlign w:val="center"/>
                </w:tcPr>
                <w:p>
                  <w:pPr>
                    <w:pStyle w:val="136"/>
                    <w:adjustRightInd w:val="0"/>
                    <w:snapToGrid w:val="0"/>
                    <w:rPr>
                      <w:rFonts w:cs="Times New Roman"/>
                      <w:b/>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2" w:type="pct"/>
                  <w:tcBorders>
                    <w:top w:val="single" w:color="auto" w:sz="4" w:space="0"/>
                  </w:tcBorders>
                  <w:vAlign w:val="center"/>
                </w:tcPr>
                <w:p>
                  <w:pPr>
                    <w:pStyle w:val="136"/>
                    <w:adjustRightInd w:val="0"/>
                    <w:snapToGrid w:val="0"/>
                    <w:rPr>
                      <w:rFonts w:cs="Times New Roman"/>
                      <w:szCs w:val="18"/>
                    </w:rPr>
                  </w:pPr>
                  <w:r>
                    <w:rPr>
                      <w:rFonts w:cs="Times New Roman"/>
                      <w:szCs w:val="18"/>
                    </w:rPr>
                    <w:t>主体工程</w:t>
                  </w:r>
                </w:p>
              </w:tc>
              <w:tc>
                <w:tcPr>
                  <w:tcW w:w="501" w:type="pct"/>
                  <w:tcBorders>
                    <w:top w:val="single" w:color="auto" w:sz="4" w:space="0"/>
                  </w:tcBorders>
                  <w:vAlign w:val="center"/>
                </w:tcPr>
                <w:p>
                  <w:pPr>
                    <w:pStyle w:val="136"/>
                    <w:adjustRightInd w:val="0"/>
                    <w:snapToGrid w:val="0"/>
                    <w:rPr>
                      <w:rFonts w:cs="Times New Roman"/>
                      <w:szCs w:val="18"/>
                    </w:rPr>
                  </w:pPr>
                  <w:r>
                    <w:rPr>
                      <w:rFonts w:hint="eastAsia" w:cs="Times New Roman"/>
                      <w:szCs w:val="18"/>
                    </w:rPr>
                    <w:t>分析实验室</w:t>
                  </w:r>
                </w:p>
              </w:tc>
              <w:tc>
                <w:tcPr>
                  <w:tcW w:w="2999" w:type="pct"/>
                  <w:tcBorders>
                    <w:top w:val="single" w:color="auto" w:sz="4" w:space="0"/>
                  </w:tcBorders>
                  <w:vAlign w:val="center"/>
                </w:tcPr>
                <w:p>
                  <w:pPr>
                    <w:pStyle w:val="136"/>
                    <w:adjustRightInd w:val="0"/>
                    <w:snapToGrid w:val="0"/>
                    <w:jc w:val="both"/>
                    <w:rPr>
                      <w:rFonts w:cs="Times New Roman"/>
                      <w:szCs w:val="18"/>
                    </w:rPr>
                  </w:pPr>
                  <w:r>
                    <w:rPr>
                      <w:rFonts w:hint="eastAsia" w:cs="Times New Roman"/>
                      <w:szCs w:val="18"/>
                    </w:rPr>
                    <w:t>总建筑面积约8</w:t>
                  </w:r>
                  <w:r>
                    <w:rPr>
                      <w:rFonts w:cs="Times New Roman"/>
                      <w:szCs w:val="18"/>
                    </w:rPr>
                    <w:t>00</w:t>
                  </w:r>
                  <w:r>
                    <w:rPr>
                      <w:rFonts w:hint="eastAsia" w:cs="Times New Roman"/>
                      <w:szCs w:val="18"/>
                    </w:rPr>
                    <w:t>m</w:t>
                  </w:r>
                  <w:r>
                    <w:rPr>
                      <w:rFonts w:cs="Times New Roman"/>
                      <w:szCs w:val="18"/>
                      <w:vertAlign w:val="superscript"/>
                    </w:rPr>
                    <w:t>2</w:t>
                  </w:r>
                  <w:r>
                    <w:rPr>
                      <w:rFonts w:hint="eastAsia" w:cs="Times New Roman"/>
                      <w:szCs w:val="18"/>
                    </w:rPr>
                    <w:t>，位于</w:t>
                  </w:r>
                  <w:r>
                    <w:rPr>
                      <w:rFonts w:hint="eastAsia"/>
                    </w:rPr>
                    <w:t>四川省巴中水文水资源勘测中心办公楼4F（东南侧部分）、5F（全部）。4F</w:t>
                  </w:r>
                  <w:r>
                    <w:rPr>
                      <w:rFonts w:hint="eastAsia" w:cs="Times New Roman"/>
                      <w:szCs w:val="18"/>
                    </w:rPr>
                    <w:t>设置泥颗室、天平室、微生物室、更衣室、预留实验室、应急监测设备室，5F设置气相分子室、连续流动室、紫外测油室、离子色谱室、原子荧光室、ICP室、主分析室、次分析室、天平室、小仪器室、制水室等。</w:t>
                  </w:r>
                </w:p>
              </w:tc>
              <w:tc>
                <w:tcPr>
                  <w:tcW w:w="365" w:type="pct"/>
                  <w:vMerge w:val="restart"/>
                  <w:tcBorders>
                    <w:top w:val="single" w:color="auto" w:sz="4" w:space="0"/>
                  </w:tcBorders>
                  <w:vAlign w:val="center"/>
                </w:tcPr>
                <w:p>
                  <w:pPr>
                    <w:pStyle w:val="136"/>
                    <w:adjustRightInd w:val="0"/>
                    <w:snapToGrid w:val="0"/>
                    <w:rPr>
                      <w:rFonts w:cs="Times New Roman"/>
                      <w:szCs w:val="18"/>
                    </w:rPr>
                  </w:pPr>
                  <w:r>
                    <w:rPr>
                      <w:rFonts w:hint="eastAsia" w:cs="Times New Roman"/>
                      <w:szCs w:val="18"/>
                    </w:rPr>
                    <w:t>废气</w:t>
                  </w:r>
                </w:p>
                <w:p>
                  <w:pPr>
                    <w:pStyle w:val="136"/>
                    <w:adjustRightInd w:val="0"/>
                    <w:snapToGrid w:val="0"/>
                    <w:rPr>
                      <w:rFonts w:cs="Times New Roman"/>
                      <w:szCs w:val="18"/>
                    </w:rPr>
                  </w:pPr>
                  <w:r>
                    <w:rPr>
                      <w:rFonts w:hint="eastAsia" w:cs="Times New Roman"/>
                      <w:szCs w:val="18"/>
                    </w:rPr>
                    <w:t>废水</w:t>
                  </w:r>
                </w:p>
                <w:p>
                  <w:pPr>
                    <w:pStyle w:val="136"/>
                    <w:adjustRightInd w:val="0"/>
                    <w:snapToGrid w:val="0"/>
                    <w:rPr>
                      <w:rFonts w:cs="Times New Roman"/>
                      <w:szCs w:val="18"/>
                    </w:rPr>
                  </w:pPr>
                  <w:r>
                    <w:rPr>
                      <w:rFonts w:hint="eastAsia" w:cs="Times New Roman"/>
                      <w:szCs w:val="18"/>
                    </w:rPr>
                    <w:t>固废</w:t>
                  </w:r>
                </w:p>
                <w:p>
                  <w:pPr>
                    <w:pStyle w:val="136"/>
                    <w:adjustRightInd w:val="0"/>
                    <w:snapToGrid w:val="0"/>
                    <w:rPr>
                      <w:rFonts w:cs="Times New Roman"/>
                      <w:szCs w:val="18"/>
                    </w:rPr>
                  </w:pPr>
                  <w:r>
                    <w:rPr>
                      <w:rFonts w:hint="eastAsia" w:cs="Times New Roman"/>
                      <w:szCs w:val="18"/>
                    </w:rPr>
                    <w:t>噪声</w:t>
                  </w:r>
                </w:p>
              </w:tc>
              <w:tc>
                <w:tcPr>
                  <w:tcW w:w="547" w:type="pct"/>
                  <w:tcBorders>
                    <w:top w:val="single" w:color="auto" w:sz="4" w:space="0"/>
                  </w:tcBorders>
                  <w:vAlign w:val="center"/>
                </w:tcPr>
                <w:p>
                  <w:pPr>
                    <w:pStyle w:val="136"/>
                    <w:adjustRightInd w:val="0"/>
                    <w:snapToGrid w:val="0"/>
                    <w:rPr>
                      <w:rFonts w:cs="Times New Roman"/>
                      <w:szCs w:val="18"/>
                    </w:rPr>
                  </w:pPr>
                  <w:r>
                    <w:rPr>
                      <w:rFonts w:hint="eastAsia" w:cs="Times New Roman"/>
                      <w:szCs w:val="18"/>
                    </w:rPr>
                    <w:t>废水</w:t>
                  </w:r>
                </w:p>
                <w:p>
                  <w:pPr>
                    <w:pStyle w:val="136"/>
                    <w:adjustRightInd w:val="0"/>
                    <w:snapToGrid w:val="0"/>
                    <w:rPr>
                      <w:rFonts w:cs="Times New Roman"/>
                      <w:szCs w:val="18"/>
                    </w:rPr>
                  </w:pPr>
                  <w:r>
                    <w:rPr>
                      <w:rFonts w:hint="eastAsia" w:cs="Times New Roman"/>
                      <w:szCs w:val="18"/>
                    </w:rPr>
                    <w:t>废气</w:t>
                  </w:r>
                </w:p>
                <w:p>
                  <w:pPr>
                    <w:pStyle w:val="136"/>
                    <w:adjustRightInd w:val="0"/>
                    <w:snapToGrid w:val="0"/>
                    <w:rPr>
                      <w:rFonts w:cs="Times New Roman"/>
                      <w:szCs w:val="18"/>
                    </w:rPr>
                  </w:pPr>
                  <w:r>
                    <w:rPr>
                      <w:rFonts w:hint="eastAsia" w:cs="Times New Roman"/>
                      <w:szCs w:val="18"/>
                    </w:rPr>
                    <w:t>噪声</w:t>
                  </w:r>
                </w:p>
                <w:p>
                  <w:pPr>
                    <w:pStyle w:val="136"/>
                    <w:adjustRightInd w:val="0"/>
                    <w:snapToGrid w:val="0"/>
                    <w:rPr>
                      <w:rFonts w:cs="Times New Roman"/>
                      <w:szCs w:val="18"/>
                    </w:rPr>
                  </w:pPr>
                  <w:r>
                    <w:rPr>
                      <w:rFonts w:hint="eastAsia" w:cs="Times New Roman"/>
                      <w:szCs w:val="18"/>
                    </w:rPr>
                    <w:t>固废</w:t>
                  </w:r>
                </w:p>
              </w:tc>
              <w:tc>
                <w:tcPr>
                  <w:tcW w:w="296" w:type="pct"/>
                  <w:tcBorders>
                    <w:top w:val="single" w:color="auto" w:sz="4" w:space="0"/>
                  </w:tcBorders>
                  <w:vAlign w:val="center"/>
                </w:tcPr>
                <w:p>
                  <w:pPr>
                    <w:pStyle w:val="136"/>
                    <w:adjustRightInd w:val="0"/>
                    <w:snapToGrid w:val="0"/>
                    <w:rPr>
                      <w:rFonts w:cs="Times New Roman"/>
                      <w:szCs w:val="18"/>
                    </w:rPr>
                  </w:pPr>
                  <w:r>
                    <w:rPr>
                      <w:rFonts w:hint="eastAsia" w:cs="Times New Roman"/>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2" w:type="pct"/>
                  <w:vMerge w:val="restart"/>
                  <w:vAlign w:val="center"/>
                </w:tcPr>
                <w:p>
                  <w:pPr>
                    <w:pStyle w:val="136"/>
                    <w:adjustRightInd w:val="0"/>
                    <w:snapToGrid w:val="0"/>
                    <w:rPr>
                      <w:rFonts w:cs="Times New Roman"/>
                      <w:szCs w:val="18"/>
                    </w:rPr>
                  </w:pPr>
                  <w:r>
                    <w:rPr>
                      <w:rFonts w:hint="eastAsia" w:cs="Times New Roman"/>
                      <w:szCs w:val="18"/>
                    </w:rPr>
                    <w:t>仓储工程</w:t>
                  </w:r>
                </w:p>
              </w:tc>
              <w:tc>
                <w:tcPr>
                  <w:tcW w:w="501" w:type="pct"/>
                  <w:vAlign w:val="center"/>
                </w:tcPr>
                <w:p>
                  <w:pPr>
                    <w:pStyle w:val="136"/>
                    <w:adjustRightInd w:val="0"/>
                    <w:snapToGrid w:val="0"/>
                    <w:rPr>
                      <w:rFonts w:cs="Times New Roman"/>
                      <w:szCs w:val="18"/>
                    </w:rPr>
                  </w:pPr>
                  <w:r>
                    <w:rPr>
                      <w:rFonts w:hint="eastAsia" w:cs="Times New Roman"/>
                      <w:szCs w:val="18"/>
                    </w:rPr>
                    <w:t>气瓶室</w:t>
                  </w:r>
                </w:p>
              </w:tc>
              <w:tc>
                <w:tcPr>
                  <w:tcW w:w="2999" w:type="pct"/>
                  <w:vAlign w:val="center"/>
                </w:tcPr>
                <w:p>
                  <w:pPr>
                    <w:pStyle w:val="136"/>
                    <w:adjustRightInd w:val="0"/>
                    <w:snapToGrid w:val="0"/>
                    <w:jc w:val="both"/>
                    <w:rPr>
                      <w:rFonts w:cs="Times New Roman"/>
                      <w:szCs w:val="18"/>
                    </w:rPr>
                  </w:pPr>
                  <w:r>
                    <w:rPr>
                      <w:rFonts w:hint="eastAsia" w:cs="Times New Roman"/>
                      <w:szCs w:val="18"/>
                    </w:rPr>
                    <w:t>位于5F北部，建筑面积4</w:t>
                  </w:r>
                  <w:r>
                    <w:rPr>
                      <w:rFonts w:cs="Times New Roman"/>
                      <w:szCs w:val="18"/>
                    </w:rPr>
                    <w:t>.84</w:t>
                  </w:r>
                  <w:r>
                    <w:rPr>
                      <w:rFonts w:hint="eastAsia" w:cs="Times New Roman"/>
                      <w:szCs w:val="18"/>
                    </w:rPr>
                    <w:t>m</w:t>
                  </w:r>
                  <w:r>
                    <w:rPr>
                      <w:rFonts w:cs="Times New Roman"/>
                      <w:szCs w:val="18"/>
                      <w:vertAlign w:val="superscript"/>
                    </w:rPr>
                    <w:t>2</w:t>
                  </w:r>
                  <w:r>
                    <w:rPr>
                      <w:rFonts w:hint="eastAsia" w:cs="Times New Roman"/>
                      <w:szCs w:val="18"/>
                    </w:rPr>
                    <w:t>，设置4个氩气瓶、2个氮气瓶</w:t>
                  </w:r>
                </w:p>
              </w:tc>
              <w:tc>
                <w:tcPr>
                  <w:tcW w:w="365" w:type="pct"/>
                  <w:vMerge w:val="continue"/>
                  <w:vAlign w:val="center"/>
                </w:tcPr>
                <w:p>
                  <w:pPr>
                    <w:pStyle w:val="136"/>
                    <w:adjustRightInd w:val="0"/>
                    <w:snapToGrid w:val="0"/>
                    <w:rPr>
                      <w:rFonts w:cs="Times New Roman"/>
                      <w:szCs w:val="18"/>
                    </w:rPr>
                  </w:pPr>
                </w:p>
              </w:tc>
              <w:tc>
                <w:tcPr>
                  <w:tcW w:w="547" w:type="pct"/>
                  <w:vAlign w:val="center"/>
                </w:tcPr>
                <w:p>
                  <w:pPr>
                    <w:pStyle w:val="136"/>
                    <w:adjustRightInd w:val="0"/>
                    <w:snapToGrid w:val="0"/>
                    <w:rPr>
                      <w:rFonts w:cs="Times New Roman"/>
                      <w:szCs w:val="18"/>
                    </w:rPr>
                  </w:pPr>
                  <w:r>
                    <w:rPr>
                      <w:rFonts w:hint="eastAsia" w:cs="Times New Roman"/>
                      <w:szCs w:val="18"/>
                    </w:rPr>
                    <w:t>风险</w:t>
                  </w:r>
                </w:p>
              </w:tc>
              <w:tc>
                <w:tcPr>
                  <w:tcW w:w="296" w:type="pct"/>
                  <w:vAlign w:val="center"/>
                </w:tcPr>
                <w:p>
                  <w:pPr>
                    <w:pStyle w:val="136"/>
                    <w:adjustRightInd w:val="0"/>
                    <w:snapToGrid w:val="0"/>
                    <w:rPr>
                      <w:rFonts w:cs="Times New Roman"/>
                      <w:szCs w:val="18"/>
                    </w:rPr>
                  </w:pPr>
                  <w:r>
                    <w:rPr>
                      <w:rFonts w:hint="eastAsia" w:cs="Times New Roman"/>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2" w:type="pct"/>
                  <w:vMerge w:val="continue"/>
                  <w:vAlign w:val="center"/>
                </w:tcPr>
                <w:p>
                  <w:pPr>
                    <w:pStyle w:val="136"/>
                    <w:adjustRightInd w:val="0"/>
                    <w:snapToGrid w:val="0"/>
                    <w:rPr>
                      <w:rFonts w:cs="Times New Roman"/>
                      <w:szCs w:val="18"/>
                    </w:rPr>
                  </w:pPr>
                </w:p>
              </w:tc>
              <w:tc>
                <w:tcPr>
                  <w:tcW w:w="501" w:type="pct"/>
                  <w:vAlign w:val="center"/>
                </w:tcPr>
                <w:p>
                  <w:pPr>
                    <w:pStyle w:val="136"/>
                    <w:adjustRightInd w:val="0"/>
                    <w:snapToGrid w:val="0"/>
                    <w:rPr>
                      <w:rFonts w:cs="Times New Roman"/>
                      <w:szCs w:val="18"/>
                    </w:rPr>
                  </w:pPr>
                  <w:r>
                    <w:rPr>
                      <w:rFonts w:hint="eastAsia" w:cs="Times New Roman"/>
                      <w:szCs w:val="18"/>
                    </w:rPr>
                    <w:t>药品室</w:t>
                  </w:r>
                </w:p>
              </w:tc>
              <w:tc>
                <w:tcPr>
                  <w:tcW w:w="2999" w:type="pct"/>
                  <w:vAlign w:val="center"/>
                </w:tcPr>
                <w:p>
                  <w:pPr>
                    <w:pStyle w:val="136"/>
                    <w:adjustRightInd w:val="0"/>
                    <w:snapToGrid w:val="0"/>
                    <w:jc w:val="both"/>
                    <w:rPr>
                      <w:rFonts w:cs="Times New Roman"/>
                      <w:szCs w:val="18"/>
                    </w:rPr>
                  </w:pPr>
                  <w:r>
                    <w:rPr>
                      <w:rFonts w:hint="eastAsia" w:cs="Times New Roman"/>
                      <w:szCs w:val="18"/>
                    </w:rPr>
                    <w:t>位于5F中部，建筑面积1</w:t>
                  </w:r>
                  <w:r>
                    <w:rPr>
                      <w:rFonts w:cs="Times New Roman"/>
                      <w:szCs w:val="18"/>
                    </w:rPr>
                    <w:t>6.32</w:t>
                  </w:r>
                  <w:r>
                    <w:rPr>
                      <w:rFonts w:hint="eastAsia" w:cs="Times New Roman"/>
                      <w:szCs w:val="18"/>
                    </w:rPr>
                    <w:t>m</w:t>
                  </w:r>
                  <w:r>
                    <w:rPr>
                      <w:rFonts w:cs="Times New Roman"/>
                      <w:szCs w:val="18"/>
                      <w:vertAlign w:val="superscript"/>
                    </w:rPr>
                    <w:t>2</w:t>
                  </w:r>
                  <w:r>
                    <w:rPr>
                      <w:rFonts w:hint="eastAsia" w:cs="Times New Roman"/>
                      <w:szCs w:val="18"/>
                    </w:rPr>
                    <w:t>，设置3个试剂柜，5个通风药品柜，用于实验药品、试剂储存。</w:t>
                  </w:r>
                </w:p>
              </w:tc>
              <w:tc>
                <w:tcPr>
                  <w:tcW w:w="365" w:type="pct"/>
                  <w:vMerge w:val="continue"/>
                  <w:vAlign w:val="center"/>
                </w:tcPr>
                <w:p>
                  <w:pPr>
                    <w:pStyle w:val="136"/>
                    <w:adjustRightInd w:val="0"/>
                    <w:snapToGrid w:val="0"/>
                    <w:rPr>
                      <w:rFonts w:cs="Times New Roman"/>
                      <w:szCs w:val="18"/>
                    </w:rPr>
                  </w:pPr>
                </w:p>
              </w:tc>
              <w:tc>
                <w:tcPr>
                  <w:tcW w:w="547" w:type="pct"/>
                  <w:vAlign w:val="center"/>
                </w:tcPr>
                <w:p>
                  <w:pPr>
                    <w:pStyle w:val="136"/>
                    <w:adjustRightInd w:val="0"/>
                    <w:snapToGrid w:val="0"/>
                    <w:rPr>
                      <w:rFonts w:cs="Times New Roman"/>
                      <w:szCs w:val="18"/>
                    </w:rPr>
                  </w:pPr>
                  <w:r>
                    <w:rPr>
                      <w:rFonts w:hint="eastAsia" w:cs="Times New Roman"/>
                      <w:szCs w:val="18"/>
                    </w:rPr>
                    <w:t>废气</w:t>
                  </w:r>
                </w:p>
                <w:p>
                  <w:pPr>
                    <w:pStyle w:val="136"/>
                    <w:adjustRightInd w:val="0"/>
                    <w:snapToGrid w:val="0"/>
                    <w:rPr>
                      <w:rFonts w:cs="Times New Roman"/>
                      <w:szCs w:val="18"/>
                    </w:rPr>
                  </w:pPr>
                  <w:r>
                    <w:rPr>
                      <w:rFonts w:hint="eastAsia" w:cs="Times New Roman"/>
                      <w:szCs w:val="18"/>
                    </w:rPr>
                    <w:t>固废</w:t>
                  </w:r>
                </w:p>
              </w:tc>
              <w:tc>
                <w:tcPr>
                  <w:tcW w:w="296" w:type="pct"/>
                  <w:vAlign w:val="center"/>
                </w:tcPr>
                <w:p>
                  <w:pPr>
                    <w:pStyle w:val="136"/>
                    <w:adjustRightInd w:val="0"/>
                    <w:snapToGrid w:val="0"/>
                    <w:rPr>
                      <w:rFonts w:cs="Times New Roman"/>
                      <w:szCs w:val="18"/>
                    </w:rPr>
                  </w:pPr>
                  <w:r>
                    <w:rPr>
                      <w:rFonts w:hint="eastAsia" w:cs="Times New Roman"/>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2" w:type="pct"/>
                  <w:vMerge w:val="continue"/>
                  <w:vAlign w:val="center"/>
                </w:tcPr>
                <w:p>
                  <w:pPr>
                    <w:pStyle w:val="136"/>
                    <w:adjustRightInd w:val="0"/>
                    <w:snapToGrid w:val="0"/>
                    <w:rPr>
                      <w:rFonts w:cs="Times New Roman"/>
                      <w:szCs w:val="18"/>
                    </w:rPr>
                  </w:pPr>
                </w:p>
              </w:tc>
              <w:tc>
                <w:tcPr>
                  <w:tcW w:w="501" w:type="pct"/>
                  <w:vAlign w:val="center"/>
                </w:tcPr>
                <w:p>
                  <w:pPr>
                    <w:pStyle w:val="136"/>
                    <w:adjustRightInd w:val="0"/>
                    <w:snapToGrid w:val="0"/>
                    <w:rPr>
                      <w:rFonts w:cs="Times New Roman"/>
                      <w:szCs w:val="18"/>
                    </w:rPr>
                  </w:pPr>
                  <w:r>
                    <w:rPr>
                      <w:rFonts w:hint="eastAsia" w:cs="Times New Roman"/>
                      <w:szCs w:val="18"/>
                    </w:rPr>
                    <w:t>危险品室</w:t>
                  </w:r>
                </w:p>
              </w:tc>
              <w:tc>
                <w:tcPr>
                  <w:tcW w:w="2999" w:type="pct"/>
                  <w:vAlign w:val="center"/>
                </w:tcPr>
                <w:p>
                  <w:pPr>
                    <w:pStyle w:val="136"/>
                    <w:adjustRightInd w:val="0"/>
                    <w:snapToGrid w:val="0"/>
                    <w:jc w:val="both"/>
                    <w:rPr>
                      <w:rFonts w:cs="Times New Roman"/>
                      <w:szCs w:val="18"/>
                    </w:rPr>
                  </w:pPr>
                  <w:r>
                    <w:rPr>
                      <w:rFonts w:hint="eastAsia" w:cs="Times New Roman"/>
                      <w:szCs w:val="18"/>
                    </w:rPr>
                    <w:t>位于5F中部，建筑面积</w:t>
                  </w:r>
                  <w:r>
                    <w:rPr>
                      <w:rFonts w:cs="Times New Roman"/>
                      <w:szCs w:val="18"/>
                    </w:rPr>
                    <w:t>6.78</w:t>
                  </w:r>
                  <w:r>
                    <w:rPr>
                      <w:rFonts w:hint="eastAsia" w:cs="Times New Roman"/>
                      <w:szCs w:val="18"/>
                    </w:rPr>
                    <w:t>m</w:t>
                  </w:r>
                  <w:r>
                    <w:rPr>
                      <w:rFonts w:cs="Times New Roman"/>
                      <w:szCs w:val="18"/>
                      <w:vertAlign w:val="superscript"/>
                    </w:rPr>
                    <w:t>2</w:t>
                  </w:r>
                  <w:r>
                    <w:rPr>
                      <w:rFonts w:hint="eastAsia" w:cs="Times New Roman"/>
                      <w:szCs w:val="18"/>
                    </w:rPr>
                    <w:t>，设置一个危险品柜，用于硫酸等危险化学品储存。</w:t>
                  </w:r>
                </w:p>
              </w:tc>
              <w:tc>
                <w:tcPr>
                  <w:tcW w:w="365" w:type="pct"/>
                  <w:vMerge w:val="continue"/>
                  <w:vAlign w:val="center"/>
                </w:tcPr>
                <w:p>
                  <w:pPr>
                    <w:pStyle w:val="136"/>
                    <w:adjustRightInd w:val="0"/>
                    <w:snapToGrid w:val="0"/>
                    <w:rPr>
                      <w:rFonts w:cs="Times New Roman"/>
                      <w:szCs w:val="18"/>
                    </w:rPr>
                  </w:pPr>
                </w:p>
              </w:tc>
              <w:tc>
                <w:tcPr>
                  <w:tcW w:w="547" w:type="pct"/>
                  <w:vAlign w:val="center"/>
                </w:tcPr>
                <w:p>
                  <w:pPr>
                    <w:pStyle w:val="136"/>
                    <w:adjustRightInd w:val="0"/>
                    <w:snapToGrid w:val="0"/>
                    <w:rPr>
                      <w:rFonts w:cs="Times New Roman"/>
                      <w:szCs w:val="18"/>
                    </w:rPr>
                  </w:pPr>
                  <w:r>
                    <w:rPr>
                      <w:rFonts w:hint="eastAsia" w:cs="Times New Roman"/>
                      <w:szCs w:val="18"/>
                    </w:rPr>
                    <w:t>废气</w:t>
                  </w:r>
                </w:p>
                <w:p>
                  <w:pPr>
                    <w:pStyle w:val="136"/>
                    <w:adjustRightInd w:val="0"/>
                    <w:snapToGrid w:val="0"/>
                    <w:rPr>
                      <w:rFonts w:cs="Times New Roman"/>
                      <w:szCs w:val="18"/>
                    </w:rPr>
                  </w:pPr>
                  <w:r>
                    <w:rPr>
                      <w:rFonts w:hint="eastAsia" w:cs="Times New Roman"/>
                      <w:szCs w:val="18"/>
                    </w:rPr>
                    <w:t>风险</w:t>
                  </w:r>
                </w:p>
              </w:tc>
              <w:tc>
                <w:tcPr>
                  <w:tcW w:w="296" w:type="pct"/>
                  <w:vAlign w:val="center"/>
                </w:tcPr>
                <w:p>
                  <w:pPr>
                    <w:pStyle w:val="136"/>
                    <w:adjustRightInd w:val="0"/>
                    <w:snapToGrid w:val="0"/>
                    <w:rPr>
                      <w:rFonts w:cs="Times New Roman"/>
                      <w:szCs w:val="18"/>
                    </w:rPr>
                  </w:pPr>
                  <w:r>
                    <w:rPr>
                      <w:rFonts w:hint="eastAsia" w:cs="Times New Roman"/>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2" w:type="pct"/>
                  <w:vMerge w:val="continue"/>
                  <w:vAlign w:val="center"/>
                </w:tcPr>
                <w:p>
                  <w:pPr>
                    <w:pStyle w:val="136"/>
                    <w:adjustRightInd w:val="0"/>
                    <w:snapToGrid w:val="0"/>
                    <w:rPr>
                      <w:rFonts w:cs="Times New Roman"/>
                      <w:szCs w:val="18"/>
                    </w:rPr>
                  </w:pPr>
                </w:p>
              </w:tc>
              <w:tc>
                <w:tcPr>
                  <w:tcW w:w="501" w:type="pct"/>
                  <w:vAlign w:val="center"/>
                </w:tcPr>
                <w:p>
                  <w:pPr>
                    <w:pStyle w:val="136"/>
                    <w:adjustRightInd w:val="0"/>
                    <w:snapToGrid w:val="0"/>
                    <w:rPr>
                      <w:rFonts w:cs="Times New Roman"/>
                      <w:szCs w:val="18"/>
                    </w:rPr>
                  </w:pPr>
                  <w:r>
                    <w:rPr>
                      <w:rFonts w:hint="eastAsia" w:cs="Times New Roman"/>
                      <w:szCs w:val="18"/>
                    </w:rPr>
                    <w:t>质控室</w:t>
                  </w:r>
                </w:p>
              </w:tc>
              <w:tc>
                <w:tcPr>
                  <w:tcW w:w="2999" w:type="pct"/>
                  <w:vAlign w:val="center"/>
                </w:tcPr>
                <w:p>
                  <w:pPr>
                    <w:pStyle w:val="136"/>
                    <w:adjustRightInd w:val="0"/>
                    <w:snapToGrid w:val="0"/>
                    <w:jc w:val="both"/>
                    <w:rPr>
                      <w:rFonts w:cs="Times New Roman"/>
                      <w:szCs w:val="18"/>
                    </w:rPr>
                  </w:pPr>
                  <w:r>
                    <w:rPr>
                      <w:rFonts w:hint="eastAsia" w:cs="Times New Roman"/>
                      <w:szCs w:val="18"/>
                    </w:rPr>
                    <w:t>位于5F中部，建筑面积1</w:t>
                  </w:r>
                  <w:r>
                    <w:rPr>
                      <w:rFonts w:cs="Times New Roman"/>
                      <w:szCs w:val="18"/>
                    </w:rPr>
                    <w:t>01.99</w:t>
                  </w:r>
                  <w:r>
                    <w:rPr>
                      <w:rFonts w:hint="eastAsia" w:cs="Times New Roman"/>
                      <w:szCs w:val="18"/>
                    </w:rPr>
                    <w:t>m</w:t>
                  </w:r>
                  <w:r>
                    <w:rPr>
                      <w:rFonts w:cs="Times New Roman"/>
                      <w:szCs w:val="18"/>
                      <w:vertAlign w:val="superscript"/>
                    </w:rPr>
                    <w:t>2</w:t>
                  </w:r>
                  <w:r>
                    <w:rPr>
                      <w:rFonts w:hint="eastAsia" w:cs="Times New Roman"/>
                      <w:szCs w:val="18"/>
                    </w:rPr>
                    <w:t>，设置2台冰箱，用于标准品储存。</w:t>
                  </w:r>
                </w:p>
              </w:tc>
              <w:tc>
                <w:tcPr>
                  <w:tcW w:w="365" w:type="pct"/>
                  <w:vMerge w:val="continue"/>
                  <w:vAlign w:val="center"/>
                </w:tcPr>
                <w:p>
                  <w:pPr>
                    <w:pStyle w:val="136"/>
                    <w:adjustRightInd w:val="0"/>
                    <w:snapToGrid w:val="0"/>
                    <w:rPr>
                      <w:rFonts w:cs="Times New Roman"/>
                      <w:szCs w:val="18"/>
                    </w:rPr>
                  </w:pPr>
                </w:p>
              </w:tc>
              <w:tc>
                <w:tcPr>
                  <w:tcW w:w="547" w:type="pct"/>
                  <w:vAlign w:val="center"/>
                </w:tcPr>
                <w:p>
                  <w:pPr>
                    <w:pStyle w:val="136"/>
                    <w:adjustRightInd w:val="0"/>
                    <w:snapToGrid w:val="0"/>
                    <w:rPr>
                      <w:rFonts w:cs="Times New Roman"/>
                      <w:szCs w:val="18"/>
                    </w:rPr>
                  </w:pPr>
                  <w:r>
                    <w:rPr>
                      <w:rFonts w:hint="eastAsia" w:cs="Times New Roman"/>
                      <w:szCs w:val="18"/>
                    </w:rPr>
                    <w:t>固废</w:t>
                  </w:r>
                </w:p>
              </w:tc>
              <w:tc>
                <w:tcPr>
                  <w:tcW w:w="296" w:type="pct"/>
                  <w:vAlign w:val="center"/>
                </w:tcPr>
                <w:p>
                  <w:pPr>
                    <w:pStyle w:val="136"/>
                    <w:adjustRightInd w:val="0"/>
                    <w:snapToGrid w:val="0"/>
                    <w:rPr>
                      <w:rFonts w:cs="Times New Roman"/>
                      <w:szCs w:val="18"/>
                    </w:rPr>
                  </w:pPr>
                  <w:r>
                    <w:rPr>
                      <w:rFonts w:hint="eastAsia" w:cs="Times New Roman"/>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2" w:type="pct"/>
                  <w:vMerge w:val="restart"/>
                  <w:vAlign w:val="center"/>
                </w:tcPr>
                <w:p>
                  <w:pPr>
                    <w:pStyle w:val="136"/>
                    <w:adjustRightInd w:val="0"/>
                    <w:snapToGrid w:val="0"/>
                    <w:rPr>
                      <w:rFonts w:cs="Times New Roman"/>
                      <w:szCs w:val="18"/>
                    </w:rPr>
                  </w:pPr>
                  <w:r>
                    <w:rPr>
                      <w:rFonts w:cs="Times New Roman"/>
                      <w:szCs w:val="18"/>
                    </w:rPr>
                    <w:t>公用工程</w:t>
                  </w:r>
                </w:p>
              </w:tc>
              <w:tc>
                <w:tcPr>
                  <w:tcW w:w="501" w:type="pct"/>
                  <w:vAlign w:val="center"/>
                </w:tcPr>
                <w:p>
                  <w:pPr>
                    <w:pStyle w:val="136"/>
                    <w:adjustRightInd w:val="0"/>
                    <w:snapToGrid w:val="0"/>
                    <w:rPr>
                      <w:rFonts w:cs="Times New Roman"/>
                      <w:szCs w:val="18"/>
                      <w:lang w:val="de-DE"/>
                    </w:rPr>
                  </w:pPr>
                  <w:r>
                    <w:rPr>
                      <w:rFonts w:hint="eastAsia" w:cs="Times New Roman"/>
                      <w:szCs w:val="18"/>
                      <w:lang w:val="de-DE"/>
                    </w:rPr>
                    <w:t>供电</w:t>
                  </w:r>
                </w:p>
              </w:tc>
              <w:tc>
                <w:tcPr>
                  <w:tcW w:w="2999" w:type="pct"/>
                  <w:vAlign w:val="center"/>
                </w:tcPr>
                <w:p>
                  <w:pPr>
                    <w:pStyle w:val="136"/>
                    <w:adjustRightInd w:val="0"/>
                    <w:snapToGrid w:val="0"/>
                    <w:rPr>
                      <w:rFonts w:cs="Times New Roman"/>
                      <w:szCs w:val="18"/>
                    </w:rPr>
                  </w:pPr>
                  <w:r>
                    <w:rPr>
                      <w:rFonts w:hint="eastAsia" w:cs="Times New Roman"/>
                      <w:szCs w:val="18"/>
                    </w:rPr>
                    <w:t>由市政电网供电</w:t>
                  </w:r>
                </w:p>
              </w:tc>
              <w:tc>
                <w:tcPr>
                  <w:tcW w:w="365" w:type="pct"/>
                  <w:vMerge w:val="continue"/>
                  <w:vAlign w:val="center"/>
                </w:tcPr>
                <w:p>
                  <w:pPr>
                    <w:pStyle w:val="136"/>
                    <w:adjustRightInd w:val="0"/>
                    <w:snapToGrid w:val="0"/>
                    <w:rPr>
                      <w:rFonts w:cs="Times New Roman"/>
                      <w:szCs w:val="18"/>
                    </w:rPr>
                  </w:pPr>
                </w:p>
              </w:tc>
              <w:tc>
                <w:tcPr>
                  <w:tcW w:w="547" w:type="pct"/>
                  <w:vAlign w:val="center"/>
                </w:tcPr>
                <w:p>
                  <w:pPr>
                    <w:pStyle w:val="136"/>
                    <w:adjustRightInd w:val="0"/>
                    <w:snapToGrid w:val="0"/>
                    <w:rPr>
                      <w:rFonts w:cs="Times New Roman"/>
                      <w:szCs w:val="18"/>
                    </w:rPr>
                  </w:pPr>
                  <w:r>
                    <w:rPr>
                      <w:rFonts w:hint="eastAsia" w:cs="Times New Roman"/>
                      <w:szCs w:val="18"/>
                    </w:rPr>
                    <w:t>/</w:t>
                  </w:r>
                </w:p>
              </w:tc>
              <w:tc>
                <w:tcPr>
                  <w:tcW w:w="296" w:type="pct"/>
                  <w:vAlign w:val="center"/>
                </w:tcPr>
                <w:p>
                  <w:pPr>
                    <w:pStyle w:val="136"/>
                    <w:adjustRightInd w:val="0"/>
                    <w:snapToGrid w:val="0"/>
                    <w:rPr>
                      <w:rFonts w:cs="Times New Roman"/>
                      <w:szCs w:val="18"/>
                    </w:rPr>
                  </w:pPr>
                  <w:r>
                    <w:rPr>
                      <w:rFonts w:hint="eastAsia" w:cs="Times New Roman"/>
                      <w:szCs w:val="18"/>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2" w:type="pct"/>
                  <w:vMerge w:val="continue"/>
                  <w:vAlign w:val="center"/>
                </w:tcPr>
                <w:p>
                  <w:pPr>
                    <w:pStyle w:val="136"/>
                    <w:adjustRightInd w:val="0"/>
                    <w:snapToGrid w:val="0"/>
                    <w:rPr>
                      <w:rFonts w:cs="Times New Roman"/>
                      <w:szCs w:val="18"/>
                    </w:rPr>
                  </w:pPr>
                </w:p>
              </w:tc>
              <w:tc>
                <w:tcPr>
                  <w:tcW w:w="501" w:type="pct"/>
                  <w:vAlign w:val="center"/>
                </w:tcPr>
                <w:p>
                  <w:pPr>
                    <w:pStyle w:val="136"/>
                    <w:adjustRightInd w:val="0"/>
                    <w:snapToGrid w:val="0"/>
                    <w:rPr>
                      <w:rFonts w:cs="Times New Roman"/>
                      <w:szCs w:val="18"/>
                      <w:lang w:val="de-DE"/>
                    </w:rPr>
                  </w:pPr>
                  <w:r>
                    <w:rPr>
                      <w:rFonts w:hint="eastAsia" w:cs="Times New Roman"/>
                      <w:szCs w:val="18"/>
                      <w:lang w:val="de-DE"/>
                    </w:rPr>
                    <w:t>供水</w:t>
                  </w:r>
                </w:p>
              </w:tc>
              <w:tc>
                <w:tcPr>
                  <w:tcW w:w="2999" w:type="pct"/>
                  <w:vAlign w:val="center"/>
                </w:tcPr>
                <w:p>
                  <w:pPr>
                    <w:pStyle w:val="136"/>
                    <w:adjustRightInd w:val="0"/>
                    <w:snapToGrid w:val="0"/>
                    <w:rPr>
                      <w:rFonts w:cs="Times New Roman"/>
                      <w:szCs w:val="18"/>
                    </w:rPr>
                  </w:pPr>
                  <w:r>
                    <w:rPr>
                      <w:rFonts w:hint="eastAsia" w:cs="Times New Roman"/>
                      <w:szCs w:val="18"/>
                    </w:rPr>
                    <w:t>由市政自来水管网供水，项目设置制水室供应实验室用纯水</w:t>
                  </w:r>
                </w:p>
              </w:tc>
              <w:tc>
                <w:tcPr>
                  <w:tcW w:w="365" w:type="pct"/>
                  <w:vMerge w:val="continue"/>
                  <w:vAlign w:val="center"/>
                </w:tcPr>
                <w:p>
                  <w:pPr>
                    <w:pStyle w:val="136"/>
                    <w:adjustRightInd w:val="0"/>
                    <w:snapToGrid w:val="0"/>
                    <w:rPr>
                      <w:rFonts w:cs="Times New Roman"/>
                      <w:szCs w:val="18"/>
                    </w:rPr>
                  </w:pPr>
                </w:p>
              </w:tc>
              <w:tc>
                <w:tcPr>
                  <w:tcW w:w="547" w:type="pct"/>
                  <w:vAlign w:val="center"/>
                </w:tcPr>
                <w:p>
                  <w:pPr>
                    <w:pStyle w:val="136"/>
                    <w:adjustRightInd w:val="0"/>
                    <w:snapToGrid w:val="0"/>
                    <w:rPr>
                      <w:rFonts w:cs="Times New Roman"/>
                      <w:szCs w:val="18"/>
                    </w:rPr>
                  </w:pPr>
                  <w:r>
                    <w:rPr>
                      <w:rFonts w:hint="eastAsia" w:cs="Times New Roman"/>
                      <w:szCs w:val="18"/>
                    </w:rPr>
                    <w:t>废水</w:t>
                  </w:r>
                </w:p>
              </w:tc>
              <w:tc>
                <w:tcPr>
                  <w:tcW w:w="296" w:type="pct"/>
                  <w:vAlign w:val="center"/>
                </w:tcPr>
                <w:p>
                  <w:pPr>
                    <w:pStyle w:val="136"/>
                    <w:adjustRightInd w:val="0"/>
                    <w:snapToGrid w:val="0"/>
                    <w:rPr>
                      <w:rFonts w:cs="Times New Roman"/>
                      <w:szCs w:val="18"/>
                    </w:rPr>
                  </w:pPr>
                  <w:r>
                    <w:rPr>
                      <w:rFonts w:hint="eastAsia" w:cs="Times New Roman"/>
                      <w:szCs w:val="18"/>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2" w:type="pct"/>
                  <w:vMerge w:val="restart"/>
                  <w:vAlign w:val="center"/>
                </w:tcPr>
                <w:p>
                  <w:pPr>
                    <w:pStyle w:val="136"/>
                    <w:adjustRightInd w:val="0"/>
                    <w:snapToGrid w:val="0"/>
                    <w:rPr>
                      <w:rFonts w:cs="Times New Roman"/>
                      <w:szCs w:val="18"/>
                    </w:rPr>
                  </w:pPr>
                  <w:r>
                    <w:rPr>
                      <w:rFonts w:cs="Times New Roman"/>
                      <w:szCs w:val="18"/>
                    </w:rPr>
                    <w:t>环保工程</w:t>
                  </w:r>
                </w:p>
              </w:tc>
              <w:tc>
                <w:tcPr>
                  <w:tcW w:w="501" w:type="pct"/>
                  <w:vMerge w:val="restart"/>
                  <w:vAlign w:val="center"/>
                </w:tcPr>
                <w:p>
                  <w:pPr>
                    <w:pStyle w:val="136"/>
                    <w:adjustRightInd w:val="0"/>
                    <w:snapToGrid w:val="0"/>
                    <w:rPr>
                      <w:rFonts w:cs="Times New Roman"/>
                      <w:szCs w:val="18"/>
                    </w:rPr>
                  </w:pPr>
                  <w:r>
                    <w:rPr>
                      <w:rFonts w:hint="eastAsia" w:cs="Times New Roman"/>
                      <w:szCs w:val="18"/>
                    </w:rPr>
                    <w:t>废水</w:t>
                  </w:r>
                </w:p>
              </w:tc>
              <w:tc>
                <w:tcPr>
                  <w:tcW w:w="2999" w:type="pct"/>
                  <w:vAlign w:val="center"/>
                </w:tcPr>
                <w:p>
                  <w:pPr>
                    <w:pStyle w:val="136"/>
                    <w:adjustRightInd w:val="0"/>
                    <w:snapToGrid w:val="0"/>
                    <w:jc w:val="both"/>
                    <w:rPr>
                      <w:rFonts w:cs="Times New Roman"/>
                      <w:szCs w:val="18"/>
                    </w:rPr>
                  </w:pPr>
                  <w:r>
                    <w:rPr>
                      <w:rFonts w:hint="eastAsia" w:cs="Times New Roman"/>
                      <w:szCs w:val="18"/>
                    </w:rPr>
                    <w:t>生活污水依托</w:t>
                  </w:r>
                  <w:r>
                    <w:rPr>
                      <w:rFonts w:hint="eastAsia"/>
                    </w:rPr>
                    <w:t>四川省巴中水文水资源勘测中心生活污水预处理池（</w:t>
                  </w:r>
                  <w:r>
                    <w:t>10</w:t>
                  </w:r>
                  <w:r>
                    <w:rPr>
                      <w:rFonts w:hint="eastAsia"/>
                    </w:rPr>
                    <w:t>m</w:t>
                  </w:r>
                  <w:r>
                    <w:rPr>
                      <w:vertAlign w:val="superscript"/>
                    </w:rPr>
                    <w:t>3</w:t>
                  </w:r>
                  <w:r>
                    <w:t>/</w:t>
                  </w:r>
                  <w:r>
                    <w:rPr>
                      <w:rFonts w:hint="eastAsia"/>
                    </w:rPr>
                    <w:t>d）处理后，通过市政污水管网排入巴中经济开发区污水处理厂</w:t>
                  </w:r>
                </w:p>
              </w:tc>
              <w:tc>
                <w:tcPr>
                  <w:tcW w:w="365" w:type="pct"/>
                  <w:vMerge w:val="continue"/>
                  <w:vAlign w:val="center"/>
                </w:tcPr>
                <w:p>
                  <w:pPr>
                    <w:pStyle w:val="136"/>
                    <w:adjustRightInd w:val="0"/>
                    <w:snapToGrid w:val="0"/>
                    <w:rPr>
                      <w:rFonts w:cs="Times New Roman"/>
                      <w:szCs w:val="18"/>
                    </w:rPr>
                  </w:pPr>
                </w:p>
              </w:tc>
              <w:tc>
                <w:tcPr>
                  <w:tcW w:w="547" w:type="pct"/>
                  <w:vMerge w:val="restart"/>
                  <w:vAlign w:val="center"/>
                </w:tcPr>
                <w:p>
                  <w:pPr>
                    <w:pStyle w:val="136"/>
                    <w:adjustRightInd w:val="0"/>
                    <w:snapToGrid w:val="0"/>
                    <w:rPr>
                      <w:rFonts w:cs="Times New Roman"/>
                      <w:szCs w:val="18"/>
                    </w:rPr>
                  </w:pPr>
                  <w:r>
                    <w:rPr>
                      <w:rFonts w:hint="eastAsia" w:cs="Times New Roman"/>
                      <w:szCs w:val="18"/>
                    </w:rPr>
                    <w:t>废水</w:t>
                  </w:r>
                </w:p>
              </w:tc>
              <w:tc>
                <w:tcPr>
                  <w:tcW w:w="296" w:type="pct"/>
                  <w:vAlign w:val="center"/>
                </w:tcPr>
                <w:p>
                  <w:pPr>
                    <w:pStyle w:val="136"/>
                    <w:adjustRightInd w:val="0"/>
                    <w:snapToGrid w:val="0"/>
                    <w:rPr>
                      <w:rFonts w:cs="Times New Roman"/>
                      <w:szCs w:val="18"/>
                    </w:rPr>
                  </w:pPr>
                  <w:r>
                    <w:rPr>
                      <w:rFonts w:hint="eastAsia" w:cs="Times New Roman"/>
                      <w:szCs w:val="18"/>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2" w:type="pct"/>
                  <w:vMerge w:val="continue"/>
                  <w:vAlign w:val="center"/>
                </w:tcPr>
                <w:p>
                  <w:pPr>
                    <w:pStyle w:val="136"/>
                    <w:adjustRightInd w:val="0"/>
                    <w:snapToGrid w:val="0"/>
                    <w:rPr>
                      <w:rFonts w:cs="Times New Roman"/>
                      <w:szCs w:val="18"/>
                    </w:rPr>
                  </w:pPr>
                </w:p>
              </w:tc>
              <w:tc>
                <w:tcPr>
                  <w:tcW w:w="501" w:type="pct"/>
                  <w:vMerge w:val="continue"/>
                  <w:vAlign w:val="center"/>
                </w:tcPr>
                <w:p>
                  <w:pPr>
                    <w:pStyle w:val="136"/>
                    <w:adjustRightInd w:val="0"/>
                    <w:snapToGrid w:val="0"/>
                    <w:rPr>
                      <w:rFonts w:cs="Times New Roman"/>
                      <w:szCs w:val="18"/>
                    </w:rPr>
                  </w:pPr>
                </w:p>
              </w:tc>
              <w:tc>
                <w:tcPr>
                  <w:tcW w:w="2999" w:type="pct"/>
                  <w:vAlign w:val="center"/>
                </w:tcPr>
                <w:p>
                  <w:pPr>
                    <w:pStyle w:val="136"/>
                    <w:adjustRightInd w:val="0"/>
                    <w:snapToGrid w:val="0"/>
                    <w:jc w:val="both"/>
                    <w:rPr>
                      <w:rFonts w:cs="Times New Roman"/>
                      <w:szCs w:val="18"/>
                    </w:rPr>
                  </w:pPr>
                  <w:r>
                    <w:rPr>
                      <w:rFonts w:hint="eastAsia" w:cs="Times New Roman"/>
                      <w:szCs w:val="18"/>
                    </w:rPr>
                    <w:t>于</w:t>
                  </w:r>
                  <w:r>
                    <w:rPr>
                      <w:rFonts w:hint="eastAsia"/>
                    </w:rPr>
                    <w:t>四川省巴中水文水资源勘测中心</w:t>
                  </w:r>
                  <w:r>
                    <w:t>1</w:t>
                  </w:r>
                  <w:r>
                    <w:rPr>
                      <w:rFonts w:hint="eastAsia"/>
                    </w:rPr>
                    <w:t>F、4F分别设置1套</w:t>
                  </w:r>
                  <w:r>
                    <w:t>0.3</w:t>
                  </w:r>
                  <w:r>
                    <w:rPr>
                      <w:rFonts w:hint="eastAsia"/>
                    </w:rPr>
                    <w:t>m</w:t>
                  </w:r>
                  <w:r>
                    <w:rPr>
                      <w:vertAlign w:val="superscript"/>
                    </w:rPr>
                    <w:t>3</w:t>
                  </w:r>
                  <w:r>
                    <w:t>/</w:t>
                  </w:r>
                  <w:r>
                    <w:rPr>
                      <w:rFonts w:hint="eastAsia"/>
                    </w:rPr>
                    <w:t>d（共计0</w:t>
                  </w:r>
                  <w:r>
                    <w:t>.6</w:t>
                  </w:r>
                  <w:r>
                    <w:rPr>
                      <w:rFonts w:hint="eastAsia"/>
                    </w:rPr>
                    <w:t>m</w:t>
                  </w:r>
                  <w:r>
                    <w:rPr>
                      <w:vertAlign w:val="superscript"/>
                    </w:rPr>
                    <w:t>3</w:t>
                  </w:r>
                  <w:r>
                    <w:t>/</w:t>
                  </w:r>
                  <w:r>
                    <w:rPr>
                      <w:rFonts w:hint="eastAsia"/>
                    </w:rPr>
                    <w:t>d）的实验室废水处理装置，采用“集水箱</w:t>
                  </w:r>
                  <w:r>
                    <w:rPr>
                      <w:rFonts w:hint="eastAsia"/>
                      <w:szCs w:val="18"/>
                    </w:rPr>
                    <w:t>+pH调节+混凝沉淀+光催化降解+复合过滤+紫外消毒</w:t>
                  </w:r>
                  <w:r>
                    <w:rPr>
                      <w:rFonts w:hint="eastAsia"/>
                    </w:rPr>
                    <w:t>”工艺，废水经处理后通过市政污水管网排入巴中经济开发区污水处理厂</w:t>
                  </w:r>
                </w:p>
              </w:tc>
              <w:tc>
                <w:tcPr>
                  <w:tcW w:w="365" w:type="pct"/>
                  <w:vMerge w:val="continue"/>
                  <w:vAlign w:val="center"/>
                </w:tcPr>
                <w:p>
                  <w:pPr>
                    <w:pStyle w:val="136"/>
                    <w:adjustRightInd w:val="0"/>
                    <w:snapToGrid w:val="0"/>
                    <w:rPr>
                      <w:rFonts w:cs="Times New Roman"/>
                      <w:szCs w:val="18"/>
                    </w:rPr>
                  </w:pPr>
                </w:p>
              </w:tc>
              <w:tc>
                <w:tcPr>
                  <w:tcW w:w="547" w:type="pct"/>
                  <w:vMerge w:val="continue"/>
                  <w:vAlign w:val="center"/>
                </w:tcPr>
                <w:p>
                  <w:pPr>
                    <w:pStyle w:val="136"/>
                    <w:adjustRightInd w:val="0"/>
                    <w:snapToGrid w:val="0"/>
                    <w:rPr>
                      <w:rFonts w:cs="Times New Roman"/>
                      <w:szCs w:val="18"/>
                    </w:rPr>
                  </w:pPr>
                </w:p>
              </w:tc>
              <w:tc>
                <w:tcPr>
                  <w:tcW w:w="296" w:type="pct"/>
                  <w:vAlign w:val="center"/>
                </w:tcPr>
                <w:p>
                  <w:pPr>
                    <w:pStyle w:val="136"/>
                    <w:adjustRightInd w:val="0"/>
                    <w:snapToGrid w:val="0"/>
                    <w:rPr>
                      <w:rFonts w:cs="Times New Roman"/>
                      <w:szCs w:val="18"/>
                    </w:rPr>
                  </w:pPr>
                  <w:r>
                    <w:rPr>
                      <w:rFonts w:hint="eastAsia" w:cs="Times New Roman"/>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2" w:type="pct"/>
                  <w:vMerge w:val="continue"/>
                  <w:vAlign w:val="center"/>
                </w:tcPr>
                <w:p>
                  <w:pPr>
                    <w:pStyle w:val="136"/>
                    <w:adjustRightInd w:val="0"/>
                    <w:snapToGrid w:val="0"/>
                    <w:rPr>
                      <w:rFonts w:cs="Times New Roman"/>
                      <w:szCs w:val="18"/>
                    </w:rPr>
                  </w:pPr>
                </w:p>
              </w:tc>
              <w:tc>
                <w:tcPr>
                  <w:tcW w:w="501" w:type="pct"/>
                  <w:vAlign w:val="center"/>
                </w:tcPr>
                <w:p>
                  <w:pPr>
                    <w:pStyle w:val="136"/>
                    <w:adjustRightInd w:val="0"/>
                    <w:snapToGrid w:val="0"/>
                    <w:rPr>
                      <w:rFonts w:cs="Times New Roman"/>
                      <w:szCs w:val="18"/>
                    </w:rPr>
                  </w:pPr>
                  <w:r>
                    <w:rPr>
                      <w:rFonts w:hint="eastAsia" w:cs="Times New Roman"/>
                      <w:szCs w:val="18"/>
                    </w:rPr>
                    <w:t>废气</w:t>
                  </w:r>
                </w:p>
              </w:tc>
              <w:tc>
                <w:tcPr>
                  <w:tcW w:w="2999" w:type="pct"/>
                  <w:vAlign w:val="center"/>
                </w:tcPr>
                <w:p>
                  <w:pPr>
                    <w:pStyle w:val="136"/>
                    <w:adjustRightInd w:val="0"/>
                    <w:snapToGrid w:val="0"/>
                    <w:jc w:val="both"/>
                    <w:rPr>
                      <w:rFonts w:cs="Times New Roman"/>
                      <w:szCs w:val="18"/>
                    </w:rPr>
                  </w:pPr>
                  <w:r>
                    <w:rPr>
                      <w:rFonts w:hint="eastAsia" w:cs="Times New Roman"/>
                      <w:szCs w:val="18"/>
                    </w:rPr>
                    <w:t>于</w:t>
                  </w:r>
                  <w:r>
                    <w:rPr>
                      <w:rFonts w:hint="eastAsia"/>
                    </w:rPr>
                    <w:t>四川省巴中水文水资源勘测中心办公楼楼顶新建2套废气处理装置，采用“活性炭纤维+碱液喷淋塔”处理工艺，设计风量均为1</w:t>
                  </w:r>
                  <w:r>
                    <w:t>2000</w:t>
                  </w:r>
                  <w:r>
                    <w:rPr>
                      <w:rFonts w:hint="eastAsia"/>
                    </w:rPr>
                    <w:t>m</w:t>
                  </w:r>
                  <w:r>
                    <w:rPr>
                      <w:vertAlign w:val="superscript"/>
                    </w:rPr>
                    <w:t>3</w:t>
                  </w:r>
                  <w:r>
                    <w:t>/</w:t>
                  </w:r>
                  <w:r>
                    <w:rPr>
                      <w:rFonts w:hint="eastAsia"/>
                    </w:rPr>
                    <w:t>h，废气经处理后分别通过2个排气筒（DA</w:t>
                  </w:r>
                  <w:r>
                    <w:t>001</w:t>
                  </w:r>
                  <w:r>
                    <w:rPr>
                      <w:rFonts w:hint="eastAsia"/>
                    </w:rPr>
                    <w:t>、DA</w:t>
                  </w:r>
                  <w:r>
                    <w:t>002</w:t>
                  </w:r>
                  <w:r>
                    <w:rPr>
                      <w:rFonts w:hint="eastAsia"/>
                    </w:rPr>
                    <w:t>）排放</w:t>
                  </w:r>
                </w:p>
              </w:tc>
              <w:tc>
                <w:tcPr>
                  <w:tcW w:w="365" w:type="pct"/>
                  <w:vMerge w:val="continue"/>
                  <w:vAlign w:val="center"/>
                </w:tcPr>
                <w:p>
                  <w:pPr>
                    <w:pStyle w:val="136"/>
                    <w:adjustRightInd w:val="0"/>
                    <w:snapToGrid w:val="0"/>
                    <w:rPr>
                      <w:rFonts w:cs="Times New Roman"/>
                      <w:szCs w:val="18"/>
                    </w:rPr>
                  </w:pPr>
                </w:p>
              </w:tc>
              <w:tc>
                <w:tcPr>
                  <w:tcW w:w="547" w:type="pct"/>
                  <w:vAlign w:val="center"/>
                </w:tcPr>
                <w:p>
                  <w:pPr>
                    <w:pStyle w:val="136"/>
                    <w:adjustRightInd w:val="0"/>
                    <w:snapToGrid w:val="0"/>
                    <w:rPr>
                      <w:rFonts w:cs="Times New Roman"/>
                      <w:szCs w:val="18"/>
                    </w:rPr>
                  </w:pPr>
                  <w:r>
                    <w:rPr>
                      <w:rFonts w:hint="eastAsia" w:cs="Times New Roman"/>
                      <w:szCs w:val="18"/>
                    </w:rPr>
                    <w:t>废气</w:t>
                  </w:r>
                </w:p>
                <w:p>
                  <w:pPr>
                    <w:pStyle w:val="136"/>
                    <w:adjustRightInd w:val="0"/>
                    <w:snapToGrid w:val="0"/>
                    <w:rPr>
                      <w:rFonts w:cs="Times New Roman"/>
                      <w:szCs w:val="18"/>
                    </w:rPr>
                  </w:pPr>
                  <w:r>
                    <w:rPr>
                      <w:rFonts w:hint="eastAsia" w:cs="Times New Roman"/>
                      <w:szCs w:val="18"/>
                    </w:rPr>
                    <w:t>废水</w:t>
                  </w:r>
                </w:p>
              </w:tc>
              <w:tc>
                <w:tcPr>
                  <w:tcW w:w="296" w:type="pct"/>
                  <w:vAlign w:val="center"/>
                </w:tcPr>
                <w:p>
                  <w:pPr>
                    <w:pStyle w:val="136"/>
                    <w:adjustRightInd w:val="0"/>
                    <w:snapToGrid w:val="0"/>
                    <w:rPr>
                      <w:rFonts w:cs="Times New Roman"/>
                      <w:szCs w:val="18"/>
                    </w:rPr>
                  </w:pPr>
                  <w:r>
                    <w:rPr>
                      <w:rFonts w:hint="eastAsia" w:cs="Times New Roman"/>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2" w:type="pct"/>
                  <w:vMerge w:val="continue"/>
                  <w:vAlign w:val="center"/>
                </w:tcPr>
                <w:p>
                  <w:pPr>
                    <w:pStyle w:val="136"/>
                    <w:adjustRightInd w:val="0"/>
                    <w:snapToGrid w:val="0"/>
                    <w:rPr>
                      <w:rFonts w:cs="Times New Roman"/>
                      <w:szCs w:val="18"/>
                    </w:rPr>
                  </w:pPr>
                </w:p>
              </w:tc>
              <w:tc>
                <w:tcPr>
                  <w:tcW w:w="501" w:type="pct"/>
                  <w:vAlign w:val="center"/>
                </w:tcPr>
                <w:p>
                  <w:pPr>
                    <w:pStyle w:val="136"/>
                    <w:adjustRightInd w:val="0"/>
                    <w:snapToGrid w:val="0"/>
                    <w:rPr>
                      <w:rFonts w:cs="Times New Roman"/>
                      <w:szCs w:val="18"/>
                    </w:rPr>
                  </w:pPr>
                  <w:r>
                    <w:rPr>
                      <w:rFonts w:hint="eastAsia" w:cs="Times New Roman"/>
                      <w:szCs w:val="18"/>
                    </w:rPr>
                    <w:t>噪声</w:t>
                  </w:r>
                </w:p>
              </w:tc>
              <w:tc>
                <w:tcPr>
                  <w:tcW w:w="2999" w:type="pct"/>
                  <w:vAlign w:val="center"/>
                </w:tcPr>
                <w:p>
                  <w:pPr>
                    <w:pStyle w:val="136"/>
                    <w:adjustRightInd w:val="0"/>
                    <w:snapToGrid w:val="0"/>
                    <w:jc w:val="both"/>
                    <w:rPr>
                      <w:rFonts w:cs="Times New Roman"/>
                      <w:szCs w:val="18"/>
                    </w:rPr>
                  </w:pPr>
                  <w:r>
                    <w:rPr>
                      <w:rFonts w:hint="eastAsia" w:cs="Times New Roman"/>
                      <w:szCs w:val="18"/>
                    </w:rPr>
                    <w:t>厂房隔声，设备安装</w:t>
                  </w:r>
                  <w:r>
                    <w:rPr>
                      <w:rFonts w:hint="eastAsia"/>
                      <w:szCs w:val="18"/>
                    </w:rPr>
                    <w:t>柔性接头、减震基础、消声器等</w:t>
                  </w:r>
                </w:p>
              </w:tc>
              <w:tc>
                <w:tcPr>
                  <w:tcW w:w="365" w:type="pct"/>
                  <w:vMerge w:val="continue"/>
                  <w:vAlign w:val="center"/>
                </w:tcPr>
                <w:p>
                  <w:pPr>
                    <w:pStyle w:val="136"/>
                    <w:adjustRightInd w:val="0"/>
                    <w:snapToGrid w:val="0"/>
                    <w:rPr>
                      <w:rFonts w:cs="Times New Roman"/>
                      <w:szCs w:val="18"/>
                    </w:rPr>
                  </w:pPr>
                </w:p>
              </w:tc>
              <w:tc>
                <w:tcPr>
                  <w:tcW w:w="547" w:type="pct"/>
                  <w:vAlign w:val="center"/>
                </w:tcPr>
                <w:p>
                  <w:pPr>
                    <w:pStyle w:val="136"/>
                    <w:adjustRightInd w:val="0"/>
                    <w:snapToGrid w:val="0"/>
                    <w:rPr>
                      <w:rFonts w:cs="Times New Roman"/>
                      <w:szCs w:val="18"/>
                    </w:rPr>
                  </w:pPr>
                  <w:r>
                    <w:rPr>
                      <w:rFonts w:hint="eastAsia" w:cs="Times New Roman"/>
                      <w:szCs w:val="18"/>
                    </w:rPr>
                    <w:t>噪声</w:t>
                  </w:r>
                </w:p>
              </w:tc>
              <w:tc>
                <w:tcPr>
                  <w:tcW w:w="296" w:type="pct"/>
                  <w:vAlign w:val="center"/>
                </w:tcPr>
                <w:p>
                  <w:pPr>
                    <w:pStyle w:val="136"/>
                    <w:adjustRightInd w:val="0"/>
                    <w:snapToGrid w:val="0"/>
                    <w:rPr>
                      <w:rFonts w:cs="Times New Roman"/>
                      <w:szCs w:val="18"/>
                    </w:rPr>
                  </w:pPr>
                  <w:r>
                    <w:rPr>
                      <w:rFonts w:hint="eastAsia" w:cs="Times New Roman"/>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2" w:type="pct"/>
                  <w:vMerge w:val="continue"/>
                  <w:vAlign w:val="center"/>
                </w:tcPr>
                <w:p>
                  <w:pPr>
                    <w:pStyle w:val="136"/>
                    <w:adjustRightInd w:val="0"/>
                    <w:snapToGrid w:val="0"/>
                    <w:rPr>
                      <w:rFonts w:cs="Times New Roman"/>
                      <w:szCs w:val="18"/>
                    </w:rPr>
                  </w:pPr>
                </w:p>
              </w:tc>
              <w:tc>
                <w:tcPr>
                  <w:tcW w:w="501" w:type="pct"/>
                  <w:vMerge w:val="restart"/>
                  <w:vAlign w:val="center"/>
                </w:tcPr>
                <w:p>
                  <w:pPr>
                    <w:pStyle w:val="136"/>
                    <w:adjustRightInd w:val="0"/>
                    <w:snapToGrid w:val="0"/>
                    <w:rPr>
                      <w:rFonts w:cs="Times New Roman"/>
                      <w:szCs w:val="18"/>
                    </w:rPr>
                  </w:pPr>
                  <w:r>
                    <w:rPr>
                      <w:rFonts w:hint="eastAsia" w:cs="Times New Roman"/>
                      <w:szCs w:val="18"/>
                    </w:rPr>
                    <w:t>固废</w:t>
                  </w:r>
                </w:p>
              </w:tc>
              <w:tc>
                <w:tcPr>
                  <w:tcW w:w="2999" w:type="pct"/>
                  <w:vAlign w:val="center"/>
                </w:tcPr>
                <w:p>
                  <w:pPr>
                    <w:pStyle w:val="136"/>
                    <w:adjustRightInd w:val="0"/>
                    <w:snapToGrid w:val="0"/>
                    <w:jc w:val="both"/>
                    <w:rPr>
                      <w:rFonts w:cs="Times New Roman"/>
                      <w:szCs w:val="18"/>
                    </w:rPr>
                  </w:pPr>
                  <w:r>
                    <w:rPr>
                      <w:rFonts w:hint="eastAsia" w:cs="Times New Roman"/>
                      <w:szCs w:val="18"/>
                    </w:rPr>
                    <w:t>于</w:t>
                  </w:r>
                  <w:r>
                    <w:rPr>
                      <w:rFonts w:hint="eastAsia"/>
                    </w:rPr>
                    <w:t>四川省巴中水文水资源勘测中心办公楼5F设置1间危险废物暂存间，建筑面积约3</w:t>
                  </w:r>
                  <w:r>
                    <w:t>.96</w:t>
                  </w:r>
                  <w:r>
                    <w:rPr>
                      <w:rFonts w:hint="eastAsia"/>
                    </w:rPr>
                    <w:t>m</w:t>
                  </w:r>
                  <w:r>
                    <w:rPr>
                      <w:vertAlign w:val="superscript"/>
                    </w:rPr>
                    <w:t>2</w:t>
                  </w:r>
                  <w:r>
                    <w:rPr>
                      <w:rFonts w:hint="eastAsia"/>
                    </w:rPr>
                    <w:t>，危险废物</w:t>
                  </w:r>
                  <w:r>
                    <w:rPr>
                      <w:rFonts w:hint="eastAsia" w:cs="Times New Roman"/>
                      <w:szCs w:val="18"/>
                      <w:lang w:val="de-DE"/>
                    </w:rPr>
                    <w:t>委托有危险废物处置资质单位定期清运处理</w:t>
                  </w:r>
                </w:p>
              </w:tc>
              <w:tc>
                <w:tcPr>
                  <w:tcW w:w="365" w:type="pct"/>
                  <w:vMerge w:val="continue"/>
                  <w:vAlign w:val="center"/>
                </w:tcPr>
                <w:p>
                  <w:pPr>
                    <w:pStyle w:val="136"/>
                    <w:adjustRightInd w:val="0"/>
                    <w:snapToGrid w:val="0"/>
                    <w:rPr>
                      <w:rFonts w:cs="Times New Roman"/>
                      <w:szCs w:val="18"/>
                    </w:rPr>
                  </w:pPr>
                </w:p>
              </w:tc>
              <w:tc>
                <w:tcPr>
                  <w:tcW w:w="547" w:type="pct"/>
                  <w:vAlign w:val="center"/>
                </w:tcPr>
                <w:p>
                  <w:pPr>
                    <w:pStyle w:val="136"/>
                    <w:adjustRightInd w:val="0"/>
                    <w:snapToGrid w:val="0"/>
                    <w:rPr>
                      <w:rFonts w:cs="Times New Roman"/>
                      <w:szCs w:val="18"/>
                    </w:rPr>
                  </w:pPr>
                  <w:r>
                    <w:rPr>
                      <w:rFonts w:hint="eastAsia" w:cs="Times New Roman"/>
                      <w:szCs w:val="18"/>
                    </w:rPr>
                    <w:t>固废</w:t>
                  </w:r>
                </w:p>
              </w:tc>
              <w:tc>
                <w:tcPr>
                  <w:tcW w:w="296" w:type="pct"/>
                  <w:vAlign w:val="center"/>
                </w:tcPr>
                <w:p>
                  <w:pPr>
                    <w:pStyle w:val="136"/>
                    <w:adjustRightInd w:val="0"/>
                    <w:snapToGrid w:val="0"/>
                    <w:rPr>
                      <w:rFonts w:cs="Times New Roman"/>
                      <w:szCs w:val="18"/>
                    </w:rPr>
                  </w:pPr>
                  <w:r>
                    <w:rPr>
                      <w:rFonts w:hint="eastAsia" w:cs="Times New Roman"/>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2" w:type="pct"/>
                  <w:vMerge w:val="continue"/>
                  <w:vAlign w:val="center"/>
                </w:tcPr>
                <w:p>
                  <w:pPr>
                    <w:pStyle w:val="136"/>
                    <w:adjustRightInd w:val="0"/>
                    <w:snapToGrid w:val="0"/>
                    <w:rPr>
                      <w:rFonts w:cs="Times New Roman"/>
                      <w:szCs w:val="18"/>
                    </w:rPr>
                  </w:pPr>
                </w:p>
              </w:tc>
              <w:tc>
                <w:tcPr>
                  <w:tcW w:w="501" w:type="pct"/>
                  <w:vMerge w:val="continue"/>
                  <w:vAlign w:val="center"/>
                </w:tcPr>
                <w:p>
                  <w:pPr>
                    <w:pStyle w:val="136"/>
                    <w:adjustRightInd w:val="0"/>
                    <w:snapToGrid w:val="0"/>
                    <w:rPr>
                      <w:rFonts w:cs="Times New Roman"/>
                      <w:szCs w:val="18"/>
                    </w:rPr>
                  </w:pPr>
                </w:p>
              </w:tc>
              <w:tc>
                <w:tcPr>
                  <w:tcW w:w="2999" w:type="pct"/>
                  <w:vAlign w:val="center"/>
                </w:tcPr>
                <w:p>
                  <w:pPr>
                    <w:pStyle w:val="136"/>
                    <w:adjustRightInd w:val="0"/>
                    <w:snapToGrid w:val="0"/>
                    <w:rPr>
                      <w:rFonts w:cs="Times New Roman"/>
                      <w:szCs w:val="18"/>
                    </w:rPr>
                  </w:pPr>
                  <w:r>
                    <w:rPr>
                      <w:rFonts w:hint="eastAsia" w:cs="Times New Roman"/>
                      <w:szCs w:val="18"/>
                    </w:rPr>
                    <w:t>生活垃圾委托环卫部门清运处理</w:t>
                  </w:r>
                </w:p>
              </w:tc>
              <w:tc>
                <w:tcPr>
                  <w:tcW w:w="365" w:type="pct"/>
                  <w:vMerge w:val="continue"/>
                  <w:vAlign w:val="center"/>
                </w:tcPr>
                <w:p>
                  <w:pPr>
                    <w:pStyle w:val="136"/>
                    <w:adjustRightInd w:val="0"/>
                    <w:snapToGrid w:val="0"/>
                    <w:rPr>
                      <w:rFonts w:cs="Times New Roman"/>
                      <w:szCs w:val="18"/>
                    </w:rPr>
                  </w:pPr>
                </w:p>
              </w:tc>
              <w:tc>
                <w:tcPr>
                  <w:tcW w:w="547" w:type="pct"/>
                  <w:vAlign w:val="center"/>
                </w:tcPr>
                <w:p>
                  <w:pPr>
                    <w:pStyle w:val="136"/>
                    <w:adjustRightInd w:val="0"/>
                    <w:snapToGrid w:val="0"/>
                    <w:rPr>
                      <w:rFonts w:cs="Times New Roman"/>
                      <w:szCs w:val="18"/>
                    </w:rPr>
                  </w:pPr>
                  <w:r>
                    <w:rPr>
                      <w:rFonts w:hint="eastAsia" w:cs="Times New Roman"/>
                      <w:szCs w:val="18"/>
                    </w:rPr>
                    <w:t>固废</w:t>
                  </w:r>
                </w:p>
              </w:tc>
              <w:tc>
                <w:tcPr>
                  <w:tcW w:w="296" w:type="pct"/>
                  <w:vAlign w:val="center"/>
                </w:tcPr>
                <w:p>
                  <w:pPr>
                    <w:pStyle w:val="136"/>
                    <w:adjustRightInd w:val="0"/>
                    <w:snapToGrid w:val="0"/>
                    <w:rPr>
                      <w:rFonts w:cs="Times New Roman"/>
                      <w:szCs w:val="18"/>
                    </w:rPr>
                  </w:pPr>
                  <w:r>
                    <w:rPr>
                      <w:rFonts w:hint="eastAsia" w:cs="Times New Roman"/>
                      <w:szCs w:val="18"/>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2" w:type="pct"/>
                  <w:vMerge w:val="continue"/>
                  <w:vAlign w:val="center"/>
                </w:tcPr>
                <w:p>
                  <w:pPr>
                    <w:pStyle w:val="136"/>
                    <w:adjustRightInd w:val="0"/>
                    <w:snapToGrid w:val="0"/>
                    <w:rPr>
                      <w:rFonts w:cs="Times New Roman"/>
                      <w:szCs w:val="18"/>
                    </w:rPr>
                  </w:pPr>
                </w:p>
              </w:tc>
              <w:tc>
                <w:tcPr>
                  <w:tcW w:w="501" w:type="pct"/>
                  <w:vAlign w:val="center"/>
                </w:tcPr>
                <w:p>
                  <w:pPr>
                    <w:pStyle w:val="136"/>
                    <w:adjustRightInd w:val="0"/>
                    <w:snapToGrid w:val="0"/>
                    <w:rPr>
                      <w:rFonts w:cs="Times New Roman"/>
                      <w:szCs w:val="18"/>
                    </w:rPr>
                  </w:pPr>
                  <w:r>
                    <w:rPr>
                      <w:rFonts w:hint="eastAsia" w:cs="Times New Roman"/>
                      <w:szCs w:val="18"/>
                    </w:rPr>
                    <w:t>地下水、土壤</w:t>
                  </w:r>
                </w:p>
              </w:tc>
              <w:tc>
                <w:tcPr>
                  <w:tcW w:w="2999" w:type="pct"/>
                  <w:vAlign w:val="center"/>
                </w:tcPr>
                <w:p>
                  <w:pPr>
                    <w:pStyle w:val="136"/>
                    <w:adjustRightInd w:val="0"/>
                    <w:snapToGrid w:val="0"/>
                    <w:jc w:val="both"/>
                    <w:rPr>
                      <w:rFonts w:cs="Times New Roman"/>
                      <w:szCs w:val="18"/>
                    </w:rPr>
                  </w:pPr>
                  <w:r>
                    <w:rPr>
                      <w:rFonts w:hint="eastAsia" w:cs="Times New Roman"/>
                      <w:szCs w:val="18"/>
                    </w:rPr>
                    <w:t>对危险废物暂存间、废水处理区采取重点防渗处理，实验室区域采取一般防渗处理，其余区域采取简单防渗处理</w:t>
                  </w:r>
                </w:p>
              </w:tc>
              <w:tc>
                <w:tcPr>
                  <w:tcW w:w="365" w:type="pct"/>
                  <w:vMerge w:val="continue"/>
                  <w:vAlign w:val="center"/>
                </w:tcPr>
                <w:p>
                  <w:pPr>
                    <w:pStyle w:val="136"/>
                    <w:adjustRightInd w:val="0"/>
                    <w:snapToGrid w:val="0"/>
                    <w:rPr>
                      <w:rFonts w:cs="Times New Roman"/>
                      <w:szCs w:val="18"/>
                    </w:rPr>
                  </w:pPr>
                </w:p>
              </w:tc>
              <w:tc>
                <w:tcPr>
                  <w:tcW w:w="547" w:type="pct"/>
                  <w:vAlign w:val="center"/>
                </w:tcPr>
                <w:p>
                  <w:pPr>
                    <w:pStyle w:val="136"/>
                    <w:adjustRightInd w:val="0"/>
                    <w:snapToGrid w:val="0"/>
                    <w:rPr>
                      <w:rFonts w:cs="Times New Roman"/>
                      <w:szCs w:val="18"/>
                    </w:rPr>
                  </w:pPr>
                  <w:r>
                    <w:rPr>
                      <w:rFonts w:hint="eastAsia" w:cs="Times New Roman"/>
                      <w:szCs w:val="18"/>
                    </w:rPr>
                    <w:t>风险</w:t>
                  </w:r>
                </w:p>
              </w:tc>
              <w:tc>
                <w:tcPr>
                  <w:tcW w:w="296" w:type="pct"/>
                  <w:vAlign w:val="center"/>
                </w:tcPr>
                <w:p>
                  <w:pPr>
                    <w:pStyle w:val="136"/>
                    <w:adjustRightInd w:val="0"/>
                    <w:snapToGrid w:val="0"/>
                    <w:rPr>
                      <w:rFonts w:cs="Times New Roman"/>
                      <w:szCs w:val="18"/>
                    </w:rPr>
                  </w:pPr>
                  <w:r>
                    <w:rPr>
                      <w:rFonts w:hint="eastAsia" w:cs="Times New Roman"/>
                      <w:szCs w:val="18"/>
                    </w:rPr>
                    <w:t>新建</w:t>
                  </w:r>
                </w:p>
              </w:tc>
            </w:tr>
          </w:tbl>
          <w:p>
            <w:pPr>
              <w:ind w:firstLine="0" w:firstLineChars="0"/>
              <w:rPr>
                <w:b/>
              </w:rPr>
            </w:pPr>
            <w:r>
              <w:rPr>
                <w:rFonts w:hint="eastAsia"/>
                <w:b/>
              </w:rPr>
              <w:t>4、公辅设施依托情况</w:t>
            </w:r>
          </w:p>
          <w:p>
            <w:pPr>
              <w:ind w:firstLine="480"/>
            </w:pPr>
            <w:r>
              <w:rPr>
                <w:rFonts w:hint="eastAsia"/>
              </w:rPr>
              <w:t>本项目公辅设施依托情况如下表所示：</w:t>
            </w:r>
          </w:p>
          <w:p>
            <w:pPr>
              <w:pStyle w:val="157"/>
              <w:adjustRightInd w:val="0"/>
              <w:snapToGrid w:val="0"/>
            </w:pPr>
            <w:r>
              <w:t>表2.1-4  公辅设施依托情况一览表</w:t>
            </w:r>
          </w:p>
          <w:tbl>
            <w:tblPr>
              <w:tblStyle w:val="19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11"/>
              <w:gridCol w:w="3178"/>
              <w:gridCol w:w="3024"/>
              <w:gridCol w:w="8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623" w:type="pct"/>
                  <w:vAlign w:val="center"/>
                </w:tcPr>
                <w:p>
                  <w:pPr>
                    <w:pStyle w:val="136"/>
                    <w:adjustRightInd w:val="0"/>
                    <w:snapToGrid w:val="0"/>
                    <w:rPr>
                      <w:b/>
                      <w:bCs/>
                    </w:rPr>
                  </w:pPr>
                  <w:r>
                    <w:rPr>
                      <w:rFonts w:hint="eastAsia"/>
                      <w:b/>
                      <w:bCs/>
                    </w:rPr>
                    <w:t>类别</w:t>
                  </w:r>
                </w:p>
              </w:tc>
              <w:tc>
                <w:tcPr>
                  <w:tcW w:w="1961" w:type="pct"/>
                  <w:vAlign w:val="center"/>
                </w:tcPr>
                <w:p>
                  <w:pPr>
                    <w:pStyle w:val="136"/>
                    <w:adjustRightInd w:val="0"/>
                    <w:snapToGrid w:val="0"/>
                    <w:rPr>
                      <w:b/>
                      <w:bCs/>
                    </w:rPr>
                  </w:pPr>
                  <w:r>
                    <w:rPr>
                      <w:rFonts w:hint="eastAsia"/>
                      <w:b/>
                      <w:bCs/>
                    </w:rPr>
                    <w:t>现有设施情况</w:t>
                  </w:r>
                </w:p>
              </w:tc>
              <w:tc>
                <w:tcPr>
                  <w:tcW w:w="1866" w:type="pct"/>
                  <w:vAlign w:val="center"/>
                </w:tcPr>
                <w:p>
                  <w:pPr>
                    <w:pStyle w:val="136"/>
                    <w:adjustRightInd w:val="0"/>
                    <w:snapToGrid w:val="0"/>
                    <w:rPr>
                      <w:b/>
                      <w:bCs/>
                    </w:rPr>
                  </w:pPr>
                  <w:r>
                    <w:rPr>
                      <w:rFonts w:hint="eastAsia"/>
                      <w:b/>
                      <w:bCs/>
                    </w:rPr>
                    <w:t>依托情况</w:t>
                  </w:r>
                </w:p>
              </w:tc>
              <w:tc>
                <w:tcPr>
                  <w:tcW w:w="550" w:type="pct"/>
                  <w:vAlign w:val="center"/>
                </w:tcPr>
                <w:p>
                  <w:pPr>
                    <w:pStyle w:val="136"/>
                    <w:adjustRightInd w:val="0"/>
                    <w:snapToGrid w:val="0"/>
                    <w:rPr>
                      <w:b/>
                      <w:bCs/>
                    </w:rPr>
                  </w:pPr>
                  <w:r>
                    <w:rPr>
                      <w:rFonts w:hint="eastAsia"/>
                      <w:b/>
                      <w:bCs/>
                    </w:rPr>
                    <w:t>是否满足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623" w:type="pct"/>
                  <w:vAlign w:val="center"/>
                </w:tcPr>
                <w:p>
                  <w:pPr>
                    <w:pStyle w:val="136"/>
                    <w:adjustRightInd w:val="0"/>
                    <w:snapToGrid w:val="0"/>
                  </w:pPr>
                  <w:r>
                    <w:rPr>
                      <w:rFonts w:hint="eastAsia"/>
                    </w:rPr>
                    <w:t>生活污水处理设施</w:t>
                  </w:r>
                </w:p>
              </w:tc>
              <w:tc>
                <w:tcPr>
                  <w:tcW w:w="1961" w:type="pct"/>
                  <w:vAlign w:val="center"/>
                </w:tcPr>
                <w:p>
                  <w:pPr>
                    <w:pStyle w:val="136"/>
                    <w:adjustRightInd w:val="0"/>
                    <w:snapToGrid w:val="0"/>
                  </w:pPr>
                  <w:r>
                    <w:rPr>
                      <w:rFonts w:hint="eastAsia"/>
                    </w:rPr>
                    <w:t>四川省巴中水文水资源勘测中心设计建设1座</w:t>
                  </w:r>
                  <w:r>
                    <w:t>10</w:t>
                  </w:r>
                  <w:r>
                    <w:rPr>
                      <w:rFonts w:hint="eastAsia"/>
                    </w:rPr>
                    <w:t>m</w:t>
                  </w:r>
                  <w:r>
                    <w:rPr>
                      <w:vertAlign w:val="superscript"/>
                    </w:rPr>
                    <w:t>3</w:t>
                  </w:r>
                  <w:r>
                    <w:t>/</w:t>
                  </w:r>
                  <w:r>
                    <w:rPr>
                      <w:rFonts w:hint="eastAsia"/>
                    </w:rPr>
                    <w:t>d生活污水预处理池，目前正在建设中，四川省巴中水文水资源勘测中心生活污水产生量约8m</w:t>
                  </w:r>
                  <w:r>
                    <w:rPr>
                      <w:vertAlign w:val="superscript"/>
                    </w:rPr>
                    <w:t>3</w:t>
                  </w:r>
                  <w:r>
                    <w:t>/</w:t>
                  </w:r>
                  <w:r>
                    <w:rPr>
                      <w:rFonts w:hint="eastAsia"/>
                    </w:rPr>
                    <w:t>d</w:t>
                  </w:r>
                </w:p>
              </w:tc>
              <w:tc>
                <w:tcPr>
                  <w:tcW w:w="1866" w:type="pct"/>
                  <w:vAlign w:val="center"/>
                </w:tcPr>
                <w:p>
                  <w:pPr>
                    <w:pStyle w:val="136"/>
                    <w:adjustRightInd w:val="0"/>
                    <w:snapToGrid w:val="0"/>
                  </w:pPr>
                  <w:r>
                    <w:rPr>
                      <w:rFonts w:hint="eastAsia"/>
                    </w:rPr>
                    <w:t>本项目生活污水产生量0</w:t>
                  </w:r>
                  <w:r>
                    <w:t>.4</w:t>
                  </w:r>
                  <w:r>
                    <w:rPr>
                      <w:rFonts w:hint="eastAsia"/>
                    </w:rPr>
                    <w:t>m</w:t>
                  </w:r>
                  <w:r>
                    <w:rPr>
                      <w:vertAlign w:val="superscript"/>
                    </w:rPr>
                    <w:t>3</w:t>
                  </w:r>
                  <w:r>
                    <w:rPr>
                      <w:rFonts w:hint="eastAsia"/>
                    </w:rPr>
                    <w:t>，四川省巴中水文水资源勘测中心生活污水预处理池剩余处理能力约2m</w:t>
                  </w:r>
                  <w:r>
                    <w:rPr>
                      <w:vertAlign w:val="superscript"/>
                    </w:rPr>
                    <w:t>3</w:t>
                  </w:r>
                  <w:r>
                    <w:t>/</w:t>
                  </w:r>
                  <w:r>
                    <w:rPr>
                      <w:rFonts w:hint="eastAsia"/>
                    </w:rPr>
                    <w:t>d，依托可行</w:t>
                  </w:r>
                </w:p>
              </w:tc>
              <w:tc>
                <w:tcPr>
                  <w:tcW w:w="550" w:type="pct"/>
                  <w:vAlign w:val="center"/>
                </w:tcPr>
                <w:p>
                  <w:pPr>
                    <w:pStyle w:val="136"/>
                    <w:adjustRightInd w:val="0"/>
                    <w:snapToGrid w:val="0"/>
                  </w:pPr>
                  <w:r>
                    <w:rPr>
                      <w:rFonts w:hint="eastAsia"/>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623" w:type="pct"/>
                  <w:vAlign w:val="center"/>
                </w:tcPr>
                <w:p>
                  <w:pPr>
                    <w:pStyle w:val="136"/>
                    <w:adjustRightInd w:val="0"/>
                    <w:snapToGrid w:val="0"/>
                  </w:pPr>
                  <w:r>
                    <w:rPr>
                      <w:rFonts w:hint="eastAsia"/>
                    </w:rPr>
                    <w:t>巴中经济开发区污水处理厂</w:t>
                  </w:r>
                </w:p>
              </w:tc>
              <w:tc>
                <w:tcPr>
                  <w:tcW w:w="1961" w:type="pct"/>
                  <w:vAlign w:val="center"/>
                </w:tcPr>
                <w:p>
                  <w:pPr>
                    <w:pStyle w:val="136"/>
                    <w:adjustRightInd w:val="0"/>
                    <w:snapToGrid w:val="0"/>
                    <w:jc w:val="both"/>
                  </w:pPr>
                  <w:r>
                    <w:rPr>
                      <w:rFonts w:hint="eastAsia"/>
                    </w:rPr>
                    <w:t>巴中经济开发区污水处理厂设计处理规模为</w:t>
                  </w:r>
                  <w:r>
                    <w:t>5.0万m</w:t>
                  </w:r>
                  <w:r>
                    <w:rPr>
                      <w:vertAlign w:val="superscript"/>
                    </w:rPr>
                    <w:t>3</w:t>
                  </w:r>
                  <w:r>
                    <w:t>/d</w:t>
                  </w:r>
                  <w:r>
                    <w:rPr>
                      <w:rFonts w:hint="eastAsia"/>
                    </w:rPr>
                    <w:t>。主要服务经开区兴文片区的生活污水以及工业废水，目前污水厂一期工程（设计规模1.99</w:t>
                  </w:r>
                  <w:r>
                    <w:t>万吨/日</w:t>
                  </w:r>
                  <w:r>
                    <w:rPr>
                      <w:rFonts w:hint="eastAsia"/>
                    </w:rPr>
                    <w:t>）已建成运行，污水处理达到《城镇污水处理厂污染物排放标准》（GB18918-2002）中一级A标要求后，排入巴河。</w:t>
                  </w:r>
                </w:p>
              </w:tc>
              <w:tc>
                <w:tcPr>
                  <w:tcW w:w="1866" w:type="pct"/>
                  <w:vAlign w:val="center"/>
                </w:tcPr>
                <w:p>
                  <w:pPr>
                    <w:pStyle w:val="136"/>
                    <w:adjustRightInd w:val="0"/>
                    <w:snapToGrid w:val="0"/>
                  </w:pPr>
                  <w:r>
                    <w:t>本项目</w:t>
                  </w:r>
                  <w:r>
                    <w:rPr>
                      <w:rFonts w:hint="eastAsia"/>
                    </w:rPr>
                    <w:t>位于污水处理厂接管</w:t>
                  </w:r>
                  <w:r>
                    <w:t>服务范围，一期工程</w:t>
                  </w:r>
                  <w:r>
                    <w:rPr>
                      <w:rFonts w:hint="eastAsia"/>
                    </w:rPr>
                    <w:t>剩余处理能力为0</w:t>
                  </w:r>
                  <w:r>
                    <w:t>.99万吨/日</w:t>
                  </w:r>
                  <w:r>
                    <w:rPr>
                      <w:rFonts w:hint="eastAsia"/>
                    </w:rPr>
                    <w:t>，本项目废水排放量共0</w:t>
                  </w:r>
                  <w:r>
                    <w:t>.782</w:t>
                  </w:r>
                  <w:r>
                    <w:rPr>
                      <w:rFonts w:hint="eastAsia"/>
                    </w:rPr>
                    <w:t>m</w:t>
                  </w:r>
                  <w:r>
                    <w:rPr>
                      <w:vertAlign w:val="superscript"/>
                    </w:rPr>
                    <w:t>3</w:t>
                  </w:r>
                  <w:r>
                    <w:t>/</w:t>
                  </w:r>
                  <w:r>
                    <w:rPr>
                      <w:rFonts w:hint="eastAsia"/>
                    </w:rPr>
                    <w:t>d，废水经处理达</w:t>
                  </w:r>
                  <w:r>
                    <w:t>《污水综合排放标准》三级标准</w:t>
                  </w:r>
                  <w:r>
                    <w:rPr>
                      <w:rFonts w:hint="eastAsia"/>
                    </w:rPr>
                    <w:t>排放，满足污水处理厂接管标准，依托可行。</w:t>
                  </w:r>
                </w:p>
              </w:tc>
              <w:tc>
                <w:tcPr>
                  <w:tcW w:w="550" w:type="pct"/>
                  <w:vAlign w:val="center"/>
                </w:tcPr>
                <w:p>
                  <w:pPr>
                    <w:pStyle w:val="136"/>
                    <w:adjustRightInd w:val="0"/>
                    <w:snapToGrid w:val="0"/>
                  </w:pPr>
                  <w:r>
                    <w:rPr>
                      <w:rFonts w:hint="eastAsia"/>
                    </w:rPr>
                    <w:t>满足</w:t>
                  </w:r>
                </w:p>
              </w:tc>
            </w:tr>
          </w:tbl>
          <w:p>
            <w:pPr>
              <w:ind w:firstLine="0" w:firstLineChars="0"/>
              <w:rPr>
                <w:b/>
              </w:rPr>
            </w:pPr>
            <w:r>
              <w:rPr>
                <w:b/>
              </w:rPr>
              <w:t>5</w:t>
            </w:r>
            <w:r>
              <w:rPr>
                <w:rFonts w:hint="eastAsia"/>
                <w:b/>
              </w:rPr>
              <w:t>、劳动定员及工作制度</w:t>
            </w:r>
          </w:p>
          <w:p>
            <w:pPr>
              <w:ind w:firstLine="480"/>
            </w:pPr>
            <w:r>
              <w:rPr>
                <w:rFonts w:hint="eastAsia"/>
              </w:rPr>
              <w:t>本项目实验室劳动定员1</w:t>
            </w:r>
            <w:r>
              <w:t>0</w:t>
            </w:r>
            <w:r>
              <w:rPr>
                <w:rFonts w:hint="eastAsia"/>
              </w:rPr>
              <w:t>人，年工作2</w:t>
            </w:r>
            <w:r>
              <w:t>60</w:t>
            </w:r>
            <w:r>
              <w:rPr>
                <w:rFonts w:hint="eastAsia"/>
              </w:rPr>
              <w:t>天，每天工作8小时，项目不设置食堂和宿舍。</w:t>
            </w:r>
          </w:p>
          <w:p>
            <w:pPr>
              <w:ind w:firstLine="0" w:firstLineChars="0"/>
              <w:rPr>
                <w:b/>
              </w:rPr>
            </w:pPr>
            <w:r>
              <w:rPr>
                <w:b/>
              </w:rPr>
              <w:t>6、主要设备清单</w:t>
            </w:r>
          </w:p>
          <w:p>
            <w:pPr>
              <w:ind w:firstLine="480"/>
            </w:pPr>
            <w:r>
              <w:t>项目主要设备见下表：</w:t>
            </w:r>
          </w:p>
          <w:p>
            <w:pPr>
              <w:pStyle w:val="157"/>
            </w:pPr>
            <w:r>
              <w:t>表2.1-5  主要</w:t>
            </w:r>
            <w:r>
              <w:rPr>
                <w:rFonts w:hint="eastAsia"/>
              </w:rPr>
              <w:t>检测</w:t>
            </w:r>
            <w:r>
              <w:t>设备一览表</w:t>
            </w:r>
          </w:p>
          <w:tbl>
            <w:tblPr>
              <w:tblStyle w:val="19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06"/>
              <w:gridCol w:w="2694"/>
              <w:gridCol w:w="1810"/>
              <w:gridCol w:w="904"/>
              <w:gridCol w:w="19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Align w:val="center"/>
                </w:tcPr>
                <w:p>
                  <w:pPr>
                    <w:pStyle w:val="136"/>
                    <w:adjustRightInd w:val="0"/>
                    <w:snapToGrid w:val="0"/>
                    <w:rPr>
                      <w:b/>
                      <w:bCs/>
                    </w:rPr>
                  </w:pPr>
                  <w:r>
                    <w:rPr>
                      <w:rFonts w:hint="eastAsia"/>
                      <w:b/>
                      <w:bCs/>
                    </w:rPr>
                    <w:t>序号</w:t>
                  </w:r>
                </w:p>
              </w:tc>
              <w:tc>
                <w:tcPr>
                  <w:tcW w:w="1662" w:type="pct"/>
                  <w:vAlign w:val="center"/>
                </w:tcPr>
                <w:p>
                  <w:pPr>
                    <w:pStyle w:val="136"/>
                    <w:adjustRightInd w:val="0"/>
                    <w:snapToGrid w:val="0"/>
                    <w:rPr>
                      <w:b/>
                      <w:bCs/>
                    </w:rPr>
                  </w:pPr>
                  <w:r>
                    <w:rPr>
                      <w:rFonts w:hint="eastAsia"/>
                      <w:b/>
                      <w:bCs/>
                    </w:rPr>
                    <w:t>设备名称</w:t>
                  </w:r>
                </w:p>
              </w:tc>
              <w:tc>
                <w:tcPr>
                  <w:tcW w:w="1117" w:type="pct"/>
                  <w:vAlign w:val="center"/>
                </w:tcPr>
                <w:p>
                  <w:pPr>
                    <w:pStyle w:val="136"/>
                    <w:adjustRightInd w:val="0"/>
                    <w:snapToGrid w:val="0"/>
                    <w:rPr>
                      <w:b/>
                      <w:bCs/>
                    </w:rPr>
                  </w:pPr>
                  <w:r>
                    <w:rPr>
                      <w:rFonts w:hint="eastAsia"/>
                      <w:b/>
                      <w:bCs/>
                    </w:rPr>
                    <w:t>单位</w:t>
                  </w:r>
                </w:p>
              </w:tc>
              <w:tc>
                <w:tcPr>
                  <w:tcW w:w="558" w:type="pct"/>
                  <w:vAlign w:val="center"/>
                </w:tcPr>
                <w:p>
                  <w:pPr>
                    <w:pStyle w:val="136"/>
                    <w:adjustRightInd w:val="0"/>
                    <w:snapToGrid w:val="0"/>
                    <w:rPr>
                      <w:b/>
                      <w:bCs/>
                    </w:rPr>
                  </w:pPr>
                  <w:r>
                    <w:rPr>
                      <w:rFonts w:hint="eastAsia"/>
                      <w:b/>
                      <w:bCs/>
                    </w:rPr>
                    <w:t>数量</w:t>
                  </w:r>
                </w:p>
              </w:tc>
              <w:tc>
                <w:tcPr>
                  <w:tcW w:w="1228" w:type="pct"/>
                  <w:vAlign w:val="center"/>
                </w:tcPr>
                <w:p>
                  <w:pPr>
                    <w:pStyle w:val="136"/>
                    <w:adjustRightInd w:val="0"/>
                    <w:snapToGrid w:val="0"/>
                    <w:rPr>
                      <w:b/>
                      <w:bCs/>
                    </w:rPr>
                  </w:pPr>
                  <w:r>
                    <w:rPr>
                      <w:rFonts w:hint="eastAsia"/>
                      <w:b/>
                      <w:bCs/>
                    </w:rPr>
                    <w:t>用途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Align w:val="center"/>
                </w:tcPr>
                <w:p>
                  <w:pPr>
                    <w:pStyle w:val="136"/>
                    <w:adjustRightInd w:val="0"/>
                    <w:snapToGrid w:val="0"/>
                  </w:pPr>
                  <w:r>
                    <w:rPr>
                      <w:rFonts w:hint="eastAsia"/>
                    </w:rPr>
                    <w:t>1</w:t>
                  </w:r>
                </w:p>
              </w:tc>
              <w:tc>
                <w:tcPr>
                  <w:tcW w:w="1662" w:type="pct"/>
                  <w:vAlign w:val="center"/>
                </w:tcPr>
                <w:p>
                  <w:pPr>
                    <w:pStyle w:val="136"/>
                    <w:adjustRightInd w:val="0"/>
                    <w:snapToGrid w:val="0"/>
                  </w:pPr>
                  <w:r>
                    <w:rPr>
                      <w:rFonts w:hint="eastAsia"/>
                    </w:rPr>
                    <w:t>连续流动分析仪</w:t>
                  </w:r>
                </w:p>
              </w:tc>
              <w:tc>
                <w:tcPr>
                  <w:tcW w:w="1117" w:type="pct"/>
                  <w:vAlign w:val="center"/>
                </w:tcPr>
                <w:p>
                  <w:pPr>
                    <w:pStyle w:val="136"/>
                    <w:adjustRightInd w:val="0"/>
                    <w:snapToGrid w:val="0"/>
                  </w:pPr>
                  <w:r>
                    <w:rPr>
                      <w:rFonts w:hint="eastAsia"/>
                    </w:rPr>
                    <w:t>台/套</w:t>
                  </w:r>
                </w:p>
              </w:tc>
              <w:tc>
                <w:tcPr>
                  <w:tcW w:w="558" w:type="pct"/>
                  <w:vAlign w:val="center"/>
                </w:tcPr>
                <w:p>
                  <w:pPr>
                    <w:pStyle w:val="136"/>
                    <w:adjustRightInd w:val="0"/>
                    <w:snapToGrid w:val="0"/>
                  </w:pPr>
                  <w:r>
                    <w:rPr>
                      <w:rFonts w:hint="eastAsia"/>
                    </w:rPr>
                    <w:t>1</w:t>
                  </w:r>
                </w:p>
              </w:tc>
              <w:tc>
                <w:tcPr>
                  <w:tcW w:w="1228" w:type="pct"/>
                  <w:vAlign w:val="center"/>
                </w:tcPr>
                <w:p>
                  <w:pPr>
                    <w:pStyle w:val="136"/>
                    <w:adjustRightInd w:val="0"/>
                    <w:snapToGrid w:val="0"/>
                  </w:pPr>
                  <w:r>
                    <w:rPr>
                      <w:rFonts w:hint="eastAsia"/>
                    </w:rPr>
                    <w:t>实验室分析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Align w:val="center"/>
                </w:tcPr>
                <w:p>
                  <w:pPr>
                    <w:pStyle w:val="136"/>
                    <w:adjustRightInd w:val="0"/>
                    <w:snapToGrid w:val="0"/>
                  </w:pPr>
                  <w:r>
                    <w:rPr>
                      <w:rFonts w:hint="eastAsia"/>
                    </w:rPr>
                    <w:t>2</w:t>
                  </w:r>
                </w:p>
              </w:tc>
              <w:tc>
                <w:tcPr>
                  <w:tcW w:w="1662" w:type="pct"/>
                  <w:vAlign w:val="center"/>
                </w:tcPr>
                <w:p>
                  <w:pPr>
                    <w:pStyle w:val="136"/>
                    <w:adjustRightInd w:val="0"/>
                    <w:snapToGrid w:val="0"/>
                  </w:pPr>
                  <w:r>
                    <w:rPr>
                      <w:rFonts w:hint="eastAsia"/>
                    </w:rPr>
                    <w:t>离子色谱仪</w:t>
                  </w:r>
                </w:p>
              </w:tc>
              <w:tc>
                <w:tcPr>
                  <w:tcW w:w="1117" w:type="pct"/>
                  <w:vAlign w:val="center"/>
                </w:tcPr>
                <w:p>
                  <w:pPr>
                    <w:pStyle w:val="136"/>
                    <w:adjustRightInd w:val="0"/>
                    <w:snapToGrid w:val="0"/>
                  </w:pPr>
                  <w:r>
                    <w:rPr>
                      <w:rFonts w:hint="eastAsia"/>
                    </w:rPr>
                    <w:t>台/套</w:t>
                  </w:r>
                </w:p>
              </w:tc>
              <w:tc>
                <w:tcPr>
                  <w:tcW w:w="558" w:type="pct"/>
                  <w:vAlign w:val="center"/>
                </w:tcPr>
                <w:p>
                  <w:pPr>
                    <w:pStyle w:val="136"/>
                    <w:adjustRightInd w:val="0"/>
                    <w:snapToGrid w:val="0"/>
                  </w:pPr>
                  <w:r>
                    <w:rPr>
                      <w:rFonts w:hint="eastAsia"/>
                    </w:rPr>
                    <w:t>1</w:t>
                  </w:r>
                </w:p>
              </w:tc>
              <w:tc>
                <w:tcPr>
                  <w:tcW w:w="1228" w:type="pct"/>
                  <w:vAlign w:val="center"/>
                </w:tcPr>
                <w:p>
                  <w:pPr>
                    <w:pStyle w:val="136"/>
                    <w:adjustRightInd w:val="0"/>
                    <w:snapToGrid w:val="0"/>
                  </w:pPr>
                  <w:r>
                    <w:rPr>
                      <w:rFonts w:hint="eastAsia"/>
                    </w:rPr>
                    <w:t>实验室分析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Align w:val="center"/>
                </w:tcPr>
                <w:p>
                  <w:pPr>
                    <w:pStyle w:val="136"/>
                    <w:adjustRightInd w:val="0"/>
                    <w:snapToGrid w:val="0"/>
                  </w:pPr>
                  <w:r>
                    <w:rPr>
                      <w:rFonts w:hint="eastAsia"/>
                    </w:rPr>
                    <w:t>3</w:t>
                  </w:r>
                </w:p>
              </w:tc>
              <w:tc>
                <w:tcPr>
                  <w:tcW w:w="1662" w:type="pct"/>
                  <w:vAlign w:val="center"/>
                </w:tcPr>
                <w:p>
                  <w:pPr>
                    <w:pStyle w:val="136"/>
                    <w:adjustRightInd w:val="0"/>
                    <w:snapToGrid w:val="0"/>
                  </w:pPr>
                  <w:r>
                    <w:rPr>
                      <w:rFonts w:hint="eastAsia"/>
                    </w:rPr>
                    <w:t>电感耦合等离子体发射光谱仪</w:t>
                  </w:r>
                </w:p>
              </w:tc>
              <w:tc>
                <w:tcPr>
                  <w:tcW w:w="1117" w:type="pct"/>
                  <w:vAlign w:val="center"/>
                </w:tcPr>
                <w:p>
                  <w:pPr>
                    <w:pStyle w:val="136"/>
                    <w:adjustRightInd w:val="0"/>
                    <w:snapToGrid w:val="0"/>
                  </w:pPr>
                  <w:r>
                    <w:rPr>
                      <w:rFonts w:hint="eastAsia"/>
                    </w:rPr>
                    <w:t>台/套</w:t>
                  </w:r>
                </w:p>
              </w:tc>
              <w:tc>
                <w:tcPr>
                  <w:tcW w:w="558" w:type="pct"/>
                  <w:vAlign w:val="center"/>
                </w:tcPr>
                <w:p>
                  <w:pPr>
                    <w:pStyle w:val="136"/>
                    <w:adjustRightInd w:val="0"/>
                    <w:snapToGrid w:val="0"/>
                  </w:pPr>
                  <w:r>
                    <w:rPr>
                      <w:rFonts w:hint="eastAsia"/>
                    </w:rPr>
                    <w:t>1</w:t>
                  </w:r>
                </w:p>
              </w:tc>
              <w:tc>
                <w:tcPr>
                  <w:tcW w:w="1228" w:type="pct"/>
                  <w:vAlign w:val="center"/>
                </w:tcPr>
                <w:p>
                  <w:pPr>
                    <w:pStyle w:val="136"/>
                    <w:adjustRightInd w:val="0"/>
                    <w:snapToGrid w:val="0"/>
                  </w:pPr>
                  <w:r>
                    <w:rPr>
                      <w:rFonts w:hint="eastAsia"/>
                    </w:rPr>
                    <w:t>实验室分析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Align w:val="center"/>
                </w:tcPr>
                <w:p>
                  <w:pPr>
                    <w:pStyle w:val="136"/>
                    <w:adjustRightInd w:val="0"/>
                    <w:snapToGrid w:val="0"/>
                  </w:pPr>
                  <w:r>
                    <w:rPr>
                      <w:rFonts w:hint="eastAsia"/>
                    </w:rPr>
                    <w:t>4</w:t>
                  </w:r>
                </w:p>
              </w:tc>
              <w:tc>
                <w:tcPr>
                  <w:tcW w:w="1662" w:type="pct"/>
                  <w:vAlign w:val="center"/>
                </w:tcPr>
                <w:p>
                  <w:pPr>
                    <w:pStyle w:val="136"/>
                    <w:adjustRightInd w:val="0"/>
                    <w:snapToGrid w:val="0"/>
                  </w:pPr>
                  <w:r>
                    <w:rPr>
                      <w:rFonts w:hint="eastAsia"/>
                    </w:rPr>
                    <w:t>全自动COD分析仪</w:t>
                  </w:r>
                </w:p>
              </w:tc>
              <w:tc>
                <w:tcPr>
                  <w:tcW w:w="1117" w:type="pct"/>
                  <w:vAlign w:val="center"/>
                </w:tcPr>
                <w:p>
                  <w:pPr>
                    <w:pStyle w:val="136"/>
                    <w:adjustRightInd w:val="0"/>
                    <w:snapToGrid w:val="0"/>
                  </w:pPr>
                  <w:r>
                    <w:rPr>
                      <w:rFonts w:hint="eastAsia"/>
                    </w:rPr>
                    <w:t>台/套</w:t>
                  </w:r>
                </w:p>
              </w:tc>
              <w:tc>
                <w:tcPr>
                  <w:tcW w:w="558" w:type="pct"/>
                  <w:vAlign w:val="center"/>
                </w:tcPr>
                <w:p>
                  <w:pPr>
                    <w:pStyle w:val="136"/>
                    <w:adjustRightInd w:val="0"/>
                    <w:snapToGrid w:val="0"/>
                  </w:pPr>
                  <w:r>
                    <w:rPr>
                      <w:rFonts w:hint="eastAsia"/>
                    </w:rPr>
                    <w:t>1</w:t>
                  </w:r>
                </w:p>
              </w:tc>
              <w:tc>
                <w:tcPr>
                  <w:tcW w:w="1228" w:type="pct"/>
                  <w:vAlign w:val="center"/>
                </w:tcPr>
                <w:p>
                  <w:pPr>
                    <w:pStyle w:val="136"/>
                    <w:adjustRightInd w:val="0"/>
                    <w:snapToGrid w:val="0"/>
                  </w:pPr>
                  <w:r>
                    <w:rPr>
                      <w:rFonts w:hint="eastAsia"/>
                    </w:rPr>
                    <w:t>实验室分析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Align w:val="center"/>
                </w:tcPr>
                <w:p>
                  <w:pPr>
                    <w:pStyle w:val="136"/>
                    <w:adjustRightInd w:val="0"/>
                    <w:snapToGrid w:val="0"/>
                  </w:pPr>
                  <w:r>
                    <w:rPr>
                      <w:rFonts w:hint="eastAsia"/>
                    </w:rPr>
                    <w:t>5</w:t>
                  </w:r>
                </w:p>
              </w:tc>
              <w:tc>
                <w:tcPr>
                  <w:tcW w:w="1662" w:type="pct"/>
                  <w:vAlign w:val="center"/>
                </w:tcPr>
                <w:p>
                  <w:pPr>
                    <w:pStyle w:val="136"/>
                    <w:adjustRightInd w:val="0"/>
                    <w:snapToGrid w:val="0"/>
                  </w:pPr>
                  <w:r>
                    <w:rPr>
                      <w:rFonts w:hint="eastAsia"/>
                    </w:rPr>
                    <w:t>原子荧光分光光度计</w:t>
                  </w:r>
                </w:p>
              </w:tc>
              <w:tc>
                <w:tcPr>
                  <w:tcW w:w="1117" w:type="pct"/>
                  <w:vAlign w:val="center"/>
                </w:tcPr>
                <w:p>
                  <w:pPr>
                    <w:pStyle w:val="136"/>
                    <w:adjustRightInd w:val="0"/>
                    <w:snapToGrid w:val="0"/>
                  </w:pPr>
                  <w:r>
                    <w:rPr>
                      <w:rFonts w:hint="eastAsia"/>
                    </w:rPr>
                    <w:t>台/套</w:t>
                  </w:r>
                </w:p>
              </w:tc>
              <w:tc>
                <w:tcPr>
                  <w:tcW w:w="558" w:type="pct"/>
                  <w:vAlign w:val="center"/>
                </w:tcPr>
                <w:p>
                  <w:pPr>
                    <w:pStyle w:val="136"/>
                    <w:adjustRightInd w:val="0"/>
                    <w:snapToGrid w:val="0"/>
                  </w:pPr>
                  <w:r>
                    <w:rPr>
                      <w:rFonts w:hint="eastAsia"/>
                    </w:rPr>
                    <w:t>1</w:t>
                  </w:r>
                </w:p>
              </w:tc>
              <w:tc>
                <w:tcPr>
                  <w:tcW w:w="1228" w:type="pct"/>
                  <w:vAlign w:val="center"/>
                </w:tcPr>
                <w:p>
                  <w:pPr>
                    <w:pStyle w:val="136"/>
                    <w:adjustRightInd w:val="0"/>
                    <w:snapToGrid w:val="0"/>
                  </w:pPr>
                  <w:r>
                    <w:rPr>
                      <w:rFonts w:hint="eastAsia"/>
                    </w:rPr>
                    <w:t>实验室分析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Align w:val="center"/>
                </w:tcPr>
                <w:p>
                  <w:pPr>
                    <w:pStyle w:val="136"/>
                    <w:adjustRightInd w:val="0"/>
                    <w:snapToGrid w:val="0"/>
                  </w:pPr>
                  <w:r>
                    <w:rPr>
                      <w:rFonts w:hint="eastAsia"/>
                    </w:rPr>
                    <w:t>6</w:t>
                  </w:r>
                </w:p>
              </w:tc>
              <w:tc>
                <w:tcPr>
                  <w:tcW w:w="1662" w:type="pct"/>
                  <w:vAlign w:val="center"/>
                </w:tcPr>
                <w:p>
                  <w:pPr>
                    <w:pStyle w:val="136"/>
                    <w:adjustRightInd w:val="0"/>
                    <w:snapToGrid w:val="0"/>
                  </w:pPr>
                  <w:r>
                    <w:rPr>
                      <w:rFonts w:hint="eastAsia"/>
                    </w:rPr>
                    <w:t>程控定量封口机</w:t>
                  </w:r>
                </w:p>
              </w:tc>
              <w:tc>
                <w:tcPr>
                  <w:tcW w:w="1117" w:type="pct"/>
                  <w:vAlign w:val="center"/>
                </w:tcPr>
                <w:p>
                  <w:pPr>
                    <w:pStyle w:val="136"/>
                    <w:adjustRightInd w:val="0"/>
                    <w:snapToGrid w:val="0"/>
                  </w:pPr>
                  <w:r>
                    <w:rPr>
                      <w:rFonts w:hint="eastAsia"/>
                    </w:rPr>
                    <w:t>台/套</w:t>
                  </w:r>
                </w:p>
              </w:tc>
              <w:tc>
                <w:tcPr>
                  <w:tcW w:w="558" w:type="pct"/>
                  <w:vAlign w:val="center"/>
                </w:tcPr>
                <w:p>
                  <w:pPr>
                    <w:pStyle w:val="136"/>
                    <w:adjustRightInd w:val="0"/>
                    <w:snapToGrid w:val="0"/>
                  </w:pPr>
                  <w:r>
                    <w:rPr>
                      <w:rFonts w:hint="eastAsia"/>
                    </w:rPr>
                    <w:t>1</w:t>
                  </w:r>
                </w:p>
              </w:tc>
              <w:tc>
                <w:tcPr>
                  <w:tcW w:w="1228" w:type="pct"/>
                  <w:vAlign w:val="center"/>
                </w:tcPr>
                <w:p>
                  <w:pPr>
                    <w:pStyle w:val="136"/>
                    <w:adjustRightInd w:val="0"/>
                    <w:snapToGrid w:val="0"/>
                  </w:pPr>
                  <w:r>
                    <w:rPr>
                      <w:rFonts w:hint="eastAsia"/>
                    </w:rPr>
                    <w:t>实验室分析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Align w:val="center"/>
                </w:tcPr>
                <w:p>
                  <w:pPr>
                    <w:pStyle w:val="136"/>
                    <w:adjustRightInd w:val="0"/>
                    <w:snapToGrid w:val="0"/>
                  </w:pPr>
                  <w:r>
                    <w:rPr>
                      <w:rFonts w:hint="eastAsia"/>
                    </w:rPr>
                    <w:t>7</w:t>
                  </w:r>
                </w:p>
              </w:tc>
              <w:tc>
                <w:tcPr>
                  <w:tcW w:w="1662" w:type="pct"/>
                  <w:vAlign w:val="center"/>
                </w:tcPr>
                <w:p>
                  <w:pPr>
                    <w:pStyle w:val="136"/>
                    <w:adjustRightInd w:val="0"/>
                    <w:snapToGrid w:val="0"/>
                  </w:pPr>
                  <w:r>
                    <w:rPr>
                      <w:rFonts w:hint="eastAsia"/>
                    </w:rPr>
                    <w:t>溶解氧测定仪</w:t>
                  </w:r>
                </w:p>
              </w:tc>
              <w:tc>
                <w:tcPr>
                  <w:tcW w:w="1117" w:type="pct"/>
                  <w:vAlign w:val="center"/>
                </w:tcPr>
                <w:p>
                  <w:pPr>
                    <w:pStyle w:val="136"/>
                    <w:adjustRightInd w:val="0"/>
                    <w:snapToGrid w:val="0"/>
                  </w:pPr>
                  <w:r>
                    <w:rPr>
                      <w:rFonts w:hint="eastAsia"/>
                    </w:rPr>
                    <w:t>台/套</w:t>
                  </w:r>
                </w:p>
              </w:tc>
              <w:tc>
                <w:tcPr>
                  <w:tcW w:w="558" w:type="pct"/>
                  <w:vAlign w:val="center"/>
                </w:tcPr>
                <w:p>
                  <w:pPr>
                    <w:pStyle w:val="136"/>
                    <w:adjustRightInd w:val="0"/>
                    <w:snapToGrid w:val="0"/>
                  </w:pPr>
                  <w:r>
                    <w:rPr>
                      <w:rFonts w:hint="eastAsia"/>
                    </w:rPr>
                    <w:t>1</w:t>
                  </w:r>
                </w:p>
              </w:tc>
              <w:tc>
                <w:tcPr>
                  <w:tcW w:w="1228" w:type="pct"/>
                  <w:vAlign w:val="center"/>
                </w:tcPr>
                <w:p>
                  <w:pPr>
                    <w:pStyle w:val="136"/>
                    <w:adjustRightInd w:val="0"/>
                    <w:snapToGrid w:val="0"/>
                  </w:pPr>
                  <w:r>
                    <w:rPr>
                      <w:rFonts w:hint="eastAsia"/>
                    </w:rPr>
                    <w:t>实验室分析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Align w:val="center"/>
                </w:tcPr>
                <w:p>
                  <w:pPr>
                    <w:pStyle w:val="136"/>
                    <w:adjustRightInd w:val="0"/>
                    <w:snapToGrid w:val="0"/>
                  </w:pPr>
                  <w:r>
                    <w:rPr>
                      <w:rFonts w:hint="eastAsia"/>
                    </w:rPr>
                    <w:t>8</w:t>
                  </w:r>
                </w:p>
              </w:tc>
              <w:tc>
                <w:tcPr>
                  <w:tcW w:w="1662" w:type="pct"/>
                  <w:vAlign w:val="center"/>
                </w:tcPr>
                <w:p>
                  <w:pPr>
                    <w:pStyle w:val="136"/>
                    <w:adjustRightInd w:val="0"/>
                    <w:snapToGrid w:val="0"/>
                  </w:pPr>
                  <w:r>
                    <w:rPr>
                      <w:rFonts w:hint="eastAsia"/>
                    </w:rPr>
                    <w:t>pH测定仪</w:t>
                  </w:r>
                </w:p>
              </w:tc>
              <w:tc>
                <w:tcPr>
                  <w:tcW w:w="1117" w:type="pct"/>
                  <w:vAlign w:val="center"/>
                </w:tcPr>
                <w:p>
                  <w:pPr>
                    <w:pStyle w:val="136"/>
                    <w:adjustRightInd w:val="0"/>
                    <w:snapToGrid w:val="0"/>
                  </w:pPr>
                  <w:r>
                    <w:rPr>
                      <w:rFonts w:hint="eastAsia"/>
                    </w:rPr>
                    <w:t>台/套</w:t>
                  </w:r>
                </w:p>
              </w:tc>
              <w:tc>
                <w:tcPr>
                  <w:tcW w:w="558" w:type="pct"/>
                  <w:vAlign w:val="center"/>
                </w:tcPr>
                <w:p>
                  <w:pPr>
                    <w:pStyle w:val="136"/>
                    <w:adjustRightInd w:val="0"/>
                    <w:snapToGrid w:val="0"/>
                  </w:pPr>
                  <w:r>
                    <w:rPr>
                      <w:rFonts w:hint="eastAsia"/>
                    </w:rPr>
                    <w:t>1</w:t>
                  </w:r>
                </w:p>
              </w:tc>
              <w:tc>
                <w:tcPr>
                  <w:tcW w:w="1228" w:type="pct"/>
                  <w:vAlign w:val="center"/>
                </w:tcPr>
                <w:p>
                  <w:pPr>
                    <w:pStyle w:val="136"/>
                    <w:adjustRightInd w:val="0"/>
                    <w:snapToGrid w:val="0"/>
                  </w:pPr>
                  <w:r>
                    <w:rPr>
                      <w:rFonts w:hint="eastAsia"/>
                    </w:rPr>
                    <w:t>实验室分析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Align w:val="center"/>
                </w:tcPr>
                <w:p>
                  <w:pPr>
                    <w:pStyle w:val="136"/>
                    <w:adjustRightInd w:val="0"/>
                    <w:snapToGrid w:val="0"/>
                  </w:pPr>
                  <w:r>
                    <w:rPr>
                      <w:rFonts w:hint="eastAsia"/>
                    </w:rPr>
                    <w:t>9</w:t>
                  </w:r>
                </w:p>
              </w:tc>
              <w:tc>
                <w:tcPr>
                  <w:tcW w:w="1662" w:type="pct"/>
                  <w:vAlign w:val="center"/>
                </w:tcPr>
                <w:p>
                  <w:pPr>
                    <w:pStyle w:val="136"/>
                    <w:adjustRightInd w:val="0"/>
                    <w:snapToGrid w:val="0"/>
                  </w:pPr>
                  <w:r>
                    <w:rPr>
                      <w:rFonts w:hint="eastAsia"/>
                    </w:rPr>
                    <w:t>可见分光光度计</w:t>
                  </w:r>
                </w:p>
              </w:tc>
              <w:tc>
                <w:tcPr>
                  <w:tcW w:w="1117" w:type="pct"/>
                  <w:vAlign w:val="center"/>
                </w:tcPr>
                <w:p>
                  <w:pPr>
                    <w:pStyle w:val="136"/>
                    <w:adjustRightInd w:val="0"/>
                    <w:snapToGrid w:val="0"/>
                  </w:pPr>
                  <w:r>
                    <w:rPr>
                      <w:rFonts w:hint="eastAsia"/>
                    </w:rPr>
                    <w:t>台/套</w:t>
                  </w:r>
                </w:p>
              </w:tc>
              <w:tc>
                <w:tcPr>
                  <w:tcW w:w="558" w:type="pct"/>
                  <w:vAlign w:val="center"/>
                </w:tcPr>
                <w:p>
                  <w:pPr>
                    <w:pStyle w:val="136"/>
                    <w:adjustRightInd w:val="0"/>
                    <w:snapToGrid w:val="0"/>
                  </w:pPr>
                  <w:r>
                    <w:rPr>
                      <w:rFonts w:hint="eastAsia"/>
                    </w:rPr>
                    <w:t>1</w:t>
                  </w:r>
                </w:p>
              </w:tc>
              <w:tc>
                <w:tcPr>
                  <w:tcW w:w="1228" w:type="pct"/>
                  <w:vAlign w:val="center"/>
                </w:tcPr>
                <w:p>
                  <w:pPr>
                    <w:pStyle w:val="136"/>
                    <w:adjustRightInd w:val="0"/>
                    <w:snapToGrid w:val="0"/>
                  </w:pPr>
                  <w:r>
                    <w:rPr>
                      <w:rFonts w:hint="eastAsia"/>
                    </w:rPr>
                    <w:t>实验室分析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Align w:val="center"/>
                </w:tcPr>
                <w:p>
                  <w:pPr>
                    <w:pStyle w:val="136"/>
                    <w:adjustRightInd w:val="0"/>
                    <w:snapToGrid w:val="0"/>
                  </w:pPr>
                  <w:r>
                    <w:rPr>
                      <w:rFonts w:hint="eastAsia"/>
                    </w:rPr>
                    <w:t>10</w:t>
                  </w:r>
                </w:p>
              </w:tc>
              <w:tc>
                <w:tcPr>
                  <w:tcW w:w="1662" w:type="pct"/>
                  <w:vAlign w:val="center"/>
                </w:tcPr>
                <w:p>
                  <w:pPr>
                    <w:pStyle w:val="136"/>
                    <w:adjustRightInd w:val="0"/>
                    <w:snapToGrid w:val="0"/>
                  </w:pPr>
                  <w:r>
                    <w:rPr>
                      <w:rFonts w:hint="eastAsia"/>
                    </w:rPr>
                    <w:t>紫外分光光度计</w:t>
                  </w:r>
                </w:p>
              </w:tc>
              <w:tc>
                <w:tcPr>
                  <w:tcW w:w="1117" w:type="pct"/>
                  <w:vAlign w:val="center"/>
                </w:tcPr>
                <w:p>
                  <w:pPr>
                    <w:pStyle w:val="136"/>
                    <w:adjustRightInd w:val="0"/>
                    <w:snapToGrid w:val="0"/>
                  </w:pPr>
                  <w:r>
                    <w:rPr>
                      <w:rFonts w:hint="eastAsia"/>
                    </w:rPr>
                    <w:t>台/套</w:t>
                  </w:r>
                </w:p>
              </w:tc>
              <w:tc>
                <w:tcPr>
                  <w:tcW w:w="558" w:type="pct"/>
                  <w:vAlign w:val="center"/>
                </w:tcPr>
                <w:p>
                  <w:pPr>
                    <w:pStyle w:val="136"/>
                    <w:adjustRightInd w:val="0"/>
                    <w:snapToGrid w:val="0"/>
                  </w:pPr>
                  <w:r>
                    <w:rPr>
                      <w:rFonts w:hint="eastAsia"/>
                    </w:rPr>
                    <w:t>1</w:t>
                  </w:r>
                </w:p>
              </w:tc>
              <w:tc>
                <w:tcPr>
                  <w:tcW w:w="1228" w:type="pct"/>
                  <w:vAlign w:val="center"/>
                </w:tcPr>
                <w:p>
                  <w:pPr>
                    <w:pStyle w:val="136"/>
                    <w:adjustRightInd w:val="0"/>
                    <w:snapToGrid w:val="0"/>
                  </w:pPr>
                  <w:r>
                    <w:rPr>
                      <w:rFonts w:hint="eastAsia"/>
                    </w:rPr>
                    <w:t>实验室分析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Align w:val="center"/>
                </w:tcPr>
                <w:p>
                  <w:pPr>
                    <w:pStyle w:val="136"/>
                    <w:adjustRightInd w:val="0"/>
                    <w:snapToGrid w:val="0"/>
                  </w:pPr>
                  <w:r>
                    <w:rPr>
                      <w:rFonts w:hint="eastAsia"/>
                    </w:rPr>
                    <w:t>11</w:t>
                  </w:r>
                </w:p>
              </w:tc>
              <w:tc>
                <w:tcPr>
                  <w:tcW w:w="1662" w:type="pct"/>
                  <w:vAlign w:val="center"/>
                </w:tcPr>
                <w:p>
                  <w:pPr>
                    <w:pStyle w:val="136"/>
                    <w:adjustRightInd w:val="0"/>
                    <w:snapToGrid w:val="0"/>
                  </w:pPr>
                  <w:r>
                    <w:rPr>
                      <w:rFonts w:hint="eastAsia"/>
                    </w:rPr>
                    <w:t>全自动紫外测油仪</w:t>
                  </w:r>
                </w:p>
              </w:tc>
              <w:tc>
                <w:tcPr>
                  <w:tcW w:w="1117" w:type="pct"/>
                  <w:vAlign w:val="center"/>
                </w:tcPr>
                <w:p>
                  <w:pPr>
                    <w:pStyle w:val="136"/>
                    <w:adjustRightInd w:val="0"/>
                    <w:snapToGrid w:val="0"/>
                  </w:pPr>
                  <w:r>
                    <w:rPr>
                      <w:rFonts w:hint="eastAsia"/>
                    </w:rPr>
                    <w:t>台/套</w:t>
                  </w:r>
                </w:p>
              </w:tc>
              <w:tc>
                <w:tcPr>
                  <w:tcW w:w="558" w:type="pct"/>
                  <w:vAlign w:val="center"/>
                </w:tcPr>
                <w:p>
                  <w:pPr>
                    <w:pStyle w:val="136"/>
                    <w:adjustRightInd w:val="0"/>
                    <w:snapToGrid w:val="0"/>
                  </w:pPr>
                  <w:r>
                    <w:rPr>
                      <w:rFonts w:hint="eastAsia"/>
                    </w:rPr>
                    <w:t>1</w:t>
                  </w:r>
                </w:p>
              </w:tc>
              <w:tc>
                <w:tcPr>
                  <w:tcW w:w="1228" w:type="pct"/>
                  <w:vAlign w:val="center"/>
                </w:tcPr>
                <w:p>
                  <w:pPr>
                    <w:pStyle w:val="136"/>
                    <w:adjustRightInd w:val="0"/>
                    <w:snapToGrid w:val="0"/>
                  </w:pPr>
                  <w:r>
                    <w:rPr>
                      <w:rFonts w:hint="eastAsia"/>
                    </w:rPr>
                    <w:t>实验室分析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Align w:val="center"/>
                </w:tcPr>
                <w:p>
                  <w:pPr>
                    <w:pStyle w:val="136"/>
                    <w:adjustRightInd w:val="0"/>
                    <w:snapToGrid w:val="0"/>
                  </w:pPr>
                  <w:r>
                    <w:rPr>
                      <w:rFonts w:hint="eastAsia"/>
                    </w:rPr>
                    <w:t>12</w:t>
                  </w:r>
                </w:p>
              </w:tc>
              <w:tc>
                <w:tcPr>
                  <w:tcW w:w="1662" w:type="pct"/>
                  <w:vAlign w:val="center"/>
                </w:tcPr>
                <w:p>
                  <w:pPr>
                    <w:pStyle w:val="136"/>
                    <w:adjustRightInd w:val="0"/>
                    <w:snapToGrid w:val="0"/>
                  </w:pPr>
                  <w:r>
                    <w:rPr>
                      <w:rFonts w:hint="eastAsia"/>
                    </w:rPr>
                    <w:t>万分之一天平</w:t>
                  </w:r>
                </w:p>
              </w:tc>
              <w:tc>
                <w:tcPr>
                  <w:tcW w:w="1117" w:type="pct"/>
                  <w:vAlign w:val="center"/>
                </w:tcPr>
                <w:p>
                  <w:pPr>
                    <w:pStyle w:val="136"/>
                    <w:adjustRightInd w:val="0"/>
                    <w:snapToGrid w:val="0"/>
                  </w:pPr>
                  <w:r>
                    <w:rPr>
                      <w:rFonts w:hint="eastAsia"/>
                    </w:rPr>
                    <w:t>台/套</w:t>
                  </w:r>
                </w:p>
              </w:tc>
              <w:tc>
                <w:tcPr>
                  <w:tcW w:w="558" w:type="pct"/>
                  <w:vAlign w:val="center"/>
                </w:tcPr>
                <w:p>
                  <w:pPr>
                    <w:pStyle w:val="136"/>
                    <w:adjustRightInd w:val="0"/>
                    <w:snapToGrid w:val="0"/>
                  </w:pPr>
                  <w:r>
                    <w:rPr>
                      <w:rFonts w:hint="eastAsia"/>
                    </w:rPr>
                    <w:t>1</w:t>
                  </w:r>
                </w:p>
              </w:tc>
              <w:tc>
                <w:tcPr>
                  <w:tcW w:w="1228" w:type="pct"/>
                  <w:vAlign w:val="center"/>
                </w:tcPr>
                <w:p>
                  <w:pPr>
                    <w:pStyle w:val="136"/>
                    <w:adjustRightInd w:val="0"/>
                    <w:snapToGrid w:val="0"/>
                  </w:pPr>
                  <w:r>
                    <w:rPr>
                      <w:rFonts w:hint="eastAsia"/>
                    </w:rPr>
                    <w:t>实验室分析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Align w:val="center"/>
                </w:tcPr>
                <w:p>
                  <w:pPr>
                    <w:pStyle w:val="136"/>
                    <w:adjustRightInd w:val="0"/>
                    <w:snapToGrid w:val="0"/>
                  </w:pPr>
                  <w:r>
                    <w:rPr>
                      <w:rFonts w:hint="eastAsia"/>
                    </w:rPr>
                    <w:t>13</w:t>
                  </w:r>
                </w:p>
              </w:tc>
              <w:tc>
                <w:tcPr>
                  <w:tcW w:w="1662" w:type="pct"/>
                  <w:vAlign w:val="center"/>
                </w:tcPr>
                <w:p>
                  <w:pPr>
                    <w:pStyle w:val="136"/>
                    <w:adjustRightInd w:val="0"/>
                    <w:snapToGrid w:val="0"/>
                  </w:pPr>
                  <w:r>
                    <w:rPr>
                      <w:rFonts w:hint="eastAsia"/>
                    </w:rPr>
                    <w:t>千分之一天平</w:t>
                  </w:r>
                </w:p>
              </w:tc>
              <w:tc>
                <w:tcPr>
                  <w:tcW w:w="1117" w:type="pct"/>
                  <w:vAlign w:val="center"/>
                </w:tcPr>
                <w:p>
                  <w:pPr>
                    <w:pStyle w:val="136"/>
                    <w:adjustRightInd w:val="0"/>
                    <w:snapToGrid w:val="0"/>
                  </w:pPr>
                  <w:r>
                    <w:rPr>
                      <w:rFonts w:hint="eastAsia"/>
                    </w:rPr>
                    <w:t>台/套</w:t>
                  </w:r>
                </w:p>
              </w:tc>
              <w:tc>
                <w:tcPr>
                  <w:tcW w:w="558" w:type="pct"/>
                  <w:vAlign w:val="center"/>
                </w:tcPr>
                <w:p>
                  <w:pPr>
                    <w:pStyle w:val="136"/>
                    <w:adjustRightInd w:val="0"/>
                    <w:snapToGrid w:val="0"/>
                  </w:pPr>
                  <w:r>
                    <w:rPr>
                      <w:rFonts w:hint="eastAsia"/>
                    </w:rPr>
                    <w:t>1</w:t>
                  </w:r>
                </w:p>
              </w:tc>
              <w:tc>
                <w:tcPr>
                  <w:tcW w:w="1228" w:type="pct"/>
                  <w:vAlign w:val="center"/>
                </w:tcPr>
                <w:p>
                  <w:pPr>
                    <w:pStyle w:val="136"/>
                    <w:adjustRightInd w:val="0"/>
                    <w:snapToGrid w:val="0"/>
                  </w:pPr>
                  <w:r>
                    <w:rPr>
                      <w:rFonts w:hint="eastAsia"/>
                    </w:rPr>
                    <w:t>实验室分析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Align w:val="center"/>
                </w:tcPr>
                <w:p>
                  <w:pPr>
                    <w:pStyle w:val="136"/>
                    <w:adjustRightInd w:val="0"/>
                    <w:snapToGrid w:val="0"/>
                  </w:pPr>
                  <w:r>
                    <w:rPr>
                      <w:rFonts w:hint="eastAsia"/>
                    </w:rPr>
                    <w:t>14</w:t>
                  </w:r>
                </w:p>
              </w:tc>
              <w:tc>
                <w:tcPr>
                  <w:tcW w:w="1662" w:type="pct"/>
                  <w:vAlign w:val="center"/>
                </w:tcPr>
                <w:p>
                  <w:pPr>
                    <w:pStyle w:val="136"/>
                    <w:adjustRightInd w:val="0"/>
                    <w:snapToGrid w:val="0"/>
                  </w:pPr>
                  <w:r>
                    <w:rPr>
                      <w:rFonts w:hint="eastAsia"/>
                    </w:rPr>
                    <w:t>移液枪</w:t>
                  </w:r>
                </w:p>
              </w:tc>
              <w:tc>
                <w:tcPr>
                  <w:tcW w:w="1117" w:type="pct"/>
                  <w:vAlign w:val="center"/>
                </w:tcPr>
                <w:p>
                  <w:pPr>
                    <w:pStyle w:val="136"/>
                    <w:adjustRightInd w:val="0"/>
                    <w:snapToGrid w:val="0"/>
                  </w:pPr>
                  <w:r>
                    <w:rPr>
                      <w:rFonts w:hint="eastAsia"/>
                    </w:rPr>
                    <w:t>支</w:t>
                  </w:r>
                </w:p>
              </w:tc>
              <w:tc>
                <w:tcPr>
                  <w:tcW w:w="558" w:type="pct"/>
                  <w:vAlign w:val="center"/>
                </w:tcPr>
                <w:p>
                  <w:pPr>
                    <w:pStyle w:val="136"/>
                    <w:adjustRightInd w:val="0"/>
                    <w:snapToGrid w:val="0"/>
                  </w:pPr>
                  <w:r>
                    <w:rPr>
                      <w:rFonts w:hint="eastAsia"/>
                    </w:rPr>
                    <w:t>15</w:t>
                  </w:r>
                </w:p>
              </w:tc>
              <w:tc>
                <w:tcPr>
                  <w:tcW w:w="1228" w:type="pct"/>
                  <w:vAlign w:val="center"/>
                </w:tcPr>
                <w:p>
                  <w:pPr>
                    <w:pStyle w:val="136"/>
                    <w:adjustRightInd w:val="0"/>
                    <w:snapToGrid w:val="0"/>
                  </w:pPr>
                  <w:r>
                    <w:rPr>
                      <w:rFonts w:hint="eastAsia"/>
                    </w:rPr>
                    <w:t>实验室分析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Align w:val="center"/>
                </w:tcPr>
                <w:p>
                  <w:pPr>
                    <w:pStyle w:val="136"/>
                    <w:adjustRightInd w:val="0"/>
                    <w:snapToGrid w:val="0"/>
                  </w:pPr>
                  <w:r>
                    <w:rPr>
                      <w:rFonts w:hint="eastAsia"/>
                    </w:rPr>
                    <w:t>15</w:t>
                  </w:r>
                </w:p>
              </w:tc>
              <w:tc>
                <w:tcPr>
                  <w:tcW w:w="1662" w:type="pct"/>
                  <w:vAlign w:val="center"/>
                </w:tcPr>
                <w:p>
                  <w:pPr>
                    <w:pStyle w:val="136"/>
                    <w:adjustRightInd w:val="0"/>
                    <w:snapToGrid w:val="0"/>
                  </w:pPr>
                  <w:r>
                    <w:rPr>
                      <w:rFonts w:hint="eastAsia"/>
                    </w:rPr>
                    <w:t>电炉</w:t>
                  </w:r>
                </w:p>
              </w:tc>
              <w:tc>
                <w:tcPr>
                  <w:tcW w:w="1117" w:type="pct"/>
                  <w:vAlign w:val="center"/>
                </w:tcPr>
                <w:p>
                  <w:pPr>
                    <w:pStyle w:val="136"/>
                    <w:adjustRightInd w:val="0"/>
                    <w:snapToGrid w:val="0"/>
                  </w:pPr>
                  <w:r>
                    <w:rPr>
                      <w:rFonts w:hint="eastAsia"/>
                    </w:rPr>
                    <w:t>台/套</w:t>
                  </w:r>
                </w:p>
              </w:tc>
              <w:tc>
                <w:tcPr>
                  <w:tcW w:w="558" w:type="pct"/>
                  <w:vAlign w:val="center"/>
                </w:tcPr>
                <w:p>
                  <w:pPr>
                    <w:pStyle w:val="136"/>
                    <w:adjustRightInd w:val="0"/>
                    <w:snapToGrid w:val="0"/>
                  </w:pPr>
                  <w:r>
                    <w:rPr>
                      <w:rFonts w:hint="eastAsia"/>
                    </w:rPr>
                    <w:t>5</w:t>
                  </w:r>
                </w:p>
              </w:tc>
              <w:tc>
                <w:tcPr>
                  <w:tcW w:w="1228" w:type="pct"/>
                  <w:vAlign w:val="center"/>
                </w:tcPr>
                <w:p>
                  <w:pPr>
                    <w:pStyle w:val="136"/>
                    <w:adjustRightInd w:val="0"/>
                    <w:snapToGrid w:val="0"/>
                  </w:pPr>
                  <w:r>
                    <w:rPr>
                      <w:rFonts w:hint="eastAsia"/>
                    </w:rPr>
                    <w:t>实验室分析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Align w:val="center"/>
                </w:tcPr>
                <w:p>
                  <w:pPr>
                    <w:pStyle w:val="136"/>
                    <w:adjustRightInd w:val="0"/>
                    <w:snapToGrid w:val="0"/>
                  </w:pPr>
                  <w:r>
                    <w:rPr>
                      <w:rFonts w:hint="eastAsia"/>
                    </w:rPr>
                    <w:t>16</w:t>
                  </w:r>
                </w:p>
              </w:tc>
              <w:tc>
                <w:tcPr>
                  <w:tcW w:w="1662" w:type="pct"/>
                  <w:vAlign w:val="center"/>
                </w:tcPr>
                <w:p>
                  <w:pPr>
                    <w:pStyle w:val="136"/>
                    <w:adjustRightInd w:val="0"/>
                    <w:snapToGrid w:val="0"/>
                  </w:pPr>
                  <w:r>
                    <w:rPr>
                      <w:rFonts w:hint="eastAsia"/>
                    </w:rPr>
                    <w:t>纯水机</w:t>
                  </w:r>
                </w:p>
              </w:tc>
              <w:tc>
                <w:tcPr>
                  <w:tcW w:w="1117" w:type="pct"/>
                  <w:vAlign w:val="center"/>
                </w:tcPr>
                <w:p>
                  <w:pPr>
                    <w:pStyle w:val="136"/>
                    <w:adjustRightInd w:val="0"/>
                    <w:snapToGrid w:val="0"/>
                  </w:pPr>
                  <w:r>
                    <w:rPr>
                      <w:rFonts w:hint="eastAsia"/>
                    </w:rPr>
                    <w:t>台/套</w:t>
                  </w:r>
                </w:p>
              </w:tc>
              <w:tc>
                <w:tcPr>
                  <w:tcW w:w="558" w:type="pct"/>
                  <w:vAlign w:val="center"/>
                </w:tcPr>
                <w:p>
                  <w:pPr>
                    <w:pStyle w:val="136"/>
                    <w:adjustRightInd w:val="0"/>
                    <w:snapToGrid w:val="0"/>
                  </w:pPr>
                  <w:r>
                    <w:rPr>
                      <w:rFonts w:hint="eastAsia"/>
                    </w:rPr>
                    <w:t>2</w:t>
                  </w:r>
                </w:p>
              </w:tc>
              <w:tc>
                <w:tcPr>
                  <w:tcW w:w="1228" w:type="pct"/>
                  <w:vAlign w:val="center"/>
                </w:tcPr>
                <w:p>
                  <w:pPr>
                    <w:pStyle w:val="136"/>
                    <w:adjustRightInd w:val="0"/>
                    <w:snapToGrid w:val="0"/>
                  </w:pPr>
                  <w:r>
                    <w:rPr>
                      <w:rFonts w:hint="eastAsia"/>
                    </w:rPr>
                    <w:t>纯水制备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Align w:val="center"/>
                </w:tcPr>
                <w:p>
                  <w:pPr>
                    <w:pStyle w:val="136"/>
                    <w:adjustRightInd w:val="0"/>
                    <w:snapToGrid w:val="0"/>
                  </w:pPr>
                  <w:r>
                    <w:rPr>
                      <w:rFonts w:hint="eastAsia"/>
                    </w:rPr>
                    <w:t>17</w:t>
                  </w:r>
                </w:p>
              </w:tc>
              <w:tc>
                <w:tcPr>
                  <w:tcW w:w="1662" w:type="pct"/>
                  <w:vAlign w:val="center"/>
                </w:tcPr>
                <w:p>
                  <w:pPr>
                    <w:pStyle w:val="136"/>
                    <w:adjustRightInd w:val="0"/>
                    <w:snapToGrid w:val="0"/>
                  </w:pPr>
                  <w:r>
                    <w:rPr>
                      <w:rFonts w:hint="eastAsia"/>
                    </w:rPr>
                    <w:t>立式鼓风干燥箱</w:t>
                  </w:r>
                </w:p>
              </w:tc>
              <w:tc>
                <w:tcPr>
                  <w:tcW w:w="1117" w:type="pct"/>
                  <w:vAlign w:val="center"/>
                </w:tcPr>
                <w:p>
                  <w:pPr>
                    <w:pStyle w:val="136"/>
                    <w:adjustRightInd w:val="0"/>
                    <w:snapToGrid w:val="0"/>
                  </w:pPr>
                  <w:r>
                    <w:rPr>
                      <w:rFonts w:hint="eastAsia"/>
                    </w:rPr>
                    <w:t>台/套</w:t>
                  </w:r>
                </w:p>
              </w:tc>
              <w:tc>
                <w:tcPr>
                  <w:tcW w:w="558" w:type="pct"/>
                  <w:vAlign w:val="center"/>
                </w:tcPr>
                <w:p>
                  <w:pPr>
                    <w:pStyle w:val="136"/>
                    <w:adjustRightInd w:val="0"/>
                    <w:snapToGrid w:val="0"/>
                  </w:pPr>
                  <w:r>
                    <w:rPr>
                      <w:rFonts w:hint="eastAsia"/>
                    </w:rPr>
                    <w:t>1</w:t>
                  </w:r>
                </w:p>
              </w:tc>
              <w:tc>
                <w:tcPr>
                  <w:tcW w:w="1228" w:type="pct"/>
                  <w:vAlign w:val="center"/>
                </w:tcPr>
                <w:p>
                  <w:pPr>
                    <w:pStyle w:val="136"/>
                    <w:adjustRightInd w:val="0"/>
                    <w:snapToGrid w:val="0"/>
                  </w:pPr>
                  <w:r>
                    <w:rPr>
                      <w:rFonts w:hint="eastAsia"/>
                    </w:rPr>
                    <w:t>实验室分析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Align w:val="center"/>
                </w:tcPr>
                <w:p>
                  <w:pPr>
                    <w:pStyle w:val="136"/>
                    <w:adjustRightInd w:val="0"/>
                    <w:snapToGrid w:val="0"/>
                  </w:pPr>
                  <w:r>
                    <w:rPr>
                      <w:rFonts w:hint="eastAsia"/>
                    </w:rPr>
                    <w:t>18</w:t>
                  </w:r>
                </w:p>
              </w:tc>
              <w:tc>
                <w:tcPr>
                  <w:tcW w:w="1662" w:type="pct"/>
                  <w:vAlign w:val="center"/>
                </w:tcPr>
                <w:p>
                  <w:pPr>
                    <w:pStyle w:val="136"/>
                    <w:adjustRightInd w:val="0"/>
                    <w:snapToGrid w:val="0"/>
                  </w:pPr>
                  <w:r>
                    <w:rPr>
                      <w:rFonts w:hint="eastAsia"/>
                    </w:rPr>
                    <w:t>水浴锅</w:t>
                  </w:r>
                </w:p>
              </w:tc>
              <w:tc>
                <w:tcPr>
                  <w:tcW w:w="1117" w:type="pct"/>
                  <w:vAlign w:val="center"/>
                </w:tcPr>
                <w:p>
                  <w:pPr>
                    <w:pStyle w:val="136"/>
                    <w:adjustRightInd w:val="0"/>
                    <w:snapToGrid w:val="0"/>
                  </w:pPr>
                  <w:r>
                    <w:rPr>
                      <w:rFonts w:hint="eastAsia"/>
                    </w:rPr>
                    <w:t>台/套</w:t>
                  </w:r>
                </w:p>
              </w:tc>
              <w:tc>
                <w:tcPr>
                  <w:tcW w:w="558" w:type="pct"/>
                  <w:vAlign w:val="center"/>
                </w:tcPr>
                <w:p>
                  <w:pPr>
                    <w:pStyle w:val="136"/>
                    <w:adjustRightInd w:val="0"/>
                    <w:snapToGrid w:val="0"/>
                  </w:pPr>
                  <w:r>
                    <w:rPr>
                      <w:rFonts w:hint="eastAsia"/>
                    </w:rPr>
                    <w:t>1</w:t>
                  </w:r>
                </w:p>
              </w:tc>
              <w:tc>
                <w:tcPr>
                  <w:tcW w:w="1228" w:type="pct"/>
                  <w:vAlign w:val="center"/>
                </w:tcPr>
                <w:p>
                  <w:pPr>
                    <w:pStyle w:val="136"/>
                    <w:adjustRightInd w:val="0"/>
                    <w:snapToGrid w:val="0"/>
                  </w:pPr>
                  <w:r>
                    <w:rPr>
                      <w:rFonts w:hint="eastAsia"/>
                    </w:rPr>
                    <w:t>实验室分析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Align w:val="center"/>
                </w:tcPr>
                <w:p>
                  <w:pPr>
                    <w:pStyle w:val="136"/>
                    <w:adjustRightInd w:val="0"/>
                    <w:snapToGrid w:val="0"/>
                  </w:pPr>
                  <w:r>
                    <w:rPr>
                      <w:rFonts w:hint="eastAsia"/>
                    </w:rPr>
                    <w:t>19</w:t>
                  </w:r>
                </w:p>
              </w:tc>
              <w:tc>
                <w:tcPr>
                  <w:tcW w:w="1662" w:type="pct"/>
                  <w:vAlign w:val="center"/>
                </w:tcPr>
                <w:p>
                  <w:pPr>
                    <w:pStyle w:val="136"/>
                    <w:adjustRightInd w:val="0"/>
                    <w:snapToGrid w:val="0"/>
                  </w:pPr>
                  <w:r>
                    <w:rPr>
                      <w:rFonts w:hint="eastAsia"/>
                    </w:rPr>
                    <w:t>立式冰柜</w:t>
                  </w:r>
                </w:p>
              </w:tc>
              <w:tc>
                <w:tcPr>
                  <w:tcW w:w="1117" w:type="pct"/>
                  <w:vAlign w:val="center"/>
                </w:tcPr>
                <w:p>
                  <w:pPr>
                    <w:pStyle w:val="136"/>
                    <w:adjustRightInd w:val="0"/>
                    <w:snapToGrid w:val="0"/>
                  </w:pPr>
                  <w:r>
                    <w:rPr>
                      <w:rFonts w:hint="eastAsia"/>
                    </w:rPr>
                    <w:t>台/套</w:t>
                  </w:r>
                </w:p>
              </w:tc>
              <w:tc>
                <w:tcPr>
                  <w:tcW w:w="558" w:type="pct"/>
                  <w:vAlign w:val="center"/>
                </w:tcPr>
                <w:p>
                  <w:pPr>
                    <w:pStyle w:val="136"/>
                    <w:adjustRightInd w:val="0"/>
                    <w:snapToGrid w:val="0"/>
                  </w:pPr>
                  <w:r>
                    <w:rPr>
                      <w:rFonts w:hint="eastAsia"/>
                    </w:rPr>
                    <w:t>4</w:t>
                  </w:r>
                </w:p>
              </w:tc>
              <w:tc>
                <w:tcPr>
                  <w:tcW w:w="1228" w:type="pct"/>
                  <w:vAlign w:val="center"/>
                </w:tcPr>
                <w:p>
                  <w:pPr>
                    <w:pStyle w:val="136"/>
                    <w:adjustRightInd w:val="0"/>
                    <w:snapToGrid w:val="0"/>
                  </w:pPr>
                  <w:r>
                    <w:rPr>
                      <w:rFonts w:hint="eastAsia"/>
                    </w:rPr>
                    <w:t>样品保存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Align w:val="center"/>
                </w:tcPr>
                <w:p>
                  <w:pPr>
                    <w:pStyle w:val="136"/>
                    <w:adjustRightInd w:val="0"/>
                    <w:snapToGrid w:val="0"/>
                  </w:pPr>
                  <w:r>
                    <w:rPr>
                      <w:rFonts w:hint="eastAsia"/>
                    </w:rPr>
                    <w:t>20</w:t>
                  </w:r>
                </w:p>
              </w:tc>
              <w:tc>
                <w:tcPr>
                  <w:tcW w:w="1662" w:type="pct"/>
                  <w:vAlign w:val="center"/>
                </w:tcPr>
                <w:p>
                  <w:pPr>
                    <w:pStyle w:val="136"/>
                    <w:adjustRightInd w:val="0"/>
                    <w:snapToGrid w:val="0"/>
                  </w:pPr>
                  <w:r>
                    <w:rPr>
                      <w:rFonts w:hint="eastAsia"/>
                    </w:rPr>
                    <w:t>冰箱</w:t>
                  </w:r>
                </w:p>
              </w:tc>
              <w:tc>
                <w:tcPr>
                  <w:tcW w:w="1117" w:type="pct"/>
                  <w:vAlign w:val="center"/>
                </w:tcPr>
                <w:p>
                  <w:pPr>
                    <w:pStyle w:val="136"/>
                    <w:adjustRightInd w:val="0"/>
                    <w:snapToGrid w:val="0"/>
                  </w:pPr>
                  <w:r>
                    <w:rPr>
                      <w:rFonts w:hint="eastAsia"/>
                    </w:rPr>
                    <w:t>台/套</w:t>
                  </w:r>
                </w:p>
              </w:tc>
              <w:tc>
                <w:tcPr>
                  <w:tcW w:w="558" w:type="pct"/>
                  <w:vAlign w:val="center"/>
                </w:tcPr>
                <w:p>
                  <w:pPr>
                    <w:pStyle w:val="136"/>
                    <w:adjustRightInd w:val="0"/>
                    <w:snapToGrid w:val="0"/>
                  </w:pPr>
                  <w:r>
                    <w:t>3</w:t>
                  </w:r>
                </w:p>
              </w:tc>
              <w:tc>
                <w:tcPr>
                  <w:tcW w:w="1228" w:type="pct"/>
                  <w:vAlign w:val="center"/>
                </w:tcPr>
                <w:p>
                  <w:pPr>
                    <w:pStyle w:val="136"/>
                    <w:adjustRightInd w:val="0"/>
                    <w:snapToGrid w:val="0"/>
                  </w:pPr>
                  <w:r>
                    <w:rPr>
                      <w:rFonts w:hint="eastAsia"/>
                    </w:rPr>
                    <w:t>样品保存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Align w:val="center"/>
                </w:tcPr>
                <w:p>
                  <w:pPr>
                    <w:pStyle w:val="136"/>
                    <w:adjustRightInd w:val="0"/>
                    <w:snapToGrid w:val="0"/>
                  </w:pPr>
                  <w:r>
                    <w:rPr>
                      <w:rFonts w:hint="eastAsia"/>
                    </w:rPr>
                    <w:t>21</w:t>
                  </w:r>
                </w:p>
              </w:tc>
              <w:tc>
                <w:tcPr>
                  <w:tcW w:w="1662" w:type="pct"/>
                  <w:vAlign w:val="center"/>
                </w:tcPr>
                <w:p>
                  <w:pPr>
                    <w:pStyle w:val="136"/>
                    <w:adjustRightInd w:val="0"/>
                    <w:snapToGrid w:val="0"/>
                  </w:pPr>
                  <w:r>
                    <w:rPr>
                      <w:rFonts w:hint="eastAsia"/>
                    </w:rPr>
                    <w:t>冷藏展示柜</w:t>
                  </w:r>
                </w:p>
              </w:tc>
              <w:tc>
                <w:tcPr>
                  <w:tcW w:w="1117" w:type="pct"/>
                  <w:vAlign w:val="center"/>
                </w:tcPr>
                <w:p>
                  <w:pPr>
                    <w:pStyle w:val="136"/>
                    <w:adjustRightInd w:val="0"/>
                    <w:snapToGrid w:val="0"/>
                  </w:pPr>
                  <w:r>
                    <w:rPr>
                      <w:rFonts w:hint="eastAsia"/>
                    </w:rPr>
                    <w:t>台/套</w:t>
                  </w:r>
                </w:p>
              </w:tc>
              <w:tc>
                <w:tcPr>
                  <w:tcW w:w="558" w:type="pct"/>
                  <w:vAlign w:val="center"/>
                </w:tcPr>
                <w:p>
                  <w:pPr>
                    <w:pStyle w:val="136"/>
                    <w:adjustRightInd w:val="0"/>
                    <w:snapToGrid w:val="0"/>
                  </w:pPr>
                  <w:r>
                    <w:rPr>
                      <w:rFonts w:hint="eastAsia"/>
                    </w:rPr>
                    <w:t>1</w:t>
                  </w:r>
                </w:p>
              </w:tc>
              <w:tc>
                <w:tcPr>
                  <w:tcW w:w="1228" w:type="pct"/>
                  <w:vAlign w:val="center"/>
                </w:tcPr>
                <w:p>
                  <w:pPr>
                    <w:pStyle w:val="136"/>
                    <w:adjustRightInd w:val="0"/>
                    <w:snapToGrid w:val="0"/>
                  </w:pPr>
                  <w:r>
                    <w:rPr>
                      <w:rFonts w:hint="eastAsia"/>
                    </w:rPr>
                    <w:t>样品保存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Align w:val="center"/>
                </w:tcPr>
                <w:p>
                  <w:pPr>
                    <w:pStyle w:val="136"/>
                    <w:adjustRightInd w:val="0"/>
                    <w:snapToGrid w:val="0"/>
                  </w:pPr>
                  <w:r>
                    <w:rPr>
                      <w:rFonts w:hint="eastAsia"/>
                    </w:rPr>
                    <w:t>22</w:t>
                  </w:r>
                </w:p>
              </w:tc>
              <w:tc>
                <w:tcPr>
                  <w:tcW w:w="1662" w:type="pct"/>
                  <w:vAlign w:val="center"/>
                </w:tcPr>
                <w:p>
                  <w:pPr>
                    <w:pStyle w:val="136"/>
                    <w:adjustRightInd w:val="0"/>
                    <w:snapToGrid w:val="0"/>
                  </w:pPr>
                  <w:r>
                    <w:rPr>
                      <w:rFonts w:hint="eastAsia"/>
                    </w:rPr>
                    <w:t>超声清洗器</w:t>
                  </w:r>
                </w:p>
              </w:tc>
              <w:tc>
                <w:tcPr>
                  <w:tcW w:w="1117" w:type="pct"/>
                  <w:vAlign w:val="center"/>
                </w:tcPr>
                <w:p>
                  <w:pPr>
                    <w:pStyle w:val="136"/>
                    <w:adjustRightInd w:val="0"/>
                    <w:snapToGrid w:val="0"/>
                  </w:pPr>
                  <w:r>
                    <w:rPr>
                      <w:rFonts w:hint="eastAsia"/>
                    </w:rPr>
                    <w:t>台/套</w:t>
                  </w:r>
                </w:p>
              </w:tc>
              <w:tc>
                <w:tcPr>
                  <w:tcW w:w="558" w:type="pct"/>
                  <w:vAlign w:val="center"/>
                </w:tcPr>
                <w:p>
                  <w:pPr>
                    <w:pStyle w:val="136"/>
                    <w:adjustRightInd w:val="0"/>
                    <w:snapToGrid w:val="0"/>
                  </w:pPr>
                  <w:r>
                    <w:rPr>
                      <w:rFonts w:hint="eastAsia"/>
                    </w:rPr>
                    <w:t>1</w:t>
                  </w:r>
                </w:p>
              </w:tc>
              <w:tc>
                <w:tcPr>
                  <w:tcW w:w="1228" w:type="pct"/>
                  <w:vAlign w:val="center"/>
                </w:tcPr>
                <w:p>
                  <w:pPr>
                    <w:pStyle w:val="136"/>
                    <w:adjustRightInd w:val="0"/>
                    <w:snapToGrid w:val="0"/>
                  </w:pPr>
                  <w:r>
                    <w:rPr>
                      <w:rFonts w:hint="eastAsia"/>
                    </w:rPr>
                    <w:t>实验室分析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Align w:val="center"/>
                </w:tcPr>
                <w:p>
                  <w:pPr>
                    <w:pStyle w:val="136"/>
                    <w:adjustRightInd w:val="0"/>
                    <w:snapToGrid w:val="0"/>
                  </w:pPr>
                  <w:r>
                    <w:rPr>
                      <w:rFonts w:hint="eastAsia"/>
                    </w:rPr>
                    <w:t>23</w:t>
                  </w:r>
                </w:p>
              </w:tc>
              <w:tc>
                <w:tcPr>
                  <w:tcW w:w="1662" w:type="pct"/>
                  <w:vAlign w:val="center"/>
                </w:tcPr>
                <w:p>
                  <w:pPr>
                    <w:pStyle w:val="136"/>
                    <w:adjustRightInd w:val="0"/>
                    <w:snapToGrid w:val="0"/>
                  </w:pPr>
                  <w:r>
                    <w:rPr>
                      <w:rFonts w:hint="eastAsia"/>
                    </w:rPr>
                    <w:t>电动离心机</w:t>
                  </w:r>
                </w:p>
              </w:tc>
              <w:tc>
                <w:tcPr>
                  <w:tcW w:w="1117" w:type="pct"/>
                  <w:vAlign w:val="center"/>
                </w:tcPr>
                <w:p>
                  <w:pPr>
                    <w:pStyle w:val="136"/>
                    <w:adjustRightInd w:val="0"/>
                    <w:snapToGrid w:val="0"/>
                  </w:pPr>
                  <w:r>
                    <w:rPr>
                      <w:rFonts w:hint="eastAsia"/>
                    </w:rPr>
                    <w:t>台/套</w:t>
                  </w:r>
                </w:p>
              </w:tc>
              <w:tc>
                <w:tcPr>
                  <w:tcW w:w="558" w:type="pct"/>
                  <w:vAlign w:val="center"/>
                </w:tcPr>
                <w:p>
                  <w:pPr>
                    <w:pStyle w:val="136"/>
                    <w:adjustRightInd w:val="0"/>
                    <w:snapToGrid w:val="0"/>
                  </w:pPr>
                  <w:r>
                    <w:rPr>
                      <w:rFonts w:hint="eastAsia"/>
                    </w:rPr>
                    <w:t>1</w:t>
                  </w:r>
                </w:p>
              </w:tc>
              <w:tc>
                <w:tcPr>
                  <w:tcW w:w="1228" w:type="pct"/>
                  <w:vAlign w:val="center"/>
                </w:tcPr>
                <w:p>
                  <w:pPr>
                    <w:pStyle w:val="136"/>
                    <w:adjustRightInd w:val="0"/>
                    <w:snapToGrid w:val="0"/>
                  </w:pPr>
                  <w:r>
                    <w:rPr>
                      <w:rFonts w:hint="eastAsia"/>
                    </w:rPr>
                    <w:t>实验室分析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Align w:val="center"/>
                </w:tcPr>
                <w:p>
                  <w:pPr>
                    <w:pStyle w:val="136"/>
                    <w:adjustRightInd w:val="0"/>
                    <w:snapToGrid w:val="0"/>
                  </w:pPr>
                  <w:r>
                    <w:rPr>
                      <w:rFonts w:hint="eastAsia"/>
                    </w:rPr>
                    <w:t>24</w:t>
                  </w:r>
                </w:p>
              </w:tc>
              <w:tc>
                <w:tcPr>
                  <w:tcW w:w="1662" w:type="pct"/>
                  <w:vAlign w:val="center"/>
                </w:tcPr>
                <w:p>
                  <w:pPr>
                    <w:pStyle w:val="136"/>
                    <w:adjustRightInd w:val="0"/>
                    <w:snapToGrid w:val="0"/>
                  </w:pPr>
                  <w:r>
                    <w:rPr>
                      <w:rFonts w:hint="eastAsia"/>
                    </w:rPr>
                    <w:t>隔水式电热恒温培养箱</w:t>
                  </w:r>
                </w:p>
              </w:tc>
              <w:tc>
                <w:tcPr>
                  <w:tcW w:w="1117" w:type="pct"/>
                  <w:vAlign w:val="center"/>
                </w:tcPr>
                <w:p>
                  <w:pPr>
                    <w:pStyle w:val="136"/>
                    <w:adjustRightInd w:val="0"/>
                    <w:snapToGrid w:val="0"/>
                  </w:pPr>
                  <w:r>
                    <w:rPr>
                      <w:rFonts w:hint="eastAsia"/>
                    </w:rPr>
                    <w:t>台/套</w:t>
                  </w:r>
                </w:p>
              </w:tc>
              <w:tc>
                <w:tcPr>
                  <w:tcW w:w="558" w:type="pct"/>
                  <w:vAlign w:val="center"/>
                </w:tcPr>
                <w:p>
                  <w:pPr>
                    <w:pStyle w:val="136"/>
                    <w:adjustRightInd w:val="0"/>
                    <w:snapToGrid w:val="0"/>
                  </w:pPr>
                  <w:r>
                    <w:rPr>
                      <w:rFonts w:hint="eastAsia"/>
                    </w:rPr>
                    <w:t>1</w:t>
                  </w:r>
                </w:p>
              </w:tc>
              <w:tc>
                <w:tcPr>
                  <w:tcW w:w="1228" w:type="pct"/>
                  <w:vAlign w:val="center"/>
                </w:tcPr>
                <w:p>
                  <w:pPr>
                    <w:pStyle w:val="136"/>
                    <w:adjustRightInd w:val="0"/>
                    <w:snapToGrid w:val="0"/>
                  </w:pPr>
                  <w:r>
                    <w:rPr>
                      <w:rFonts w:hint="eastAsia"/>
                    </w:rPr>
                    <w:t>实验室分析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Align w:val="center"/>
                </w:tcPr>
                <w:p>
                  <w:pPr>
                    <w:pStyle w:val="136"/>
                    <w:adjustRightInd w:val="0"/>
                    <w:snapToGrid w:val="0"/>
                  </w:pPr>
                  <w:r>
                    <w:rPr>
                      <w:rFonts w:hint="eastAsia"/>
                    </w:rPr>
                    <w:t>25</w:t>
                  </w:r>
                </w:p>
              </w:tc>
              <w:tc>
                <w:tcPr>
                  <w:tcW w:w="1662" w:type="pct"/>
                  <w:vAlign w:val="center"/>
                </w:tcPr>
                <w:p>
                  <w:pPr>
                    <w:pStyle w:val="136"/>
                    <w:adjustRightInd w:val="0"/>
                    <w:snapToGrid w:val="0"/>
                  </w:pPr>
                  <w:r>
                    <w:rPr>
                      <w:rFonts w:hint="eastAsia"/>
                    </w:rPr>
                    <w:t>生化培养箱</w:t>
                  </w:r>
                </w:p>
              </w:tc>
              <w:tc>
                <w:tcPr>
                  <w:tcW w:w="1117" w:type="pct"/>
                  <w:vAlign w:val="center"/>
                </w:tcPr>
                <w:p>
                  <w:pPr>
                    <w:pStyle w:val="136"/>
                    <w:adjustRightInd w:val="0"/>
                    <w:snapToGrid w:val="0"/>
                  </w:pPr>
                  <w:r>
                    <w:rPr>
                      <w:rFonts w:hint="eastAsia"/>
                    </w:rPr>
                    <w:t>台/套</w:t>
                  </w:r>
                </w:p>
              </w:tc>
              <w:tc>
                <w:tcPr>
                  <w:tcW w:w="558" w:type="pct"/>
                  <w:vAlign w:val="center"/>
                </w:tcPr>
                <w:p>
                  <w:pPr>
                    <w:pStyle w:val="136"/>
                    <w:adjustRightInd w:val="0"/>
                    <w:snapToGrid w:val="0"/>
                  </w:pPr>
                  <w:r>
                    <w:rPr>
                      <w:rFonts w:hint="eastAsia"/>
                    </w:rPr>
                    <w:t>1</w:t>
                  </w:r>
                </w:p>
              </w:tc>
              <w:tc>
                <w:tcPr>
                  <w:tcW w:w="1228" w:type="pct"/>
                  <w:vAlign w:val="center"/>
                </w:tcPr>
                <w:p>
                  <w:pPr>
                    <w:pStyle w:val="136"/>
                    <w:adjustRightInd w:val="0"/>
                    <w:snapToGrid w:val="0"/>
                  </w:pPr>
                  <w:r>
                    <w:rPr>
                      <w:rFonts w:hint="eastAsia"/>
                    </w:rPr>
                    <w:t>实验室分析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Align w:val="center"/>
                </w:tcPr>
                <w:p>
                  <w:pPr>
                    <w:pStyle w:val="136"/>
                    <w:adjustRightInd w:val="0"/>
                    <w:snapToGrid w:val="0"/>
                  </w:pPr>
                  <w:r>
                    <w:rPr>
                      <w:rFonts w:hint="eastAsia"/>
                    </w:rPr>
                    <w:t>26</w:t>
                  </w:r>
                </w:p>
              </w:tc>
              <w:tc>
                <w:tcPr>
                  <w:tcW w:w="1662" w:type="pct"/>
                  <w:vAlign w:val="center"/>
                </w:tcPr>
                <w:p>
                  <w:pPr>
                    <w:pStyle w:val="136"/>
                    <w:adjustRightInd w:val="0"/>
                    <w:snapToGrid w:val="0"/>
                  </w:pPr>
                  <w:r>
                    <w:rPr>
                      <w:rFonts w:hint="eastAsia"/>
                    </w:rPr>
                    <w:t>易制爆防腐蚀化学品柜</w:t>
                  </w:r>
                </w:p>
              </w:tc>
              <w:tc>
                <w:tcPr>
                  <w:tcW w:w="1117" w:type="pct"/>
                  <w:vAlign w:val="center"/>
                </w:tcPr>
                <w:p>
                  <w:pPr>
                    <w:pStyle w:val="136"/>
                    <w:adjustRightInd w:val="0"/>
                    <w:snapToGrid w:val="0"/>
                  </w:pPr>
                  <w:r>
                    <w:rPr>
                      <w:rFonts w:hint="eastAsia"/>
                    </w:rPr>
                    <w:t>台/套</w:t>
                  </w:r>
                </w:p>
              </w:tc>
              <w:tc>
                <w:tcPr>
                  <w:tcW w:w="558" w:type="pct"/>
                  <w:vAlign w:val="center"/>
                </w:tcPr>
                <w:p>
                  <w:pPr>
                    <w:pStyle w:val="136"/>
                    <w:adjustRightInd w:val="0"/>
                    <w:snapToGrid w:val="0"/>
                  </w:pPr>
                  <w:r>
                    <w:rPr>
                      <w:rFonts w:hint="eastAsia"/>
                    </w:rPr>
                    <w:t>1</w:t>
                  </w:r>
                </w:p>
              </w:tc>
              <w:tc>
                <w:tcPr>
                  <w:tcW w:w="1228" w:type="pct"/>
                  <w:vAlign w:val="center"/>
                </w:tcPr>
                <w:p>
                  <w:pPr>
                    <w:pStyle w:val="136"/>
                    <w:adjustRightInd w:val="0"/>
                    <w:snapToGrid w:val="0"/>
                  </w:pPr>
                  <w:r>
                    <w:rPr>
                      <w:rFonts w:hint="eastAsia"/>
                    </w:rPr>
                    <w:t>化学品储存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Align w:val="center"/>
                </w:tcPr>
                <w:p>
                  <w:pPr>
                    <w:pStyle w:val="136"/>
                    <w:adjustRightInd w:val="0"/>
                    <w:snapToGrid w:val="0"/>
                  </w:pPr>
                  <w:r>
                    <w:rPr>
                      <w:rFonts w:hint="eastAsia"/>
                    </w:rPr>
                    <w:t>27</w:t>
                  </w:r>
                </w:p>
              </w:tc>
              <w:tc>
                <w:tcPr>
                  <w:tcW w:w="1662" w:type="pct"/>
                  <w:vAlign w:val="center"/>
                </w:tcPr>
                <w:p>
                  <w:pPr>
                    <w:pStyle w:val="136"/>
                    <w:adjustRightInd w:val="0"/>
                    <w:snapToGrid w:val="0"/>
                  </w:pPr>
                  <w:r>
                    <w:rPr>
                      <w:rFonts w:hint="eastAsia"/>
                    </w:rPr>
                    <w:t>立式高压蒸汽灭菌器</w:t>
                  </w:r>
                </w:p>
              </w:tc>
              <w:tc>
                <w:tcPr>
                  <w:tcW w:w="1117" w:type="pct"/>
                  <w:vAlign w:val="center"/>
                </w:tcPr>
                <w:p>
                  <w:pPr>
                    <w:pStyle w:val="136"/>
                    <w:adjustRightInd w:val="0"/>
                    <w:snapToGrid w:val="0"/>
                  </w:pPr>
                  <w:r>
                    <w:rPr>
                      <w:rFonts w:hint="eastAsia"/>
                    </w:rPr>
                    <w:t>台/套</w:t>
                  </w:r>
                </w:p>
              </w:tc>
              <w:tc>
                <w:tcPr>
                  <w:tcW w:w="558" w:type="pct"/>
                  <w:vAlign w:val="center"/>
                </w:tcPr>
                <w:p>
                  <w:pPr>
                    <w:pStyle w:val="136"/>
                    <w:adjustRightInd w:val="0"/>
                    <w:snapToGrid w:val="0"/>
                  </w:pPr>
                  <w:r>
                    <w:rPr>
                      <w:rFonts w:hint="eastAsia"/>
                    </w:rPr>
                    <w:t>1</w:t>
                  </w:r>
                </w:p>
              </w:tc>
              <w:tc>
                <w:tcPr>
                  <w:tcW w:w="1228" w:type="pct"/>
                  <w:vAlign w:val="center"/>
                </w:tcPr>
                <w:p>
                  <w:pPr>
                    <w:pStyle w:val="136"/>
                    <w:adjustRightInd w:val="0"/>
                    <w:snapToGrid w:val="0"/>
                  </w:pPr>
                  <w:r>
                    <w:rPr>
                      <w:rFonts w:hint="eastAsia"/>
                    </w:rPr>
                    <w:t>消毒灭菌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Align w:val="center"/>
                </w:tcPr>
                <w:p>
                  <w:pPr>
                    <w:pStyle w:val="136"/>
                    <w:adjustRightInd w:val="0"/>
                    <w:snapToGrid w:val="0"/>
                  </w:pPr>
                  <w:r>
                    <w:rPr>
                      <w:rFonts w:hint="eastAsia"/>
                    </w:rPr>
                    <w:t>28</w:t>
                  </w:r>
                </w:p>
              </w:tc>
              <w:tc>
                <w:tcPr>
                  <w:tcW w:w="1662" w:type="pct"/>
                  <w:vAlign w:val="center"/>
                </w:tcPr>
                <w:p>
                  <w:pPr>
                    <w:pStyle w:val="136"/>
                    <w:adjustRightInd w:val="0"/>
                    <w:snapToGrid w:val="0"/>
                  </w:pPr>
                  <w:r>
                    <w:rPr>
                      <w:rFonts w:hint="eastAsia"/>
                    </w:rPr>
                    <w:t>气相分子吸收光谱仪</w:t>
                  </w:r>
                </w:p>
              </w:tc>
              <w:tc>
                <w:tcPr>
                  <w:tcW w:w="1117" w:type="pct"/>
                  <w:vAlign w:val="center"/>
                </w:tcPr>
                <w:p>
                  <w:pPr>
                    <w:pStyle w:val="136"/>
                    <w:adjustRightInd w:val="0"/>
                    <w:snapToGrid w:val="0"/>
                  </w:pPr>
                  <w:r>
                    <w:rPr>
                      <w:rFonts w:hint="eastAsia"/>
                    </w:rPr>
                    <w:t>台/套</w:t>
                  </w:r>
                </w:p>
              </w:tc>
              <w:tc>
                <w:tcPr>
                  <w:tcW w:w="558" w:type="pct"/>
                  <w:vAlign w:val="center"/>
                </w:tcPr>
                <w:p>
                  <w:pPr>
                    <w:pStyle w:val="136"/>
                    <w:adjustRightInd w:val="0"/>
                    <w:snapToGrid w:val="0"/>
                  </w:pPr>
                  <w:r>
                    <w:rPr>
                      <w:rFonts w:hint="eastAsia"/>
                    </w:rPr>
                    <w:t>1</w:t>
                  </w:r>
                </w:p>
              </w:tc>
              <w:tc>
                <w:tcPr>
                  <w:tcW w:w="1228" w:type="pct"/>
                  <w:vAlign w:val="center"/>
                </w:tcPr>
                <w:p>
                  <w:pPr>
                    <w:pStyle w:val="136"/>
                    <w:adjustRightInd w:val="0"/>
                    <w:snapToGrid w:val="0"/>
                  </w:pPr>
                  <w:r>
                    <w:rPr>
                      <w:rFonts w:hint="eastAsia"/>
                    </w:rPr>
                    <w:t>实验室分析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Align w:val="center"/>
                </w:tcPr>
                <w:p>
                  <w:pPr>
                    <w:pStyle w:val="136"/>
                    <w:adjustRightInd w:val="0"/>
                    <w:snapToGrid w:val="0"/>
                  </w:pPr>
                  <w:r>
                    <w:rPr>
                      <w:rFonts w:hint="eastAsia"/>
                    </w:rPr>
                    <w:t>29</w:t>
                  </w:r>
                </w:p>
              </w:tc>
              <w:tc>
                <w:tcPr>
                  <w:tcW w:w="1662" w:type="pct"/>
                  <w:vAlign w:val="center"/>
                </w:tcPr>
                <w:p>
                  <w:pPr>
                    <w:pStyle w:val="136"/>
                    <w:adjustRightInd w:val="0"/>
                    <w:snapToGrid w:val="0"/>
                  </w:pPr>
                  <w:r>
                    <w:rPr>
                      <w:rFonts w:hint="eastAsia"/>
                    </w:rPr>
                    <w:t>全自动高锰酸盐指数分析仪</w:t>
                  </w:r>
                </w:p>
              </w:tc>
              <w:tc>
                <w:tcPr>
                  <w:tcW w:w="1117" w:type="pct"/>
                  <w:vAlign w:val="center"/>
                </w:tcPr>
                <w:p>
                  <w:pPr>
                    <w:pStyle w:val="136"/>
                    <w:adjustRightInd w:val="0"/>
                    <w:snapToGrid w:val="0"/>
                  </w:pPr>
                  <w:r>
                    <w:rPr>
                      <w:rFonts w:hint="eastAsia"/>
                    </w:rPr>
                    <w:t>台/套</w:t>
                  </w:r>
                </w:p>
              </w:tc>
              <w:tc>
                <w:tcPr>
                  <w:tcW w:w="558" w:type="pct"/>
                  <w:vAlign w:val="center"/>
                </w:tcPr>
                <w:p>
                  <w:pPr>
                    <w:pStyle w:val="136"/>
                    <w:adjustRightInd w:val="0"/>
                    <w:snapToGrid w:val="0"/>
                  </w:pPr>
                  <w:r>
                    <w:rPr>
                      <w:rFonts w:hint="eastAsia"/>
                    </w:rPr>
                    <w:t>1</w:t>
                  </w:r>
                </w:p>
              </w:tc>
              <w:tc>
                <w:tcPr>
                  <w:tcW w:w="1228" w:type="pct"/>
                  <w:vAlign w:val="center"/>
                </w:tcPr>
                <w:p>
                  <w:pPr>
                    <w:pStyle w:val="136"/>
                    <w:adjustRightInd w:val="0"/>
                    <w:snapToGrid w:val="0"/>
                  </w:pPr>
                  <w:r>
                    <w:rPr>
                      <w:rFonts w:hint="eastAsia"/>
                    </w:rPr>
                    <w:t>实验室分析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Align w:val="center"/>
                </w:tcPr>
                <w:p>
                  <w:pPr>
                    <w:pStyle w:val="136"/>
                    <w:adjustRightInd w:val="0"/>
                    <w:snapToGrid w:val="0"/>
                  </w:pPr>
                  <w:r>
                    <w:rPr>
                      <w:rFonts w:hint="eastAsia"/>
                    </w:rPr>
                    <w:t>30</w:t>
                  </w:r>
                </w:p>
              </w:tc>
              <w:tc>
                <w:tcPr>
                  <w:tcW w:w="1662" w:type="pct"/>
                  <w:vAlign w:val="center"/>
                </w:tcPr>
                <w:p>
                  <w:pPr>
                    <w:pStyle w:val="136"/>
                    <w:adjustRightInd w:val="0"/>
                    <w:snapToGrid w:val="0"/>
                  </w:pPr>
                  <w:r>
                    <w:rPr>
                      <w:rFonts w:hint="eastAsia"/>
                    </w:rPr>
                    <w:t>体视显微镜</w:t>
                  </w:r>
                </w:p>
              </w:tc>
              <w:tc>
                <w:tcPr>
                  <w:tcW w:w="1117" w:type="pct"/>
                  <w:vAlign w:val="center"/>
                </w:tcPr>
                <w:p>
                  <w:pPr>
                    <w:pStyle w:val="136"/>
                    <w:adjustRightInd w:val="0"/>
                    <w:snapToGrid w:val="0"/>
                  </w:pPr>
                  <w:r>
                    <w:rPr>
                      <w:rFonts w:hint="eastAsia"/>
                    </w:rPr>
                    <w:t>套</w:t>
                  </w:r>
                </w:p>
              </w:tc>
              <w:tc>
                <w:tcPr>
                  <w:tcW w:w="558" w:type="pct"/>
                  <w:vAlign w:val="center"/>
                </w:tcPr>
                <w:p>
                  <w:pPr>
                    <w:pStyle w:val="136"/>
                    <w:adjustRightInd w:val="0"/>
                    <w:snapToGrid w:val="0"/>
                  </w:pPr>
                  <w:r>
                    <w:rPr>
                      <w:rFonts w:hint="eastAsia"/>
                    </w:rPr>
                    <w:t>1</w:t>
                  </w:r>
                </w:p>
              </w:tc>
              <w:tc>
                <w:tcPr>
                  <w:tcW w:w="1228" w:type="pct"/>
                  <w:vAlign w:val="center"/>
                </w:tcPr>
                <w:p>
                  <w:pPr>
                    <w:pStyle w:val="136"/>
                    <w:adjustRightInd w:val="0"/>
                    <w:snapToGrid w:val="0"/>
                  </w:pPr>
                  <w:r>
                    <w:rPr>
                      <w:rFonts w:hint="eastAsia"/>
                    </w:rPr>
                    <w:t>实验室分析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Align w:val="center"/>
                </w:tcPr>
                <w:p>
                  <w:pPr>
                    <w:pStyle w:val="136"/>
                    <w:adjustRightInd w:val="0"/>
                    <w:snapToGrid w:val="0"/>
                  </w:pPr>
                  <w:r>
                    <w:rPr>
                      <w:rFonts w:hint="eastAsia"/>
                    </w:rPr>
                    <w:t>31</w:t>
                  </w:r>
                </w:p>
              </w:tc>
              <w:tc>
                <w:tcPr>
                  <w:tcW w:w="1662" w:type="pct"/>
                  <w:vAlign w:val="center"/>
                </w:tcPr>
                <w:p>
                  <w:pPr>
                    <w:pStyle w:val="136"/>
                    <w:adjustRightInd w:val="0"/>
                    <w:snapToGrid w:val="0"/>
                  </w:pPr>
                  <w:r>
                    <w:rPr>
                      <w:rFonts w:hint="eastAsia"/>
                    </w:rPr>
                    <w:t>体视显微镜</w:t>
                  </w:r>
                </w:p>
              </w:tc>
              <w:tc>
                <w:tcPr>
                  <w:tcW w:w="1117" w:type="pct"/>
                  <w:vAlign w:val="center"/>
                </w:tcPr>
                <w:p>
                  <w:pPr>
                    <w:pStyle w:val="136"/>
                    <w:adjustRightInd w:val="0"/>
                    <w:snapToGrid w:val="0"/>
                  </w:pPr>
                  <w:r>
                    <w:rPr>
                      <w:rFonts w:hint="eastAsia"/>
                    </w:rPr>
                    <w:t>套</w:t>
                  </w:r>
                </w:p>
              </w:tc>
              <w:tc>
                <w:tcPr>
                  <w:tcW w:w="558" w:type="pct"/>
                  <w:vAlign w:val="center"/>
                </w:tcPr>
                <w:p>
                  <w:pPr>
                    <w:pStyle w:val="136"/>
                    <w:adjustRightInd w:val="0"/>
                    <w:snapToGrid w:val="0"/>
                  </w:pPr>
                  <w:r>
                    <w:rPr>
                      <w:rFonts w:hint="eastAsia"/>
                    </w:rPr>
                    <w:t>1</w:t>
                  </w:r>
                </w:p>
              </w:tc>
              <w:tc>
                <w:tcPr>
                  <w:tcW w:w="1228" w:type="pct"/>
                  <w:vAlign w:val="center"/>
                </w:tcPr>
                <w:p>
                  <w:pPr>
                    <w:pStyle w:val="136"/>
                    <w:adjustRightInd w:val="0"/>
                    <w:snapToGrid w:val="0"/>
                  </w:pPr>
                  <w:r>
                    <w:rPr>
                      <w:rFonts w:hint="eastAsia"/>
                    </w:rPr>
                    <w:t>实验室分析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Merge w:val="restart"/>
                  <w:vAlign w:val="center"/>
                </w:tcPr>
                <w:p>
                  <w:pPr>
                    <w:pStyle w:val="136"/>
                    <w:adjustRightInd w:val="0"/>
                    <w:snapToGrid w:val="0"/>
                  </w:pPr>
                  <w:r>
                    <w:t>32</w:t>
                  </w:r>
                </w:p>
              </w:tc>
              <w:tc>
                <w:tcPr>
                  <w:tcW w:w="1662" w:type="pct"/>
                  <w:vAlign w:val="center"/>
                </w:tcPr>
                <w:p>
                  <w:pPr>
                    <w:pStyle w:val="136"/>
                    <w:adjustRightInd w:val="0"/>
                    <w:snapToGrid w:val="0"/>
                  </w:pPr>
                  <w:r>
                    <w:rPr>
                      <w:rFonts w:hint="eastAsia"/>
                    </w:rPr>
                    <w:t>采样箱</w:t>
                  </w:r>
                </w:p>
              </w:tc>
              <w:tc>
                <w:tcPr>
                  <w:tcW w:w="1117" w:type="pct"/>
                  <w:vAlign w:val="center"/>
                </w:tcPr>
                <w:p>
                  <w:pPr>
                    <w:pStyle w:val="136"/>
                    <w:adjustRightInd w:val="0"/>
                    <w:snapToGrid w:val="0"/>
                  </w:pPr>
                  <w:r>
                    <w:rPr>
                      <w:rFonts w:hint="eastAsia"/>
                    </w:rPr>
                    <w:t>台/套</w:t>
                  </w:r>
                </w:p>
              </w:tc>
              <w:tc>
                <w:tcPr>
                  <w:tcW w:w="558" w:type="pct"/>
                  <w:vAlign w:val="center"/>
                </w:tcPr>
                <w:p>
                  <w:pPr>
                    <w:pStyle w:val="136"/>
                    <w:adjustRightInd w:val="0"/>
                    <w:snapToGrid w:val="0"/>
                  </w:pPr>
                  <w:r>
                    <w:rPr>
                      <w:rFonts w:hint="eastAsia"/>
                    </w:rPr>
                    <w:t>5</w:t>
                  </w:r>
                </w:p>
              </w:tc>
              <w:tc>
                <w:tcPr>
                  <w:tcW w:w="1228" w:type="pct"/>
                  <w:vMerge w:val="restart"/>
                  <w:vAlign w:val="center"/>
                </w:tcPr>
                <w:p>
                  <w:pPr>
                    <w:pStyle w:val="136"/>
                    <w:adjustRightInd w:val="0"/>
                    <w:snapToGrid w:val="0"/>
                  </w:pPr>
                  <w:r>
                    <w:rPr>
                      <w:rFonts w:hint="eastAsia"/>
                    </w:rPr>
                    <w:t>现场采样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Merge w:val="continue"/>
                  <w:vAlign w:val="center"/>
                </w:tcPr>
                <w:p>
                  <w:pPr>
                    <w:pStyle w:val="136"/>
                    <w:adjustRightInd w:val="0"/>
                    <w:snapToGrid w:val="0"/>
                  </w:pPr>
                </w:p>
              </w:tc>
              <w:tc>
                <w:tcPr>
                  <w:tcW w:w="1662" w:type="pct"/>
                  <w:vAlign w:val="center"/>
                </w:tcPr>
                <w:p>
                  <w:pPr>
                    <w:pStyle w:val="136"/>
                    <w:adjustRightInd w:val="0"/>
                    <w:snapToGrid w:val="0"/>
                  </w:pPr>
                  <w:r>
                    <w:rPr>
                      <w:rFonts w:hint="eastAsia"/>
                    </w:rPr>
                    <w:t>便携式悬臂式取样器</w:t>
                  </w:r>
                </w:p>
              </w:tc>
              <w:tc>
                <w:tcPr>
                  <w:tcW w:w="1117" w:type="pct"/>
                  <w:vAlign w:val="center"/>
                </w:tcPr>
                <w:p>
                  <w:pPr>
                    <w:pStyle w:val="136"/>
                    <w:adjustRightInd w:val="0"/>
                    <w:snapToGrid w:val="0"/>
                  </w:pPr>
                  <w:r>
                    <w:rPr>
                      <w:rFonts w:hint="eastAsia"/>
                    </w:rPr>
                    <w:t>台/套</w:t>
                  </w:r>
                </w:p>
              </w:tc>
              <w:tc>
                <w:tcPr>
                  <w:tcW w:w="558" w:type="pct"/>
                  <w:vAlign w:val="center"/>
                </w:tcPr>
                <w:p>
                  <w:pPr>
                    <w:pStyle w:val="136"/>
                    <w:adjustRightInd w:val="0"/>
                    <w:snapToGrid w:val="0"/>
                  </w:pPr>
                  <w:r>
                    <w:rPr>
                      <w:rFonts w:hint="eastAsia"/>
                    </w:rPr>
                    <w:t>1</w:t>
                  </w:r>
                </w:p>
              </w:tc>
              <w:tc>
                <w:tcPr>
                  <w:tcW w:w="1228" w:type="pct"/>
                  <w:vMerge w:val="continue"/>
                  <w:vAlign w:val="center"/>
                </w:tcPr>
                <w:p>
                  <w:pPr>
                    <w:pStyle w:val="136"/>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Merge w:val="continue"/>
                  <w:vAlign w:val="center"/>
                </w:tcPr>
                <w:p>
                  <w:pPr>
                    <w:pStyle w:val="136"/>
                    <w:adjustRightInd w:val="0"/>
                    <w:snapToGrid w:val="0"/>
                  </w:pPr>
                </w:p>
              </w:tc>
              <w:tc>
                <w:tcPr>
                  <w:tcW w:w="1662" w:type="pct"/>
                  <w:vAlign w:val="center"/>
                </w:tcPr>
                <w:p>
                  <w:pPr>
                    <w:pStyle w:val="136"/>
                    <w:adjustRightInd w:val="0"/>
                    <w:snapToGrid w:val="0"/>
                  </w:pPr>
                  <w:r>
                    <w:rPr>
                      <w:rFonts w:hint="eastAsia"/>
                    </w:rPr>
                    <w:t>圆形手抄网（可拆卸）</w:t>
                  </w:r>
                </w:p>
              </w:tc>
              <w:tc>
                <w:tcPr>
                  <w:tcW w:w="1117" w:type="pct"/>
                  <w:vAlign w:val="center"/>
                </w:tcPr>
                <w:p>
                  <w:pPr>
                    <w:pStyle w:val="136"/>
                    <w:adjustRightInd w:val="0"/>
                    <w:snapToGrid w:val="0"/>
                  </w:pPr>
                  <w:r>
                    <w:rPr>
                      <w:rFonts w:hint="eastAsia"/>
                    </w:rPr>
                    <w:t>个</w:t>
                  </w:r>
                </w:p>
              </w:tc>
              <w:tc>
                <w:tcPr>
                  <w:tcW w:w="558" w:type="pct"/>
                  <w:vAlign w:val="center"/>
                </w:tcPr>
                <w:p>
                  <w:pPr>
                    <w:pStyle w:val="136"/>
                    <w:adjustRightInd w:val="0"/>
                    <w:snapToGrid w:val="0"/>
                  </w:pPr>
                  <w:r>
                    <w:rPr>
                      <w:rFonts w:hint="eastAsia"/>
                    </w:rPr>
                    <w:t>5</w:t>
                  </w:r>
                </w:p>
              </w:tc>
              <w:tc>
                <w:tcPr>
                  <w:tcW w:w="1228" w:type="pct"/>
                  <w:vMerge w:val="continue"/>
                  <w:vAlign w:val="center"/>
                </w:tcPr>
                <w:p>
                  <w:pPr>
                    <w:pStyle w:val="136"/>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Merge w:val="continue"/>
                  <w:vAlign w:val="center"/>
                </w:tcPr>
                <w:p>
                  <w:pPr>
                    <w:pStyle w:val="136"/>
                    <w:adjustRightInd w:val="0"/>
                    <w:snapToGrid w:val="0"/>
                  </w:pPr>
                </w:p>
              </w:tc>
              <w:tc>
                <w:tcPr>
                  <w:tcW w:w="1662" w:type="pct"/>
                  <w:vAlign w:val="center"/>
                </w:tcPr>
                <w:p>
                  <w:pPr>
                    <w:pStyle w:val="136"/>
                    <w:adjustRightInd w:val="0"/>
                    <w:snapToGrid w:val="0"/>
                  </w:pPr>
                  <w:r>
                    <w:rPr>
                      <w:rFonts w:hint="eastAsia"/>
                    </w:rPr>
                    <w:t>彼得森采泥器</w:t>
                  </w:r>
                </w:p>
              </w:tc>
              <w:tc>
                <w:tcPr>
                  <w:tcW w:w="1117" w:type="pct"/>
                  <w:vAlign w:val="center"/>
                </w:tcPr>
                <w:p>
                  <w:pPr>
                    <w:pStyle w:val="136"/>
                    <w:adjustRightInd w:val="0"/>
                    <w:snapToGrid w:val="0"/>
                  </w:pPr>
                  <w:r>
                    <w:rPr>
                      <w:rFonts w:hint="eastAsia"/>
                    </w:rPr>
                    <w:t>采样面积1/32平米</w:t>
                  </w:r>
                </w:p>
              </w:tc>
              <w:tc>
                <w:tcPr>
                  <w:tcW w:w="558" w:type="pct"/>
                  <w:vAlign w:val="center"/>
                </w:tcPr>
                <w:p>
                  <w:pPr>
                    <w:pStyle w:val="136"/>
                    <w:adjustRightInd w:val="0"/>
                    <w:snapToGrid w:val="0"/>
                  </w:pPr>
                  <w:r>
                    <w:rPr>
                      <w:rFonts w:hint="eastAsia"/>
                    </w:rPr>
                    <w:t>5</w:t>
                  </w:r>
                </w:p>
              </w:tc>
              <w:tc>
                <w:tcPr>
                  <w:tcW w:w="1228" w:type="pct"/>
                  <w:vMerge w:val="continue"/>
                  <w:vAlign w:val="center"/>
                </w:tcPr>
                <w:p>
                  <w:pPr>
                    <w:pStyle w:val="136"/>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Merge w:val="continue"/>
                  <w:vAlign w:val="center"/>
                </w:tcPr>
                <w:p>
                  <w:pPr>
                    <w:pStyle w:val="136"/>
                    <w:adjustRightInd w:val="0"/>
                    <w:snapToGrid w:val="0"/>
                  </w:pPr>
                </w:p>
              </w:tc>
              <w:tc>
                <w:tcPr>
                  <w:tcW w:w="1662" w:type="pct"/>
                  <w:vAlign w:val="center"/>
                </w:tcPr>
                <w:p>
                  <w:pPr>
                    <w:pStyle w:val="136"/>
                    <w:adjustRightInd w:val="0"/>
                    <w:snapToGrid w:val="0"/>
                  </w:pPr>
                  <w:r>
                    <w:rPr>
                      <w:rFonts w:hint="eastAsia"/>
                    </w:rPr>
                    <w:t>彼得森采泥器1/16</w:t>
                  </w:r>
                </w:p>
              </w:tc>
              <w:tc>
                <w:tcPr>
                  <w:tcW w:w="1117" w:type="pct"/>
                  <w:vAlign w:val="center"/>
                </w:tcPr>
                <w:p>
                  <w:pPr>
                    <w:pStyle w:val="136"/>
                    <w:adjustRightInd w:val="0"/>
                    <w:snapToGrid w:val="0"/>
                  </w:pPr>
                  <w:r>
                    <w:rPr>
                      <w:rFonts w:hint="eastAsia"/>
                    </w:rPr>
                    <w:t>采样面积1/16平米</w:t>
                  </w:r>
                </w:p>
              </w:tc>
              <w:tc>
                <w:tcPr>
                  <w:tcW w:w="558" w:type="pct"/>
                  <w:vAlign w:val="center"/>
                </w:tcPr>
                <w:p>
                  <w:pPr>
                    <w:pStyle w:val="136"/>
                    <w:adjustRightInd w:val="0"/>
                    <w:snapToGrid w:val="0"/>
                  </w:pPr>
                  <w:r>
                    <w:rPr>
                      <w:rFonts w:hint="eastAsia"/>
                    </w:rPr>
                    <w:t>5</w:t>
                  </w:r>
                </w:p>
              </w:tc>
              <w:tc>
                <w:tcPr>
                  <w:tcW w:w="1228" w:type="pct"/>
                  <w:vMerge w:val="continue"/>
                  <w:vAlign w:val="center"/>
                </w:tcPr>
                <w:p>
                  <w:pPr>
                    <w:pStyle w:val="136"/>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Merge w:val="continue"/>
                  <w:vAlign w:val="center"/>
                </w:tcPr>
                <w:p>
                  <w:pPr>
                    <w:pStyle w:val="136"/>
                    <w:adjustRightInd w:val="0"/>
                    <w:snapToGrid w:val="0"/>
                  </w:pPr>
                </w:p>
              </w:tc>
              <w:tc>
                <w:tcPr>
                  <w:tcW w:w="1662" w:type="pct"/>
                  <w:vAlign w:val="center"/>
                </w:tcPr>
                <w:p>
                  <w:pPr>
                    <w:pStyle w:val="136"/>
                    <w:adjustRightInd w:val="0"/>
                    <w:snapToGrid w:val="0"/>
                  </w:pPr>
                  <w:r>
                    <w:rPr>
                      <w:rFonts w:hint="eastAsia"/>
                    </w:rPr>
                    <w:t>D型网（可拆卸，可更换网兜）</w:t>
                  </w:r>
                </w:p>
              </w:tc>
              <w:tc>
                <w:tcPr>
                  <w:tcW w:w="1117" w:type="pct"/>
                  <w:vAlign w:val="center"/>
                </w:tcPr>
                <w:p>
                  <w:pPr>
                    <w:pStyle w:val="136"/>
                    <w:adjustRightInd w:val="0"/>
                    <w:snapToGrid w:val="0"/>
                  </w:pPr>
                  <w:r>
                    <w:rPr>
                      <w:rFonts w:hint="eastAsia"/>
                    </w:rPr>
                    <w:t>个</w:t>
                  </w:r>
                </w:p>
              </w:tc>
              <w:tc>
                <w:tcPr>
                  <w:tcW w:w="558" w:type="pct"/>
                  <w:vAlign w:val="center"/>
                </w:tcPr>
                <w:p>
                  <w:pPr>
                    <w:pStyle w:val="136"/>
                    <w:adjustRightInd w:val="0"/>
                    <w:snapToGrid w:val="0"/>
                  </w:pPr>
                  <w:r>
                    <w:rPr>
                      <w:rFonts w:hint="eastAsia"/>
                    </w:rPr>
                    <w:t>5</w:t>
                  </w:r>
                </w:p>
              </w:tc>
              <w:tc>
                <w:tcPr>
                  <w:tcW w:w="1228" w:type="pct"/>
                  <w:vMerge w:val="continue"/>
                  <w:vAlign w:val="center"/>
                </w:tcPr>
                <w:p>
                  <w:pPr>
                    <w:pStyle w:val="136"/>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Merge w:val="continue"/>
                  <w:vAlign w:val="center"/>
                </w:tcPr>
                <w:p>
                  <w:pPr>
                    <w:pStyle w:val="136"/>
                    <w:adjustRightInd w:val="0"/>
                    <w:snapToGrid w:val="0"/>
                  </w:pPr>
                </w:p>
              </w:tc>
              <w:tc>
                <w:tcPr>
                  <w:tcW w:w="1662" w:type="pct"/>
                  <w:vAlign w:val="center"/>
                </w:tcPr>
                <w:p>
                  <w:pPr>
                    <w:pStyle w:val="136"/>
                    <w:adjustRightInd w:val="0"/>
                    <w:snapToGrid w:val="0"/>
                  </w:pPr>
                  <w:r>
                    <w:rPr>
                      <w:rFonts w:hint="eastAsia"/>
                    </w:rPr>
                    <w:t>圆形手抄网（可拆卸）</w:t>
                  </w:r>
                </w:p>
              </w:tc>
              <w:tc>
                <w:tcPr>
                  <w:tcW w:w="1117" w:type="pct"/>
                  <w:vAlign w:val="center"/>
                </w:tcPr>
                <w:p>
                  <w:pPr>
                    <w:pStyle w:val="136"/>
                    <w:adjustRightInd w:val="0"/>
                    <w:snapToGrid w:val="0"/>
                  </w:pPr>
                  <w:r>
                    <w:rPr>
                      <w:rFonts w:hint="eastAsia"/>
                    </w:rPr>
                    <w:t>直径30cm</w:t>
                  </w:r>
                </w:p>
              </w:tc>
              <w:tc>
                <w:tcPr>
                  <w:tcW w:w="558" w:type="pct"/>
                  <w:vAlign w:val="center"/>
                </w:tcPr>
                <w:p>
                  <w:pPr>
                    <w:pStyle w:val="136"/>
                    <w:adjustRightInd w:val="0"/>
                    <w:snapToGrid w:val="0"/>
                  </w:pPr>
                  <w:r>
                    <w:rPr>
                      <w:rFonts w:hint="eastAsia"/>
                    </w:rPr>
                    <w:t>5</w:t>
                  </w:r>
                </w:p>
              </w:tc>
              <w:tc>
                <w:tcPr>
                  <w:tcW w:w="1228" w:type="pct"/>
                  <w:vMerge w:val="continue"/>
                  <w:vAlign w:val="center"/>
                </w:tcPr>
                <w:p>
                  <w:pPr>
                    <w:pStyle w:val="136"/>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Merge w:val="continue"/>
                  <w:vAlign w:val="center"/>
                </w:tcPr>
                <w:p>
                  <w:pPr>
                    <w:pStyle w:val="136"/>
                    <w:adjustRightInd w:val="0"/>
                    <w:snapToGrid w:val="0"/>
                  </w:pPr>
                </w:p>
              </w:tc>
              <w:tc>
                <w:tcPr>
                  <w:tcW w:w="1662" w:type="pct"/>
                  <w:vAlign w:val="center"/>
                </w:tcPr>
                <w:p>
                  <w:pPr>
                    <w:pStyle w:val="136"/>
                    <w:adjustRightInd w:val="0"/>
                    <w:snapToGrid w:val="0"/>
                  </w:pPr>
                  <w:r>
                    <w:rPr>
                      <w:rFonts w:hint="eastAsia"/>
                    </w:rPr>
                    <w:t>索伯网（可更换网兜）</w:t>
                  </w:r>
                </w:p>
              </w:tc>
              <w:tc>
                <w:tcPr>
                  <w:tcW w:w="1117" w:type="pct"/>
                  <w:vAlign w:val="center"/>
                </w:tcPr>
                <w:p>
                  <w:pPr>
                    <w:pStyle w:val="136"/>
                    <w:adjustRightInd w:val="0"/>
                    <w:snapToGrid w:val="0"/>
                  </w:pPr>
                  <w:r>
                    <w:rPr>
                      <w:rFonts w:hint="eastAsia"/>
                    </w:rPr>
                    <w:t>个</w:t>
                  </w:r>
                </w:p>
              </w:tc>
              <w:tc>
                <w:tcPr>
                  <w:tcW w:w="558" w:type="pct"/>
                  <w:vAlign w:val="center"/>
                </w:tcPr>
                <w:p>
                  <w:pPr>
                    <w:pStyle w:val="136"/>
                    <w:adjustRightInd w:val="0"/>
                    <w:snapToGrid w:val="0"/>
                  </w:pPr>
                  <w:r>
                    <w:rPr>
                      <w:rFonts w:hint="eastAsia"/>
                    </w:rPr>
                    <w:t>5</w:t>
                  </w:r>
                </w:p>
              </w:tc>
              <w:tc>
                <w:tcPr>
                  <w:tcW w:w="1228" w:type="pct"/>
                  <w:vMerge w:val="continue"/>
                  <w:vAlign w:val="center"/>
                </w:tcPr>
                <w:p>
                  <w:pPr>
                    <w:pStyle w:val="136"/>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Merge w:val="continue"/>
                  <w:vAlign w:val="center"/>
                </w:tcPr>
                <w:p>
                  <w:pPr>
                    <w:pStyle w:val="136"/>
                    <w:adjustRightInd w:val="0"/>
                    <w:snapToGrid w:val="0"/>
                  </w:pPr>
                </w:p>
              </w:tc>
              <w:tc>
                <w:tcPr>
                  <w:tcW w:w="1662" w:type="pct"/>
                  <w:vAlign w:val="center"/>
                </w:tcPr>
                <w:p>
                  <w:pPr>
                    <w:pStyle w:val="136"/>
                    <w:adjustRightInd w:val="0"/>
                    <w:snapToGrid w:val="0"/>
                  </w:pPr>
                  <w:r>
                    <w:rPr>
                      <w:rFonts w:hint="eastAsia"/>
                    </w:rPr>
                    <w:t>500um筛网</w:t>
                  </w:r>
                </w:p>
              </w:tc>
              <w:tc>
                <w:tcPr>
                  <w:tcW w:w="1117" w:type="pct"/>
                  <w:vAlign w:val="center"/>
                </w:tcPr>
                <w:p>
                  <w:pPr>
                    <w:pStyle w:val="136"/>
                    <w:adjustRightInd w:val="0"/>
                    <w:snapToGrid w:val="0"/>
                  </w:pPr>
                  <w:r>
                    <w:rPr>
                      <w:rFonts w:hint="eastAsia"/>
                    </w:rPr>
                    <w:t>个</w:t>
                  </w:r>
                </w:p>
              </w:tc>
              <w:tc>
                <w:tcPr>
                  <w:tcW w:w="558" w:type="pct"/>
                  <w:vAlign w:val="center"/>
                </w:tcPr>
                <w:p>
                  <w:pPr>
                    <w:pStyle w:val="136"/>
                    <w:adjustRightInd w:val="0"/>
                    <w:snapToGrid w:val="0"/>
                  </w:pPr>
                  <w:r>
                    <w:rPr>
                      <w:rFonts w:hint="eastAsia"/>
                    </w:rPr>
                    <w:t>5</w:t>
                  </w:r>
                </w:p>
              </w:tc>
              <w:tc>
                <w:tcPr>
                  <w:tcW w:w="1228" w:type="pct"/>
                  <w:vMerge w:val="continue"/>
                  <w:vAlign w:val="center"/>
                </w:tcPr>
                <w:p>
                  <w:pPr>
                    <w:pStyle w:val="136"/>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Merge w:val="continue"/>
                  <w:vAlign w:val="center"/>
                </w:tcPr>
                <w:p>
                  <w:pPr>
                    <w:pStyle w:val="136"/>
                    <w:adjustRightInd w:val="0"/>
                    <w:snapToGrid w:val="0"/>
                  </w:pPr>
                </w:p>
              </w:tc>
              <w:tc>
                <w:tcPr>
                  <w:tcW w:w="1662" w:type="pct"/>
                  <w:vAlign w:val="center"/>
                </w:tcPr>
                <w:p>
                  <w:pPr>
                    <w:pStyle w:val="136"/>
                    <w:adjustRightInd w:val="0"/>
                    <w:snapToGrid w:val="0"/>
                  </w:pPr>
                  <w:r>
                    <w:rPr>
                      <w:rFonts w:hint="eastAsia"/>
                    </w:rPr>
                    <w:t>白瓷盘</w:t>
                  </w:r>
                </w:p>
              </w:tc>
              <w:tc>
                <w:tcPr>
                  <w:tcW w:w="1117" w:type="pct"/>
                  <w:vAlign w:val="center"/>
                </w:tcPr>
                <w:p>
                  <w:pPr>
                    <w:pStyle w:val="136"/>
                    <w:adjustRightInd w:val="0"/>
                    <w:snapToGrid w:val="0"/>
                  </w:pPr>
                  <w:r>
                    <w:rPr>
                      <w:rFonts w:hint="eastAsia"/>
                    </w:rPr>
                    <w:t>个</w:t>
                  </w:r>
                </w:p>
              </w:tc>
              <w:tc>
                <w:tcPr>
                  <w:tcW w:w="558" w:type="pct"/>
                  <w:vAlign w:val="center"/>
                </w:tcPr>
                <w:p>
                  <w:pPr>
                    <w:pStyle w:val="136"/>
                    <w:adjustRightInd w:val="0"/>
                    <w:snapToGrid w:val="0"/>
                  </w:pPr>
                  <w:r>
                    <w:rPr>
                      <w:rFonts w:hint="eastAsia"/>
                    </w:rPr>
                    <w:t>5</w:t>
                  </w:r>
                </w:p>
              </w:tc>
              <w:tc>
                <w:tcPr>
                  <w:tcW w:w="1228" w:type="pct"/>
                  <w:vMerge w:val="continue"/>
                  <w:vAlign w:val="center"/>
                </w:tcPr>
                <w:p>
                  <w:pPr>
                    <w:pStyle w:val="136"/>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Merge w:val="continue"/>
                  <w:vAlign w:val="center"/>
                </w:tcPr>
                <w:p>
                  <w:pPr>
                    <w:pStyle w:val="136"/>
                    <w:adjustRightInd w:val="0"/>
                    <w:snapToGrid w:val="0"/>
                  </w:pPr>
                </w:p>
              </w:tc>
              <w:tc>
                <w:tcPr>
                  <w:tcW w:w="1662" w:type="pct"/>
                  <w:vAlign w:val="center"/>
                </w:tcPr>
                <w:p>
                  <w:pPr>
                    <w:pStyle w:val="136"/>
                    <w:adjustRightInd w:val="0"/>
                    <w:snapToGrid w:val="0"/>
                  </w:pPr>
                  <w:r>
                    <w:rPr>
                      <w:rFonts w:hint="eastAsia"/>
                    </w:rPr>
                    <w:t>底栖动物人工基质篮</w:t>
                  </w:r>
                </w:p>
              </w:tc>
              <w:tc>
                <w:tcPr>
                  <w:tcW w:w="1117" w:type="pct"/>
                  <w:vAlign w:val="center"/>
                </w:tcPr>
                <w:p>
                  <w:pPr>
                    <w:pStyle w:val="136"/>
                    <w:adjustRightInd w:val="0"/>
                    <w:snapToGrid w:val="0"/>
                  </w:pPr>
                  <w:r>
                    <w:rPr>
                      <w:rFonts w:hint="eastAsia"/>
                    </w:rPr>
                    <w:t>个</w:t>
                  </w:r>
                </w:p>
              </w:tc>
              <w:tc>
                <w:tcPr>
                  <w:tcW w:w="558" w:type="pct"/>
                  <w:vAlign w:val="center"/>
                </w:tcPr>
                <w:p>
                  <w:pPr>
                    <w:pStyle w:val="136"/>
                    <w:adjustRightInd w:val="0"/>
                    <w:snapToGrid w:val="0"/>
                  </w:pPr>
                  <w:r>
                    <w:rPr>
                      <w:rFonts w:hint="eastAsia"/>
                    </w:rPr>
                    <w:t>5</w:t>
                  </w:r>
                </w:p>
              </w:tc>
              <w:tc>
                <w:tcPr>
                  <w:tcW w:w="1228" w:type="pct"/>
                  <w:vMerge w:val="continue"/>
                  <w:vAlign w:val="center"/>
                </w:tcPr>
                <w:p>
                  <w:pPr>
                    <w:pStyle w:val="136"/>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Merge w:val="continue"/>
                  <w:vAlign w:val="center"/>
                </w:tcPr>
                <w:p>
                  <w:pPr>
                    <w:pStyle w:val="136"/>
                    <w:adjustRightInd w:val="0"/>
                    <w:snapToGrid w:val="0"/>
                  </w:pPr>
                </w:p>
              </w:tc>
              <w:tc>
                <w:tcPr>
                  <w:tcW w:w="1662" w:type="pct"/>
                  <w:vAlign w:val="center"/>
                </w:tcPr>
                <w:p>
                  <w:pPr>
                    <w:pStyle w:val="136"/>
                    <w:adjustRightInd w:val="0"/>
                    <w:snapToGrid w:val="0"/>
                  </w:pPr>
                  <w:r>
                    <w:rPr>
                      <w:rFonts w:hint="eastAsia"/>
                    </w:rPr>
                    <w:t>渔网</w:t>
                  </w:r>
                </w:p>
              </w:tc>
              <w:tc>
                <w:tcPr>
                  <w:tcW w:w="1117" w:type="pct"/>
                  <w:vAlign w:val="center"/>
                </w:tcPr>
                <w:p>
                  <w:pPr>
                    <w:pStyle w:val="136"/>
                    <w:adjustRightInd w:val="0"/>
                    <w:snapToGrid w:val="0"/>
                  </w:pPr>
                  <w:r>
                    <w:rPr>
                      <w:rFonts w:hint="eastAsia"/>
                    </w:rPr>
                    <w:t>个</w:t>
                  </w:r>
                </w:p>
              </w:tc>
              <w:tc>
                <w:tcPr>
                  <w:tcW w:w="558" w:type="pct"/>
                  <w:vAlign w:val="center"/>
                </w:tcPr>
                <w:p>
                  <w:pPr>
                    <w:pStyle w:val="136"/>
                    <w:adjustRightInd w:val="0"/>
                    <w:snapToGrid w:val="0"/>
                  </w:pPr>
                  <w:r>
                    <w:rPr>
                      <w:rFonts w:hint="eastAsia"/>
                    </w:rPr>
                    <w:t>5</w:t>
                  </w:r>
                </w:p>
              </w:tc>
              <w:tc>
                <w:tcPr>
                  <w:tcW w:w="1228" w:type="pct"/>
                  <w:vMerge w:val="continue"/>
                  <w:vAlign w:val="center"/>
                </w:tcPr>
                <w:p>
                  <w:pPr>
                    <w:pStyle w:val="136"/>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Merge w:val="continue"/>
                  <w:vAlign w:val="center"/>
                </w:tcPr>
                <w:p>
                  <w:pPr>
                    <w:pStyle w:val="136"/>
                    <w:adjustRightInd w:val="0"/>
                    <w:snapToGrid w:val="0"/>
                  </w:pPr>
                </w:p>
              </w:tc>
              <w:tc>
                <w:tcPr>
                  <w:tcW w:w="1662" w:type="pct"/>
                  <w:vAlign w:val="center"/>
                </w:tcPr>
                <w:p>
                  <w:pPr>
                    <w:pStyle w:val="136"/>
                    <w:adjustRightInd w:val="0"/>
                    <w:snapToGrid w:val="0"/>
                  </w:pPr>
                  <w:r>
                    <w:rPr>
                      <w:rFonts w:hint="eastAsia"/>
                    </w:rPr>
                    <w:t>试剂瓶、采水器</w:t>
                  </w:r>
                </w:p>
              </w:tc>
              <w:tc>
                <w:tcPr>
                  <w:tcW w:w="1117" w:type="pct"/>
                  <w:vAlign w:val="center"/>
                </w:tcPr>
                <w:p>
                  <w:pPr>
                    <w:pStyle w:val="136"/>
                    <w:adjustRightInd w:val="0"/>
                    <w:snapToGrid w:val="0"/>
                  </w:pPr>
                  <w:r>
                    <w:rPr>
                      <w:rFonts w:hint="eastAsia"/>
                    </w:rPr>
                    <w:t>个</w:t>
                  </w:r>
                </w:p>
              </w:tc>
              <w:tc>
                <w:tcPr>
                  <w:tcW w:w="558" w:type="pct"/>
                  <w:vAlign w:val="center"/>
                </w:tcPr>
                <w:p>
                  <w:pPr>
                    <w:pStyle w:val="136"/>
                    <w:adjustRightInd w:val="0"/>
                    <w:snapToGrid w:val="0"/>
                  </w:pPr>
                  <w:r>
                    <w:rPr>
                      <w:rFonts w:hint="eastAsia"/>
                    </w:rPr>
                    <w:t>6</w:t>
                  </w:r>
                </w:p>
              </w:tc>
              <w:tc>
                <w:tcPr>
                  <w:tcW w:w="1228" w:type="pct"/>
                  <w:vMerge w:val="continue"/>
                  <w:vAlign w:val="center"/>
                </w:tcPr>
                <w:p>
                  <w:pPr>
                    <w:pStyle w:val="136"/>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Merge w:val="continue"/>
                  <w:vAlign w:val="center"/>
                </w:tcPr>
                <w:p>
                  <w:pPr>
                    <w:pStyle w:val="136"/>
                    <w:adjustRightInd w:val="0"/>
                    <w:snapToGrid w:val="0"/>
                  </w:pPr>
                </w:p>
              </w:tc>
              <w:tc>
                <w:tcPr>
                  <w:tcW w:w="1662" w:type="pct"/>
                  <w:vAlign w:val="center"/>
                </w:tcPr>
                <w:p>
                  <w:pPr>
                    <w:pStyle w:val="136"/>
                    <w:adjustRightInd w:val="0"/>
                    <w:snapToGrid w:val="0"/>
                  </w:pPr>
                  <w:r>
                    <w:rPr>
                      <w:rFonts w:hint="eastAsia"/>
                    </w:rPr>
                    <w:t>标本瓶</w:t>
                  </w:r>
                </w:p>
              </w:tc>
              <w:tc>
                <w:tcPr>
                  <w:tcW w:w="1117" w:type="pct"/>
                  <w:vAlign w:val="center"/>
                </w:tcPr>
                <w:p>
                  <w:pPr>
                    <w:pStyle w:val="136"/>
                    <w:adjustRightInd w:val="0"/>
                    <w:snapToGrid w:val="0"/>
                  </w:pPr>
                  <w:r>
                    <w:rPr>
                      <w:rFonts w:hint="eastAsia"/>
                    </w:rPr>
                    <w:t>50-100ml（个）</w:t>
                  </w:r>
                </w:p>
              </w:tc>
              <w:tc>
                <w:tcPr>
                  <w:tcW w:w="558" w:type="pct"/>
                  <w:vAlign w:val="center"/>
                </w:tcPr>
                <w:p>
                  <w:pPr>
                    <w:pStyle w:val="136"/>
                    <w:adjustRightInd w:val="0"/>
                    <w:snapToGrid w:val="0"/>
                  </w:pPr>
                  <w:r>
                    <w:rPr>
                      <w:rFonts w:hint="eastAsia"/>
                    </w:rPr>
                    <w:t>300</w:t>
                  </w:r>
                </w:p>
              </w:tc>
              <w:tc>
                <w:tcPr>
                  <w:tcW w:w="1228" w:type="pct"/>
                  <w:vMerge w:val="continue"/>
                  <w:vAlign w:val="center"/>
                </w:tcPr>
                <w:p>
                  <w:pPr>
                    <w:pStyle w:val="136"/>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Align w:val="center"/>
                </w:tcPr>
                <w:p>
                  <w:pPr>
                    <w:pStyle w:val="136"/>
                    <w:adjustRightInd w:val="0"/>
                    <w:snapToGrid w:val="0"/>
                  </w:pPr>
                  <w:r>
                    <w:rPr>
                      <w:rFonts w:hint="eastAsia"/>
                    </w:rPr>
                    <w:t>3</w:t>
                  </w:r>
                  <w:r>
                    <w:t>3</w:t>
                  </w:r>
                </w:p>
              </w:tc>
              <w:tc>
                <w:tcPr>
                  <w:tcW w:w="1662" w:type="pct"/>
                  <w:vAlign w:val="center"/>
                </w:tcPr>
                <w:p>
                  <w:pPr>
                    <w:pStyle w:val="136"/>
                    <w:adjustRightInd w:val="0"/>
                    <w:snapToGrid w:val="0"/>
                  </w:pPr>
                  <w:r>
                    <w:rPr>
                      <w:rFonts w:hint="eastAsia"/>
                    </w:rPr>
                    <w:t>废水处理装置</w:t>
                  </w:r>
                </w:p>
              </w:tc>
              <w:tc>
                <w:tcPr>
                  <w:tcW w:w="1117" w:type="pct"/>
                  <w:vAlign w:val="center"/>
                </w:tcPr>
                <w:p>
                  <w:pPr>
                    <w:pStyle w:val="136"/>
                    <w:adjustRightInd w:val="0"/>
                    <w:snapToGrid w:val="0"/>
                  </w:pPr>
                  <w:r>
                    <w:t>300</w:t>
                  </w:r>
                  <w:r>
                    <w:rPr>
                      <w:rFonts w:hint="eastAsia"/>
                    </w:rPr>
                    <w:t>L</w:t>
                  </w:r>
                  <w:r>
                    <w:t>/</w:t>
                  </w:r>
                  <w:r>
                    <w:rPr>
                      <w:rFonts w:hint="eastAsia"/>
                    </w:rPr>
                    <w:t>d</w:t>
                  </w:r>
                </w:p>
              </w:tc>
              <w:tc>
                <w:tcPr>
                  <w:tcW w:w="558" w:type="pct"/>
                  <w:vAlign w:val="center"/>
                </w:tcPr>
                <w:p>
                  <w:pPr>
                    <w:pStyle w:val="136"/>
                    <w:adjustRightInd w:val="0"/>
                    <w:snapToGrid w:val="0"/>
                  </w:pPr>
                  <w:r>
                    <w:rPr>
                      <w:rFonts w:hint="eastAsia"/>
                    </w:rPr>
                    <w:t>2</w:t>
                  </w:r>
                </w:p>
              </w:tc>
              <w:tc>
                <w:tcPr>
                  <w:tcW w:w="1228" w:type="pct"/>
                  <w:vAlign w:val="center"/>
                </w:tcPr>
                <w:p>
                  <w:pPr>
                    <w:pStyle w:val="136"/>
                    <w:adjustRightInd w:val="0"/>
                    <w:snapToGrid w:val="0"/>
                  </w:pPr>
                  <w:r>
                    <w:rPr>
                      <w:rFonts w:hint="eastAsia"/>
                    </w:rPr>
                    <w:t>废水处理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5" w:type="pct"/>
                  <w:vAlign w:val="center"/>
                </w:tcPr>
                <w:p>
                  <w:pPr>
                    <w:pStyle w:val="136"/>
                    <w:adjustRightInd w:val="0"/>
                    <w:snapToGrid w:val="0"/>
                  </w:pPr>
                  <w:r>
                    <w:rPr>
                      <w:rFonts w:hint="eastAsia"/>
                    </w:rPr>
                    <w:t>3</w:t>
                  </w:r>
                  <w:r>
                    <w:t>4</w:t>
                  </w:r>
                </w:p>
              </w:tc>
              <w:tc>
                <w:tcPr>
                  <w:tcW w:w="1662" w:type="pct"/>
                  <w:vAlign w:val="center"/>
                </w:tcPr>
                <w:p>
                  <w:pPr>
                    <w:pStyle w:val="136"/>
                    <w:adjustRightInd w:val="0"/>
                    <w:snapToGrid w:val="0"/>
                  </w:pPr>
                  <w:r>
                    <w:rPr>
                      <w:rFonts w:hint="eastAsia"/>
                    </w:rPr>
                    <w:t>废气处理装置</w:t>
                  </w:r>
                </w:p>
              </w:tc>
              <w:tc>
                <w:tcPr>
                  <w:tcW w:w="1117" w:type="pct"/>
                  <w:vAlign w:val="center"/>
                </w:tcPr>
                <w:p>
                  <w:pPr>
                    <w:pStyle w:val="136"/>
                    <w:adjustRightInd w:val="0"/>
                    <w:snapToGrid w:val="0"/>
                  </w:pPr>
                  <w:r>
                    <w:rPr>
                      <w:rFonts w:hint="eastAsia"/>
                    </w:rPr>
                    <w:t>1</w:t>
                  </w:r>
                  <w:r>
                    <w:t>2000</w:t>
                  </w:r>
                  <w:r>
                    <w:rPr>
                      <w:rFonts w:hint="eastAsia"/>
                    </w:rPr>
                    <w:t>m</w:t>
                  </w:r>
                  <w:r>
                    <w:rPr>
                      <w:vertAlign w:val="superscript"/>
                    </w:rPr>
                    <w:t>3</w:t>
                  </w:r>
                  <w:r>
                    <w:t>/</w:t>
                  </w:r>
                  <w:r>
                    <w:rPr>
                      <w:rFonts w:hint="eastAsia"/>
                    </w:rPr>
                    <w:t>h</w:t>
                  </w:r>
                </w:p>
              </w:tc>
              <w:tc>
                <w:tcPr>
                  <w:tcW w:w="558" w:type="pct"/>
                  <w:vAlign w:val="center"/>
                </w:tcPr>
                <w:p>
                  <w:pPr>
                    <w:pStyle w:val="136"/>
                    <w:adjustRightInd w:val="0"/>
                    <w:snapToGrid w:val="0"/>
                  </w:pPr>
                  <w:r>
                    <w:rPr>
                      <w:rFonts w:hint="eastAsia"/>
                    </w:rPr>
                    <w:t>2</w:t>
                  </w:r>
                </w:p>
              </w:tc>
              <w:tc>
                <w:tcPr>
                  <w:tcW w:w="1228" w:type="pct"/>
                  <w:vAlign w:val="center"/>
                </w:tcPr>
                <w:p>
                  <w:pPr>
                    <w:pStyle w:val="136"/>
                    <w:adjustRightInd w:val="0"/>
                    <w:snapToGrid w:val="0"/>
                  </w:pPr>
                  <w:r>
                    <w:rPr>
                      <w:rFonts w:hint="eastAsia"/>
                    </w:rPr>
                    <w:t>废气处理</w:t>
                  </w:r>
                </w:p>
              </w:tc>
            </w:tr>
          </w:tbl>
          <w:p>
            <w:pPr>
              <w:pStyle w:val="158"/>
            </w:pPr>
            <w:r>
              <w:t>7、主要原辅料</w:t>
            </w:r>
            <w:r>
              <w:rPr>
                <w:rFonts w:hint="eastAsia"/>
              </w:rPr>
              <w:t>、耗材</w:t>
            </w:r>
            <w:r>
              <w:t>、水、动力消耗</w:t>
            </w:r>
          </w:p>
          <w:p>
            <w:pPr>
              <w:ind w:firstLine="480"/>
            </w:pPr>
            <w:r>
              <w:rPr>
                <w:rFonts w:hint="eastAsia"/>
              </w:rPr>
              <w:t>本项目</w:t>
            </w:r>
            <w:r>
              <w:t>主要原辅材料、水、动力消耗</w:t>
            </w:r>
            <w:r>
              <w:rPr>
                <w:rFonts w:hint="eastAsia"/>
              </w:rPr>
              <w:t>情况</w:t>
            </w:r>
            <w:r>
              <w:t>见下表：</w:t>
            </w:r>
          </w:p>
          <w:p>
            <w:pPr>
              <w:pStyle w:val="157"/>
              <w:keepNext/>
            </w:pPr>
            <w:r>
              <w:t>表2.1-6  项目主要原辅材料、耗材及能源消耗统计表</w:t>
            </w:r>
          </w:p>
          <w:tbl>
            <w:tblPr>
              <w:tblStyle w:val="195"/>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53"/>
              <w:gridCol w:w="1622"/>
              <w:gridCol w:w="1188"/>
              <w:gridCol w:w="1188"/>
              <w:gridCol w:w="1188"/>
              <w:gridCol w:w="1188"/>
              <w:gridCol w:w="11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53" w:type="dxa"/>
                  <w:vAlign w:val="center"/>
                </w:tcPr>
                <w:p>
                  <w:pPr>
                    <w:pStyle w:val="136"/>
                    <w:adjustRightInd w:val="0"/>
                    <w:snapToGrid w:val="0"/>
                    <w:rPr>
                      <w:b/>
                      <w:bCs/>
                    </w:rPr>
                  </w:pPr>
                  <w:r>
                    <w:rPr>
                      <w:rFonts w:hint="eastAsia"/>
                      <w:b/>
                      <w:bCs/>
                    </w:rPr>
                    <w:t>序号</w:t>
                  </w:r>
                </w:p>
              </w:tc>
              <w:tc>
                <w:tcPr>
                  <w:tcW w:w="1622" w:type="dxa"/>
                  <w:vAlign w:val="center"/>
                </w:tcPr>
                <w:p>
                  <w:pPr>
                    <w:pStyle w:val="136"/>
                    <w:adjustRightInd w:val="0"/>
                    <w:snapToGrid w:val="0"/>
                    <w:rPr>
                      <w:b/>
                      <w:bCs/>
                    </w:rPr>
                  </w:pPr>
                  <w:r>
                    <w:rPr>
                      <w:rFonts w:hint="eastAsia"/>
                      <w:b/>
                      <w:bCs/>
                    </w:rPr>
                    <w:t>名称</w:t>
                  </w:r>
                </w:p>
              </w:tc>
              <w:tc>
                <w:tcPr>
                  <w:tcW w:w="1188" w:type="dxa"/>
                  <w:vAlign w:val="center"/>
                </w:tcPr>
                <w:p>
                  <w:pPr>
                    <w:pStyle w:val="136"/>
                    <w:adjustRightInd w:val="0"/>
                    <w:snapToGrid w:val="0"/>
                    <w:rPr>
                      <w:b/>
                      <w:bCs/>
                    </w:rPr>
                  </w:pPr>
                  <w:r>
                    <w:rPr>
                      <w:rFonts w:hint="eastAsia"/>
                      <w:b/>
                      <w:bCs/>
                    </w:rPr>
                    <w:t>规格参数</w:t>
                  </w:r>
                </w:p>
              </w:tc>
              <w:tc>
                <w:tcPr>
                  <w:tcW w:w="1188" w:type="dxa"/>
                  <w:vAlign w:val="center"/>
                </w:tcPr>
                <w:p>
                  <w:pPr>
                    <w:pStyle w:val="136"/>
                    <w:adjustRightInd w:val="0"/>
                    <w:snapToGrid w:val="0"/>
                    <w:rPr>
                      <w:b/>
                      <w:bCs/>
                    </w:rPr>
                  </w:pPr>
                  <w:r>
                    <w:rPr>
                      <w:rFonts w:hint="eastAsia"/>
                      <w:b/>
                      <w:bCs/>
                    </w:rPr>
                    <w:t>年用量</w:t>
                  </w:r>
                </w:p>
              </w:tc>
              <w:tc>
                <w:tcPr>
                  <w:tcW w:w="1188" w:type="dxa"/>
                  <w:vAlign w:val="center"/>
                </w:tcPr>
                <w:p>
                  <w:pPr>
                    <w:pStyle w:val="136"/>
                    <w:adjustRightInd w:val="0"/>
                    <w:snapToGrid w:val="0"/>
                    <w:rPr>
                      <w:b/>
                      <w:bCs/>
                    </w:rPr>
                  </w:pPr>
                  <w:r>
                    <w:rPr>
                      <w:rFonts w:hint="eastAsia"/>
                      <w:b/>
                      <w:bCs/>
                    </w:rPr>
                    <w:t>性状</w:t>
                  </w:r>
                </w:p>
              </w:tc>
              <w:tc>
                <w:tcPr>
                  <w:tcW w:w="1188" w:type="dxa"/>
                  <w:vAlign w:val="center"/>
                </w:tcPr>
                <w:p>
                  <w:pPr>
                    <w:pStyle w:val="136"/>
                    <w:adjustRightInd w:val="0"/>
                    <w:snapToGrid w:val="0"/>
                    <w:rPr>
                      <w:b/>
                      <w:bCs/>
                    </w:rPr>
                  </w:pPr>
                  <w:r>
                    <w:rPr>
                      <w:rFonts w:hint="eastAsia"/>
                      <w:b/>
                      <w:bCs/>
                    </w:rPr>
                    <w:t>最大储存量</w:t>
                  </w:r>
                </w:p>
              </w:tc>
              <w:tc>
                <w:tcPr>
                  <w:tcW w:w="1188" w:type="dxa"/>
                  <w:vAlign w:val="center"/>
                </w:tcPr>
                <w:p>
                  <w:pPr>
                    <w:pStyle w:val="136"/>
                    <w:adjustRightInd w:val="0"/>
                    <w:snapToGrid w:val="0"/>
                    <w:rPr>
                      <w:b/>
                      <w:bCs/>
                    </w:rPr>
                  </w:pPr>
                  <w:r>
                    <w:rPr>
                      <w:rFonts w:hint="eastAsia"/>
                      <w:b/>
                      <w:bCs/>
                    </w:rPr>
                    <w:t>储存位置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53" w:type="dxa"/>
                  <w:vAlign w:val="center"/>
                </w:tcPr>
                <w:p>
                  <w:pPr>
                    <w:pStyle w:val="136"/>
                    <w:adjustRightInd w:val="0"/>
                    <w:snapToGrid w:val="0"/>
                  </w:pPr>
                  <w:r>
                    <w:rPr>
                      <w:rFonts w:hint="eastAsia"/>
                    </w:rPr>
                    <w:t>1</w:t>
                  </w:r>
                </w:p>
              </w:tc>
              <w:tc>
                <w:tcPr>
                  <w:tcW w:w="1622" w:type="dxa"/>
                  <w:vAlign w:val="top"/>
                </w:tcPr>
                <w:p>
                  <w:pPr>
                    <w:pStyle w:val="136"/>
                    <w:adjustRightInd w:val="0"/>
                    <w:snapToGrid w:val="0"/>
                  </w:pPr>
                  <w:r>
                    <w:rPr>
                      <w:rFonts w:hint="eastAsia"/>
                    </w:rPr>
                    <w:t>浓硫酸（9</w:t>
                  </w:r>
                  <w:r>
                    <w:t>8</w:t>
                  </w:r>
                  <w:r>
                    <w:rPr>
                      <w:rFonts w:hint="eastAsia"/>
                    </w:rPr>
                    <w:t>%）</w:t>
                  </w:r>
                </w:p>
              </w:tc>
              <w:tc>
                <w:tcPr>
                  <w:tcW w:w="1188" w:type="dxa"/>
                  <w:vAlign w:val="center"/>
                </w:tcPr>
                <w:p>
                  <w:pPr>
                    <w:pStyle w:val="136"/>
                    <w:adjustRightInd w:val="0"/>
                    <w:snapToGrid w:val="0"/>
                  </w:pPr>
                  <w:r>
                    <w:rPr>
                      <w:rFonts w:hint="eastAsia"/>
                    </w:rPr>
                    <w:t>5</w:t>
                  </w:r>
                  <w:r>
                    <w:t>00</w:t>
                  </w:r>
                  <w:r>
                    <w:rPr>
                      <w:rFonts w:hint="eastAsia"/>
                    </w:rPr>
                    <w:t>mL</w:t>
                  </w:r>
                  <w:r>
                    <w:t>/</w:t>
                  </w:r>
                  <w:r>
                    <w:rPr>
                      <w:rFonts w:hint="eastAsia"/>
                    </w:rPr>
                    <w:t>瓶</w:t>
                  </w:r>
                </w:p>
              </w:tc>
              <w:tc>
                <w:tcPr>
                  <w:tcW w:w="1188" w:type="dxa"/>
                  <w:vAlign w:val="center"/>
                </w:tcPr>
                <w:p>
                  <w:pPr>
                    <w:pStyle w:val="136"/>
                    <w:adjustRightInd w:val="0"/>
                    <w:snapToGrid w:val="0"/>
                  </w:pPr>
                  <w:r>
                    <w:t>20</w:t>
                  </w:r>
                  <w:r>
                    <w:rPr>
                      <w:rFonts w:hint="eastAsia"/>
                    </w:rPr>
                    <w:t>瓶</w:t>
                  </w:r>
                </w:p>
              </w:tc>
              <w:tc>
                <w:tcPr>
                  <w:tcW w:w="1188" w:type="dxa"/>
                  <w:vAlign w:val="center"/>
                </w:tcPr>
                <w:p>
                  <w:pPr>
                    <w:pStyle w:val="136"/>
                    <w:adjustRightInd w:val="0"/>
                    <w:snapToGrid w:val="0"/>
                  </w:pPr>
                  <w:r>
                    <w:rPr>
                      <w:rFonts w:hint="eastAsia"/>
                    </w:rPr>
                    <w:t>液体</w:t>
                  </w:r>
                </w:p>
              </w:tc>
              <w:tc>
                <w:tcPr>
                  <w:tcW w:w="1188" w:type="dxa"/>
                  <w:vAlign w:val="center"/>
                </w:tcPr>
                <w:p>
                  <w:pPr>
                    <w:pStyle w:val="136"/>
                    <w:adjustRightInd w:val="0"/>
                    <w:snapToGrid w:val="0"/>
                  </w:pPr>
                  <w:r>
                    <w:t>5</w:t>
                  </w:r>
                  <w:r>
                    <w:rPr>
                      <w:rFonts w:hint="eastAsia"/>
                    </w:rPr>
                    <w:t>瓶</w:t>
                  </w:r>
                </w:p>
              </w:tc>
              <w:tc>
                <w:tcPr>
                  <w:tcW w:w="1188" w:type="dxa"/>
                  <w:vAlign w:val="center"/>
                </w:tcPr>
                <w:p>
                  <w:pPr>
                    <w:pStyle w:val="136"/>
                    <w:adjustRightInd w:val="0"/>
                    <w:snapToGrid w:val="0"/>
                  </w:pPr>
                  <w:r>
                    <w:rPr>
                      <w:rFonts w:hint="eastAsia"/>
                    </w:rPr>
                    <w:t>危险品室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53" w:type="dxa"/>
                  <w:vAlign w:val="center"/>
                </w:tcPr>
                <w:p>
                  <w:pPr>
                    <w:pStyle w:val="136"/>
                    <w:adjustRightInd w:val="0"/>
                    <w:snapToGrid w:val="0"/>
                  </w:pPr>
                  <w:r>
                    <w:rPr>
                      <w:rFonts w:hint="eastAsia"/>
                    </w:rPr>
                    <w:t>2</w:t>
                  </w:r>
                </w:p>
              </w:tc>
              <w:tc>
                <w:tcPr>
                  <w:tcW w:w="1622" w:type="dxa"/>
                  <w:vAlign w:val="top"/>
                </w:tcPr>
                <w:p>
                  <w:pPr>
                    <w:pStyle w:val="136"/>
                    <w:adjustRightInd w:val="0"/>
                    <w:snapToGrid w:val="0"/>
                  </w:pPr>
                  <w:r>
                    <w:rPr>
                      <w:rFonts w:hint="eastAsia"/>
                    </w:rPr>
                    <w:t>盐酸</w:t>
                  </w:r>
                </w:p>
              </w:tc>
              <w:tc>
                <w:tcPr>
                  <w:tcW w:w="1188" w:type="dxa"/>
                  <w:vAlign w:val="center"/>
                </w:tcPr>
                <w:p>
                  <w:pPr>
                    <w:pStyle w:val="136"/>
                    <w:adjustRightInd w:val="0"/>
                    <w:snapToGrid w:val="0"/>
                  </w:pPr>
                  <w:r>
                    <w:rPr>
                      <w:rFonts w:hint="eastAsia"/>
                    </w:rPr>
                    <w:t>5</w:t>
                  </w:r>
                  <w:r>
                    <w:t>00</w:t>
                  </w:r>
                  <w:r>
                    <w:rPr>
                      <w:rFonts w:hint="eastAsia"/>
                    </w:rPr>
                    <w:t>mL</w:t>
                  </w:r>
                  <w:r>
                    <w:t>/</w:t>
                  </w:r>
                  <w:r>
                    <w:rPr>
                      <w:rFonts w:hint="eastAsia"/>
                    </w:rPr>
                    <w:t>瓶</w:t>
                  </w:r>
                </w:p>
              </w:tc>
              <w:tc>
                <w:tcPr>
                  <w:tcW w:w="1188" w:type="dxa"/>
                  <w:vAlign w:val="center"/>
                </w:tcPr>
                <w:p>
                  <w:pPr>
                    <w:pStyle w:val="136"/>
                    <w:adjustRightInd w:val="0"/>
                    <w:snapToGrid w:val="0"/>
                  </w:pPr>
                  <w:r>
                    <w:t>40</w:t>
                  </w:r>
                  <w:r>
                    <w:rPr>
                      <w:rFonts w:hint="eastAsia"/>
                    </w:rPr>
                    <w:t>瓶</w:t>
                  </w:r>
                </w:p>
              </w:tc>
              <w:tc>
                <w:tcPr>
                  <w:tcW w:w="1188" w:type="dxa"/>
                  <w:vAlign w:val="center"/>
                </w:tcPr>
                <w:p>
                  <w:pPr>
                    <w:pStyle w:val="136"/>
                    <w:adjustRightInd w:val="0"/>
                    <w:snapToGrid w:val="0"/>
                  </w:pPr>
                  <w:r>
                    <w:rPr>
                      <w:rFonts w:hint="eastAsia"/>
                    </w:rPr>
                    <w:t>液体</w:t>
                  </w:r>
                </w:p>
              </w:tc>
              <w:tc>
                <w:tcPr>
                  <w:tcW w:w="1188" w:type="dxa"/>
                  <w:vAlign w:val="center"/>
                </w:tcPr>
                <w:p>
                  <w:pPr>
                    <w:pStyle w:val="136"/>
                    <w:adjustRightInd w:val="0"/>
                    <w:snapToGrid w:val="0"/>
                  </w:pPr>
                  <w:r>
                    <w:t>5</w:t>
                  </w:r>
                  <w:r>
                    <w:rPr>
                      <w:rFonts w:hint="eastAsia"/>
                    </w:rPr>
                    <w:t>瓶</w:t>
                  </w:r>
                </w:p>
              </w:tc>
              <w:tc>
                <w:tcPr>
                  <w:tcW w:w="1188" w:type="dxa"/>
                  <w:vAlign w:val="center"/>
                </w:tcPr>
                <w:p>
                  <w:pPr>
                    <w:pStyle w:val="136"/>
                    <w:adjustRightInd w:val="0"/>
                    <w:snapToGrid w:val="0"/>
                  </w:pPr>
                  <w:r>
                    <w:rPr>
                      <w:rFonts w:hint="eastAsia"/>
                    </w:rPr>
                    <w:t>危险品室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53" w:type="dxa"/>
                  <w:vAlign w:val="center"/>
                </w:tcPr>
                <w:p>
                  <w:pPr>
                    <w:pStyle w:val="136"/>
                    <w:adjustRightInd w:val="0"/>
                    <w:snapToGrid w:val="0"/>
                  </w:pPr>
                  <w:r>
                    <w:rPr>
                      <w:rFonts w:hint="eastAsia"/>
                    </w:rPr>
                    <w:t>3</w:t>
                  </w:r>
                </w:p>
              </w:tc>
              <w:tc>
                <w:tcPr>
                  <w:tcW w:w="1622" w:type="dxa"/>
                  <w:vAlign w:val="top"/>
                </w:tcPr>
                <w:p>
                  <w:pPr>
                    <w:pStyle w:val="136"/>
                    <w:adjustRightInd w:val="0"/>
                    <w:snapToGrid w:val="0"/>
                  </w:pPr>
                  <w:r>
                    <w:rPr>
                      <w:rFonts w:hint="eastAsia"/>
                    </w:rPr>
                    <w:t>浓硝酸</w:t>
                  </w:r>
                </w:p>
              </w:tc>
              <w:tc>
                <w:tcPr>
                  <w:tcW w:w="1188" w:type="dxa"/>
                  <w:vAlign w:val="center"/>
                </w:tcPr>
                <w:p>
                  <w:pPr>
                    <w:pStyle w:val="136"/>
                    <w:adjustRightInd w:val="0"/>
                    <w:snapToGrid w:val="0"/>
                  </w:pPr>
                  <w:r>
                    <w:rPr>
                      <w:rFonts w:hint="eastAsia"/>
                    </w:rPr>
                    <w:t>5</w:t>
                  </w:r>
                  <w:r>
                    <w:t>00</w:t>
                  </w:r>
                  <w:r>
                    <w:rPr>
                      <w:rFonts w:hint="eastAsia"/>
                    </w:rPr>
                    <w:t>mL</w:t>
                  </w:r>
                  <w:r>
                    <w:t>/</w:t>
                  </w:r>
                  <w:r>
                    <w:rPr>
                      <w:rFonts w:hint="eastAsia"/>
                    </w:rPr>
                    <w:t>瓶</w:t>
                  </w:r>
                </w:p>
              </w:tc>
              <w:tc>
                <w:tcPr>
                  <w:tcW w:w="1188" w:type="dxa"/>
                  <w:vAlign w:val="center"/>
                </w:tcPr>
                <w:p>
                  <w:pPr>
                    <w:pStyle w:val="136"/>
                    <w:adjustRightInd w:val="0"/>
                    <w:snapToGrid w:val="0"/>
                  </w:pPr>
                  <w:r>
                    <w:t>10</w:t>
                  </w:r>
                  <w:r>
                    <w:rPr>
                      <w:rFonts w:hint="eastAsia"/>
                    </w:rPr>
                    <w:t>瓶</w:t>
                  </w:r>
                </w:p>
              </w:tc>
              <w:tc>
                <w:tcPr>
                  <w:tcW w:w="1188" w:type="dxa"/>
                  <w:vAlign w:val="center"/>
                </w:tcPr>
                <w:p>
                  <w:pPr>
                    <w:pStyle w:val="136"/>
                    <w:adjustRightInd w:val="0"/>
                    <w:snapToGrid w:val="0"/>
                  </w:pPr>
                  <w:r>
                    <w:rPr>
                      <w:rFonts w:hint="eastAsia"/>
                    </w:rPr>
                    <w:t>液体</w:t>
                  </w:r>
                </w:p>
              </w:tc>
              <w:tc>
                <w:tcPr>
                  <w:tcW w:w="1188" w:type="dxa"/>
                  <w:vAlign w:val="center"/>
                </w:tcPr>
                <w:p>
                  <w:pPr>
                    <w:pStyle w:val="136"/>
                    <w:adjustRightInd w:val="0"/>
                    <w:snapToGrid w:val="0"/>
                  </w:pPr>
                  <w:r>
                    <w:t>2</w:t>
                  </w:r>
                  <w:r>
                    <w:rPr>
                      <w:rFonts w:hint="eastAsia"/>
                    </w:rPr>
                    <w:t>瓶</w:t>
                  </w:r>
                </w:p>
              </w:tc>
              <w:tc>
                <w:tcPr>
                  <w:tcW w:w="1188" w:type="dxa"/>
                  <w:vAlign w:val="center"/>
                </w:tcPr>
                <w:p>
                  <w:pPr>
                    <w:pStyle w:val="136"/>
                    <w:adjustRightInd w:val="0"/>
                    <w:snapToGrid w:val="0"/>
                  </w:pPr>
                  <w:r>
                    <w:rPr>
                      <w:rFonts w:hint="eastAsia"/>
                    </w:rPr>
                    <w:t>危险品室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53" w:type="dxa"/>
                  <w:vAlign w:val="center"/>
                </w:tcPr>
                <w:p>
                  <w:pPr>
                    <w:pStyle w:val="136"/>
                    <w:adjustRightInd w:val="0"/>
                    <w:snapToGrid w:val="0"/>
                  </w:pPr>
                  <w:r>
                    <w:rPr>
                      <w:rFonts w:hint="eastAsia"/>
                    </w:rPr>
                    <w:t>4</w:t>
                  </w:r>
                </w:p>
              </w:tc>
              <w:tc>
                <w:tcPr>
                  <w:tcW w:w="1622" w:type="dxa"/>
                  <w:vAlign w:val="top"/>
                </w:tcPr>
                <w:p>
                  <w:pPr>
                    <w:pStyle w:val="136"/>
                    <w:adjustRightInd w:val="0"/>
                    <w:snapToGrid w:val="0"/>
                  </w:pPr>
                  <w:r>
                    <w:rPr>
                      <w:rFonts w:hint="eastAsia"/>
                    </w:rPr>
                    <w:t>冰醋酸</w:t>
                  </w:r>
                </w:p>
              </w:tc>
              <w:tc>
                <w:tcPr>
                  <w:tcW w:w="1188" w:type="dxa"/>
                  <w:vAlign w:val="center"/>
                </w:tcPr>
                <w:p>
                  <w:pPr>
                    <w:pStyle w:val="136"/>
                    <w:adjustRightInd w:val="0"/>
                    <w:snapToGrid w:val="0"/>
                  </w:pPr>
                  <w:r>
                    <w:rPr>
                      <w:rFonts w:hint="eastAsia"/>
                    </w:rPr>
                    <w:t>5</w:t>
                  </w:r>
                  <w:r>
                    <w:t>00</w:t>
                  </w:r>
                  <w:r>
                    <w:rPr>
                      <w:rFonts w:hint="eastAsia"/>
                    </w:rPr>
                    <w:t>mL</w:t>
                  </w:r>
                  <w:r>
                    <w:t>/</w:t>
                  </w:r>
                  <w:r>
                    <w:rPr>
                      <w:rFonts w:hint="eastAsia"/>
                    </w:rPr>
                    <w:t>瓶</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液体</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药品室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53" w:type="dxa"/>
                  <w:vAlign w:val="center"/>
                </w:tcPr>
                <w:p>
                  <w:pPr>
                    <w:pStyle w:val="136"/>
                    <w:adjustRightInd w:val="0"/>
                    <w:snapToGrid w:val="0"/>
                  </w:pPr>
                  <w:r>
                    <w:rPr>
                      <w:rFonts w:hint="eastAsia"/>
                    </w:rPr>
                    <w:t>5</w:t>
                  </w:r>
                </w:p>
              </w:tc>
              <w:tc>
                <w:tcPr>
                  <w:tcW w:w="1622" w:type="dxa"/>
                  <w:vAlign w:val="top"/>
                </w:tcPr>
                <w:p>
                  <w:pPr>
                    <w:pStyle w:val="136"/>
                    <w:adjustRightInd w:val="0"/>
                    <w:snapToGrid w:val="0"/>
                  </w:pPr>
                  <w:r>
                    <w:rPr>
                      <w:rFonts w:hint="eastAsia"/>
                    </w:rPr>
                    <w:t>柠檬酸</w:t>
                  </w:r>
                </w:p>
              </w:tc>
              <w:tc>
                <w:tcPr>
                  <w:tcW w:w="1188" w:type="dxa"/>
                  <w:vAlign w:val="center"/>
                </w:tcPr>
                <w:p>
                  <w:pPr>
                    <w:pStyle w:val="136"/>
                    <w:adjustRightInd w:val="0"/>
                    <w:snapToGrid w:val="0"/>
                  </w:pPr>
                  <w:r>
                    <w:rPr>
                      <w:rFonts w:hint="eastAsia"/>
                    </w:rPr>
                    <w:t>5</w:t>
                  </w:r>
                  <w:r>
                    <w:t>00</w:t>
                  </w:r>
                  <w:r>
                    <w:rPr>
                      <w:rFonts w:hint="eastAsia"/>
                    </w:rPr>
                    <w:t>mL</w:t>
                  </w:r>
                  <w:r>
                    <w:t>/</w:t>
                  </w:r>
                  <w:r>
                    <w:rPr>
                      <w:rFonts w:hint="eastAsia"/>
                    </w:rPr>
                    <w:t>瓶</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液体</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药品室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53" w:type="dxa"/>
                  <w:vAlign w:val="center"/>
                </w:tcPr>
                <w:p>
                  <w:pPr>
                    <w:pStyle w:val="136"/>
                    <w:adjustRightInd w:val="0"/>
                    <w:snapToGrid w:val="0"/>
                  </w:pPr>
                  <w:r>
                    <w:rPr>
                      <w:rFonts w:hint="eastAsia"/>
                    </w:rPr>
                    <w:t>6</w:t>
                  </w:r>
                </w:p>
              </w:tc>
              <w:tc>
                <w:tcPr>
                  <w:tcW w:w="1622" w:type="dxa"/>
                  <w:vAlign w:val="top"/>
                </w:tcPr>
                <w:p>
                  <w:pPr>
                    <w:pStyle w:val="136"/>
                    <w:adjustRightInd w:val="0"/>
                    <w:snapToGrid w:val="0"/>
                  </w:pPr>
                  <w:r>
                    <w:rPr>
                      <w:rFonts w:hint="eastAsia"/>
                    </w:rPr>
                    <w:t>抗坏血酸</w:t>
                  </w:r>
                </w:p>
              </w:tc>
              <w:tc>
                <w:tcPr>
                  <w:tcW w:w="1188" w:type="dxa"/>
                  <w:vAlign w:val="center"/>
                </w:tcPr>
                <w:p>
                  <w:pPr>
                    <w:pStyle w:val="136"/>
                    <w:adjustRightInd w:val="0"/>
                    <w:snapToGrid w:val="0"/>
                  </w:pPr>
                  <w:r>
                    <w:rPr>
                      <w:rFonts w:hint="eastAsia"/>
                    </w:rPr>
                    <w:t>5</w:t>
                  </w:r>
                  <w:r>
                    <w:t>00</w:t>
                  </w:r>
                  <w:r>
                    <w:rPr>
                      <w:rFonts w:hint="eastAsia"/>
                    </w:rPr>
                    <w:t>mL</w:t>
                  </w:r>
                  <w:r>
                    <w:t>/</w:t>
                  </w:r>
                  <w:r>
                    <w:rPr>
                      <w:rFonts w:hint="eastAsia"/>
                    </w:rPr>
                    <w:t>瓶</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液体</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药品室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53" w:type="dxa"/>
                  <w:vAlign w:val="center"/>
                </w:tcPr>
                <w:p>
                  <w:pPr>
                    <w:pStyle w:val="136"/>
                    <w:adjustRightInd w:val="0"/>
                    <w:snapToGrid w:val="0"/>
                  </w:pPr>
                  <w:r>
                    <w:rPr>
                      <w:rFonts w:hint="eastAsia"/>
                    </w:rPr>
                    <w:t>7</w:t>
                  </w:r>
                </w:p>
              </w:tc>
              <w:tc>
                <w:tcPr>
                  <w:tcW w:w="1622" w:type="dxa"/>
                  <w:vAlign w:val="top"/>
                </w:tcPr>
                <w:p>
                  <w:pPr>
                    <w:pStyle w:val="136"/>
                    <w:adjustRightInd w:val="0"/>
                    <w:snapToGrid w:val="0"/>
                  </w:pPr>
                  <w:r>
                    <w:rPr>
                      <w:rFonts w:hint="eastAsia"/>
                    </w:rPr>
                    <w:t>异烟酸</w:t>
                  </w:r>
                </w:p>
              </w:tc>
              <w:tc>
                <w:tcPr>
                  <w:tcW w:w="1188" w:type="dxa"/>
                  <w:vAlign w:val="center"/>
                </w:tcPr>
                <w:p>
                  <w:pPr>
                    <w:pStyle w:val="136"/>
                    <w:adjustRightInd w:val="0"/>
                    <w:snapToGrid w:val="0"/>
                  </w:pPr>
                  <w:r>
                    <w:t>100</w:t>
                  </w:r>
                  <w:r>
                    <w:rPr>
                      <w:rFonts w:hint="eastAsia"/>
                    </w:rPr>
                    <w:t>g</w:t>
                  </w:r>
                  <w:r>
                    <w:t>/</w:t>
                  </w:r>
                  <w:r>
                    <w:rPr>
                      <w:rFonts w:hint="eastAsia"/>
                    </w:rPr>
                    <w:t>瓶</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固体</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药品室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53" w:type="dxa"/>
                  <w:vAlign w:val="center"/>
                </w:tcPr>
                <w:p>
                  <w:pPr>
                    <w:pStyle w:val="136"/>
                    <w:adjustRightInd w:val="0"/>
                    <w:snapToGrid w:val="0"/>
                  </w:pPr>
                  <w:r>
                    <w:rPr>
                      <w:rFonts w:hint="eastAsia"/>
                    </w:rPr>
                    <w:t>8</w:t>
                  </w:r>
                </w:p>
              </w:tc>
              <w:tc>
                <w:tcPr>
                  <w:tcW w:w="1622" w:type="dxa"/>
                  <w:vAlign w:val="top"/>
                </w:tcPr>
                <w:p>
                  <w:pPr>
                    <w:pStyle w:val="136"/>
                    <w:adjustRightInd w:val="0"/>
                    <w:snapToGrid w:val="0"/>
                  </w:pPr>
                  <w:r>
                    <w:rPr>
                      <w:rFonts w:hint="eastAsia"/>
                    </w:rPr>
                    <w:t>氢氧化钠</w:t>
                  </w:r>
                </w:p>
              </w:tc>
              <w:tc>
                <w:tcPr>
                  <w:tcW w:w="1188" w:type="dxa"/>
                  <w:vAlign w:val="center"/>
                </w:tcPr>
                <w:p>
                  <w:pPr>
                    <w:pStyle w:val="136"/>
                    <w:adjustRightInd w:val="0"/>
                    <w:snapToGrid w:val="0"/>
                  </w:pPr>
                  <w:r>
                    <w:t>500</w:t>
                  </w:r>
                  <w:r>
                    <w:rPr>
                      <w:rFonts w:hint="eastAsia"/>
                    </w:rPr>
                    <w:t>g</w:t>
                  </w:r>
                  <w:r>
                    <w:t>/</w:t>
                  </w:r>
                  <w:r>
                    <w:rPr>
                      <w:rFonts w:hint="eastAsia"/>
                    </w:rPr>
                    <w:t>瓶</w:t>
                  </w:r>
                </w:p>
              </w:tc>
              <w:tc>
                <w:tcPr>
                  <w:tcW w:w="1188" w:type="dxa"/>
                  <w:vAlign w:val="center"/>
                </w:tcPr>
                <w:p>
                  <w:pPr>
                    <w:pStyle w:val="136"/>
                    <w:adjustRightInd w:val="0"/>
                    <w:snapToGrid w:val="0"/>
                  </w:pPr>
                  <w:r>
                    <w:rPr>
                      <w:rFonts w:hint="eastAsia"/>
                    </w:rPr>
                    <w:t>2瓶</w:t>
                  </w:r>
                </w:p>
              </w:tc>
              <w:tc>
                <w:tcPr>
                  <w:tcW w:w="1188" w:type="dxa"/>
                  <w:vAlign w:val="center"/>
                </w:tcPr>
                <w:p>
                  <w:pPr>
                    <w:pStyle w:val="136"/>
                    <w:adjustRightInd w:val="0"/>
                    <w:snapToGrid w:val="0"/>
                  </w:pPr>
                  <w:r>
                    <w:rPr>
                      <w:rFonts w:hint="eastAsia"/>
                    </w:rPr>
                    <w:t>固体</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药品室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53" w:type="dxa"/>
                  <w:vAlign w:val="center"/>
                </w:tcPr>
                <w:p>
                  <w:pPr>
                    <w:pStyle w:val="136"/>
                    <w:adjustRightInd w:val="0"/>
                    <w:snapToGrid w:val="0"/>
                  </w:pPr>
                  <w:r>
                    <w:rPr>
                      <w:rFonts w:hint="eastAsia"/>
                    </w:rPr>
                    <w:t>9</w:t>
                  </w:r>
                </w:p>
              </w:tc>
              <w:tc>
                <w:tcPr>
                  <w:tcW w:w="1622" w:type="dxa"/>
                  <w:vAlign w:val="top"/>
                </w:tcPr>
                <w:p>
                  <w:pPr>
                    <w:pStyle w:val="136"/>
                    <w:adjustRightInd w:val="0"/>
                    <w:snapToGrid w:val="0"/>
                  </w:pPr>
                  <w:r>
                    <w:rPr>
                      <w:rFonts w:hint="eastAsia"/>
                    </w:rPr>
                    <w:t>氯化钾</w:t>
                  </w:r>
                </w:p>
              </w:tc>
              <w:tc>
                <w:tcPr>
                  <w:tcW w:w="1188" w:type="dxa"/>
                  <w:vAlign w:val="center"/>
                </w:tcPr>
                <w:p>
                  <w:pPr>
                    <w:pStyle w:val="136"/>
                    <w:adjustRightInd w:val="0"/>
                    <w:snapToGrid w:val="0"/>
                  </w:pPr>
                  <w:r>
                    <w:t>500</w:t>
                  </w:r>
                  <w:r>
                    <w:rPr>
                      <w:rFonts w:hint="eastAsia"/>
                    </w:rPr>
                    <w:t>g</w:t>
                  </w:r>
                  <w:r>
                    <w:t>/</w:t>
                  </w:r>
                  <w:r>
                    <w:rPr>
                      <w:rFonts w:hint="eastAsia"/>
                    </w:rPr>
                    <w:t>瓶</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固体</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药品室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53" w:type="dxa"/>
                  <w:vAlign w:val="center"/>
                </w:tcPr>
                <w:p>
                  <w:pPr>
                    <w:pStyle w:val="136"/>
                    <w:adjustRightInd w:val="0"/>
                    <w:snapToGrid w:val="0"/>
                  </w:pPr>
                  <w:r>
                    <w:rPr>
                      <w:rFonts w:hint="eastAsia"/>
                    </w:rPr>
                    <w:t>1</w:t>
                  </w:r>
                  <w:r>
                    <w:t>0</w:t>
                  </w:r>
                </w:p>
              </w:tc>
              <w:tc>
                <w:tcPr>
                  <w:tcW w:w="1622" w:type="dxa"/>
                  <w:vAlign w:val="top"/>
                </w:tcPr>
                <w:p>
                  <w:pPr>
                    <w:pStyle w:val="136"/>
                    <w:adjustRightInd w:val="0"/>
                    <w:snapToGrid w:val="0"/>
                  </w:pPr>
                  <w:r>
                    <w:rPr>
                      <w:rFonts w:hint="eastAsia"/>
                    </w:rPr>
                    <w:t>碘化钾</w:t>
                  </w:r>
                </w:p>
              </w:tc>
              <w:tc>
                <w:tcPr>
                  <w:tcW w:w="1188" w:type="dxa"/>
                  <w:vAlign w:val="center"/>
                </w:tcPr>
                <w:p>
                  <w:pPr>
                    <w:pStyle w:val="136"/>
                    <w:adjustRightInd w:val="0"/>
                    <w:snapToGrid w:val="0"/>
                  </w:pPr>
                  <w:r>
                    <w:t>500</w:t>
                  </w:r>
                  <w:r>
                    <w:rPr>
                      <w:rFonts w:hint="eastAsia"/>
                    </w:rPr>
                    <w:t>g</w:t>
                  </w:r>
                  <w:r>
                    <w:t>/</w:t>
                  </w:r>
                  <w:r>
                    <w:rPr>
                      <w:rFonts w:hint="eastAsia"/>
                    </w:rPr>
                    <w:t>瓶</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固体</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药品室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53" w:type="dxa"/>
                  <w:vAlign w:val="center"/>
                </w:tcPr>
                <w:p>
                  <w:pPr>
                    <w:pStyle w:val="136"/>
                    <w:adjustRightInd w:val="0"/>
                    <w:snapToGrid w:val="0"/>
                  </w:pPr>
                  <w:r>
                    <w:rPr>
                      <w:rFonts w:hint="eastAsia"/>
                    </w:rPr>
                    <w:t>1</w:t>
                  </w:r>
                  <w:r>
                    <w:t>1</w:t>
                  </w:r>
                </w:p>
              </w:tc>
              <w:tc>
                <w:tcPr>
                  <w:tcW w:w="1622" w:type="dxa"/>
                  <w:vAlign w:val="top"/>
                </w:tcPr>
                <w:p>
                  <w:pPr>
                    <w:pStyle w:val="136"/>
                    <w:adjustRightInd w:val="0"/>
                    <w:snapToGrid w:val="0"/>
                  </w:pPr>
                  <w:r>
                    <w:rPr>
                      <w:rFonts w:hint="eastAsia"/>
                    </w:rPr>
                    <w:t>酒石酸钾钠</w:t>
                  </w:r>
                </w:p>
              </w:tc>
              <w:tc>
                <w:tcPr>
                  <w:tcW w:w="1188" w:type="dxa"/>
                  <w:vAlign w:val="center"/>
                </w:tcPr>
                <w:p>
                  <w:pPr>
                    <w:pStyle w:val="136"/>
                    <w:adjustRightInd w:val="0"/>
                    <w:snapToGrid w:val="0"/>
                  </w:pPr>
                  <w:r>
                    <w:t>500</w:t>
                  </w:r>
                  <w:r>
                    <w:rPr>
                      <w:rFonts w:hint="eastAsia"/>
                    </w:rPr>
                    <w:t>g</w:t>
                  </w:r>
                  <w:r>
                    <w:t>/</w:t>
                  </w:r>
                  <w:r>
                    <w:rPr>
                      <w:rFonts w:hint="eastAsia"/>
                    </w:rPr>
                    <w:t>瓶</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固体</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药品室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53" w:type="dxa"/>
                  <w:vAlign w:val="center"/>
                </w:tcPr>
                <w:p>
                  <w:pPr>
                    <w:pStyle w:val="136"/>
                    <w:adjustRightInd w:val="0"/>
                    <w:snapToGrid w:val="0"/>
                  </w:pPr>
                  <w:r>
                    <w:rPr>
                      <w:rFonts w:hint="eastAsia"/>
                    </w:rPr>
                    <w:t>1</w:t>
                  </w:r>
                  <w:r>
                    <w:t>2</w:t>
                  </w:r>
                </w:p>
              </w:tc>
              <w:tc>
                <w:tcPr>
                  <w:tcW w:w="1622" w:type="dxa"/>
                  <w:vAlign w:val="top"/>
                </w:tcPr>
                <w:p>
                  <w:pPr>
                    <w:pStyle w:val="136"/>
                    <w:adjustRightInd w:val="0"/>
                    <w:snapToGrid w:val="0"/>
                  </w:pPr>
                  <w:r>
                    <w:rPr>
                      <w:rFonts w:hint="eastAsia"/>
                    </w:rPr>
                    <w:t>酒石酸锑钾</w:t>
                  </w:r>
                </w:p>
              </w:tc>
              <w:tc>
                <w:tcPr>
                  <w:tcW w:w="1188" w:type="dxa"/>
                  <w:vAlign w:val="center"/>
                </w:tcPr>
                <w:p>
                  <w:pPr>
                    <w:pStyle w:val="136"/>
                    <w:adjustRightInd w:val="0"/>
                    <w:snapToGrid w:val="0"/>
                  </w:pPr>
                  <w:r>
                    <w:t>500</w:t>
                  </w:r>
                  <w:r>
                    <w:rPr>
                      <w:rFonts w:hint="eastAsia"/>
                    </w:rPr>
                    <w:t>g</w:t>
                  </w:r>
                  <w:r>
                    <w:t>/</w:t>
                  </w:r>
                  <w:r>
                    <w:rPr>
                      <w:rFonts w:hint="eastAsia"/>
                    </w:rPr>
                    <w:t>瓶</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固体</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药品室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53" w:type="dxa"/>
                  <w:vAlign w:val="center"/>
                </w:tcPr>
                <w:p>
                  <w:pPr>
                    <w:pStyle w:val="136"/>
                    <w:adjustRightInd w:val="0"/>
                    <w:snapToGrid w:val="0"/>
                  </w:pPr>
                  <w:r>
                    <w:rPr>
                      <w:rFonts w:hint="eastAsia"/>
                    </w:rPr>
                    <w:t>1</w:t>
                  </w:r>
                  <w:r>
                    <w:t>3</w:t>
                  </w:r>
                </w:p>
              </w:tc>
              <w:tc>
                <w:tcPr>
                  <w:tcW w:w="1622" w:type="dxa"/>
                  <w:vAlign w:val="top"/>
                </w:tcPr>
                <w:p>
                  <w:pPr>
                    <w:pStyle w:val="136"/>
                    <w:adjustRightInd w:val="0"/>
                    <w:snapToGrid w:val="0"/>
                  </w:pPr>
                  <w:r>
                    <w:rPr>
                      <w:rFonts w:hint="eastAsia"/>
                    </w:rPr>
                    <w:t>高锰酸钾</w:t>
                  </w:r>
                </w:p>
              </w:tc>
              <w:tc>
                <w:tcPr>
                  <w:tcW w:w="1188" w:type="dxa"/>
                  <w:vAlign w:val="center"/>
                </w:tcPr>
                <w:p>
                  <w:pPr>
                    <w:pStyle w:val="136"/>
                    <w:adjustRightInd w:val="0"/>
                    <w:snapToGrid w:val="0"/>
                  </w:pPr>
                  <w:r>
                    <w:t>500</w:t>
                  </w:r>
                  <w:r>
                    <w:rPr>
                      <w:rFonts w:hint="eastAsia"/>
                    </w:rPr>
                    <w:t>g</w:t>
                  </w:r>
                  <w:r>
                    <w:t>/</w:t>
                  </w:r>
                  <w:r>
                    <w:rPr>
                      <w:rFonts w:hint="eastAsia"/>
                    </w:rPr>
                    <w:t>瓶</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固体</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药品室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53" w:type="dxa"/>
                  <w:vAlign w:val="center"/>
                </w:tcPr>
                <w:p>
                  <w:pPr>
                    <w:pStyle w:val="136"/>
                    <w:adjustRightInd w:val="0"/>
                    <w:snapToGrid w:val="0"/>
                  </w:pPr>
                  <w:r>
                    <w:rPr>
                      <w:rFonts w:hint="eastAsia"/>
                    </w:rPr>
                    <w:t>1</w:t>
                  </w:r>
                  <w:r>
                    <w:t>4</w:t>
                  </w:r>
                </w:p>
              </w:tc>
              <w:tc>
                <w:tcPr>
                  <w:tcW w:w="1622" w:type="dxa"/>
                  <w:vAlign w:val="top"/>
                </w:tcPr>
                <w:p>
                  <w:pPr>
                    <w:pStyle w:val="136"/>
                    <w:adjustRightInd w:val="0"/>
                    <w:snapToGrid w:val="0"/>
                  </w:pPr>
                  <w:r>
                    <w:rPr>
                      <w:rFonts w:hint="eastAsia"/>
                    </w:rPr>
                    <w:t>过硫酸钾</w:t>
                  </w:r>
                </w:p>
              </w:tc>
              <w:tc>
                <w:tcPr>
                  <w:tcW w:w="1188" w:type="dxa"/>
                  <w:vAlign w:val="center"/>
                </w:tcPr>
                <w:p>
                  <w:pPr>
                    <w:pStyle w:val="136"/>
                    <w:adjustRightInd w:val="0"/>
                    <w:snapToGrid w:val="0"/>
                  </w:pPr>
                  <w:r>
                    <w:t>500</w:t>
                  </w:r>
                  <w:r>
                    <w:rPr>
                      <w:rFonts w:hint="eastAsia"/>
                    </w:rPr>
                    <w:t>g</w:t>
                  </w:r>
                  <w:r>
                    <w:t>/</w:t>
                  </w:r>
                  <w:r>
                    <w:rPr>
                      <w:rFonts w:hint="eastAsia"/>
                    </w:rPr>
                    <w:t>瓶</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固体</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药品室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53" w:type="dxa"/>
                  <w:vAlign w:val="center"/>
                </w:tcPr>
                <w:p>
                  <w:pPr>
                    <w:pStyle w:val="136"/>
                    <w:adjustRightInd w:val="0"/>
                    <w:snapToGrid w:val="0"/>
                  </w:pPr>
                  <w:r>
                    <w:rPr>
                      <w:rFonts w:hint="eastAsia"/>
                    </w:rPr>
                    <w:t>1</w:t>
                  </w:r>
                  <w:r>
                    <w:t>5</w:t>
                  </w:r>
                </w:p>
              </w:tc>
              <w:tc>
                <w:tcPr>
                  <w:tcW w:w="1622" w:type="dxa"/>
                  <w:vAlign w:val="top"/>
                </w:tcPr>
                <w:p>
                  <w:pPr>
                    <w:pStyle w:val="136"/>
                    <w:adjustRightInd w:val="0"/>
                    <w:snapToGrid w:val="0"/>
                  </w:pPr>
                  <w:r>
                    <w:rPr>
                      <w:rFonts w:hint="eastAsia"/>
                    </w:rPr>
                    <w:t>邻苯二甲酸氢钾</w:t>
                  </w:r>
                </w:p>
              </w:tc>
              <w:tc>
                <w:tcPr>
                  <w:tcW w:w="1188" w:type="dxa"/>
                  <w:vAlign w:val="center"/>
                </w:tcPr>
                <w:p>
                  <w:pPr>
                    <w:pStyle w:val="136"/>
                    <w:adjustRightInd w:val="0"/>
                    <w:snapToGrid w:val="0"/>
                  </w:pPr>
                  <w:r>
                    <w:t>500</w:t>
                  </w:r>
                  <w:r>
                    <w:rPr>
                      <w:rFonts w:hint="eastAsia"/>
                    </w:rPr>
                    <w:t>g</w:t>
                  </w:r>
                  <w:r>
                    <w:t>/</w:t>
                  </w:r>
                  <w:r>
                    <w:rPr>
                      <w:rFonts w:hint="eastAsia"/>
                    </w:rPr>
                    <w:t>瓶</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固体</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药品室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53" w:type="dxa"/>
                  <w:vAlign w:val="center"/>
                </w:tcPr>
                <w:p>
                  <w:pPr>
                    <w:pStyle w:val="136"/>
                    <w:adjustRightInd w:val="0"/>
                    <w:snapToGrid w:val="0"/>
                  </w:pPr>
                  <w:r>
                    <w:rPr>
                      <w:rFonts w:hint="eastAsia"/>
                    </w:rPr>
                    <w:t>1</w:t>
                  </w:r>
                  <w:r>
                    <w:t>6</w:t>
                  </w:r>
                </w:p>
              </w:tc>
              <w:tc>
                <w:tcPr>
                  <w:tcW w:w="1622" w:type="dxa"/>
                  <w:vAlign w:val="top"/>
                </w:tcPr>
                <w:p>
                  <w:pPr>
                    <w:pStyle w:val="136"/>
                    <w:adjustRightInd w:val="0"/>
                    <w:snapToGrid w:val="0"/>
                  </w:pPr>
                  <w:r>
                    <w:rPr>
                      <w:rFonts w:hint="eastAsia"/>
                    </w:rPr>
                    <w:t>硼氢化钾</w:t>
                  </w:r>
                </w:p>
              </w:tc>
              <w:tc>
                <w:tcPr>
                  <w:tcW w:w="1188" w:type="dxa"/>
                  <w:vAlign w:val="center"/>
                </w:tcPr>
                <w:p>
                  <w:pPr>
                    <w:pStyle w:val="136"/>
                    <w:adjustRightInd w:val="0"/>
                    <w:snapToGrid w:val="0"/>
                  </w:pPr>
                  <w:r>
                    <w:t>500</w:t>
                  </w:r>
                  <w:r>
                    <w:rPr>
                      <w:rFonts w:hint="eastAsia"/>
                    </w:rPr>
                    <w:t>g</w:t>
                  </w:r>
                  <w:r>
                    <w:t>/</w:t>
                  </w:r>
                  <w:r>
                    <w:rPr>
                      <w:rFonts w:hint="eastAsia"/>
                    </w:rPr>
                    <w:t>瓶</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固体</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药品室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53" w:type="dxa"/>
                  <w:vAlign w:val="center"/>
                </w:tcPr>
                <w:p>
                  <w:pPr>
                    <w:pStyle w:val="136"/>
                    <w:adjustRightInd w:val="0"/>
                    <w:snapToGrid w:val="0"/>
                  </w:pPr>
                  <w:r>
                    <w:rPr>
                      <w:rFonts w:hint="eastAsia"/>
                    </w:rPr>
                    <w:t>1</w:t>
                  </w:r>
                  <w:r>
                    <w:t>7</w:t>
                  </w:r>
                </w:p>
              </w:tc>
              <w:tc>
                <w:tcPr>
                  <w:tcW w:w="1622" w:type="dxa"/>
                  <w:vAlign w:val="top"/>
                </w:tcPr>
                <w:p>
                  <w:pPr>
                    <w:pStyle w:val="136"/>
                    <w:adjustRightInd w:val="0"/>
                    <w:snapToGrid w:val="0"/>
                  </w:pPr>
                  <w:r>
                    <w:rPr>
                      <w:rFonts w:hint="eastAsia"/>
                    </w:rPr>
                    <w:t>草酸钠</w:t>
                  </w:r>
                </w:p>
              </w:tc>
              <w:tc>
                <w:tcPr>
                  <w:tcW w:w="1188" w:type="dxa"/>
                  <w:vAlign w:val="center"/>
                </w:tcPr>
                <w:p>
                  <w:pPr>
                    <w:pStyle w:val="136"/>
                    <w:adjustRightInd w:val="0"/>
                    <w:snapToGrid w:val="0"/>
                  </w:pPr>
                  <w:r>
                    <w:t>500</w:t>
                  </w:r>
                  <w:r>
                    <w:rPr>
                      <w:rFonts w:hint="eastAsia"/>
                    </w:rPr>
                    <w:t>g</w:t>
                  </w:r>
                  <w:r>
                    <w:t>/</w:t>
                  </w:r>
                  <w:r>
                    <w:rPr>
                      <w:rFonts w:hint="eastAsia"/>
                    </w:rPr>
                    <w:t>瓶</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固体</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药品室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53" w:type="dxa"/>
                  <w:vAlign w:val="center"/>
                </w:tcPr>
                <w:p>
                  <w:pPr>
                    <w:pStyle w:val="136"/>
                    <w:adjustRightInd w:val="0"/>
                    <w:snapToGrid w:val="0"/>
                  </w:pPr>
                  <w:r>
                    <w:rPr>
                      <w:rFonts w:hint="eastAsia"/>
                    </w:rPr>
                    <w:t>1</w:t>
                  </w:r>
                  <w:r>
                    <w:t>8</w:t>
                  </w:r>
                </w:p>
              </w:tc>
              <w:tc>
                <w:tcPr>
                  <w:tcW w:w="1622" w:type="dxa"/>
                  <w:vAlign w:val="top"/>
                </w:tcPr>
                <w:p>
                  <w:pPr>
                    <w:pStyle w:val="136"/>
                    <w:adjustRightInd w:val="0"/>
                    <w:snapToGrid w:val="0"/>
                  </w:pPr>
                  <w:r>
                    <w:rPr>
                      <w:rFonts w:hint="eastAsia"/>
                    </w:rPr>
                    <w:t>柠檬酸钠</w:t>
                  </w:r>
                </w:p>
              </w:tc>
              <w:tc>
                <w:tcPr>
                  <w:tcW w:w="1188" w:type="dxa"/>
                  <w:vAlign w:val="center"/>
                </w:tcPr>
                <w:p>
                  <w:pPr>
                    <w:pStyle w:val="136"/>
                    <w:adjustRightInd w:val="0"/>
                    <w:snapToGrid w:val="0"/>
                  </w:pPr>
                  <w:r>
                    <w:t>500</w:t>
                  </w:r>
                  <w:r>
                    <w:rPr>
                      <w:rFonts w:hint="eastAsia"/>
                    </w:rPr>
                    <w:t>g</w:t>
                  </w:r>
                  <w:r>
                    <w:t>/</w:t>
                  </w:r>
                  <w:r>
                    <w:rPr>
                      <w:rFonts w:hint="eastAsia"/>
                    </w:rPr>
                    <w:t>瓶</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固体</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药品室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53" w:type="dxa"/>
                  <w:vAlign w:val="center"/>
                </w:tcPr>
                <w:p>
                  <w:pPr>
                    <w:pStyle w:val="136"/>
                    <w:adjustRightInd w:val="0"/>
                    <w:snapToGrid w:val="0"/>
                  </w:pPr>
                  <w:r>
                    <w:rPr>
                      <w:rFonts w:hint="eastAsia"/>
                    </w:rPr>
                    <w:t>1</w:t>
                  </w:r>
                  <w:r>
                    <w:t>9</w:t>
                  </w:r>
                </w:p>
              </w:tc>
              <w:tc>
                <w:tcPr>
                  <w:tcW w:w="1622" w:type="dxa"/>
                  <w:vAlign w:val="top"/>
                </w:tcPr>
                <w:p>
                  <w:pPr>
                    <w:pStyle w:val="136"/>
                    <w:adjustRightInd w:val="0"/>
                    <w:snapToGrid w:val="0"/>
                  </w:pPr>
                  <w:r>
                    <w:rPr>
                      <w:rFonts w:hint="eastAsia"/>
                    </w:rPr>
                    <w:t>硝酸钠</w:t>
                  </w:r>
                </w:p>
              </w:tc>
              <w:tc>
                <w:tcPr>
                  <w:tcW w:w="1188" w:type="dxa"/>
                  <w:vAlign w:val="center"/>
                </w:tcPr>
                <w:p>
                  <w:pPr>
                    <w:pStyle w:val="136"/>
                    <w:adjustRightInd w:val="0"/>
                    <w:snapToGrid w:val="0"/>
                  </w:pPr>
                  <w:r>
                    <w:t>500</w:t>
                  </w:r>
                  <w:r>
                    <w:rPr>
                      <w:rFonts w:hint="eastAsia"/>
                    </w:rPr>
                    <w:t>g</w:t>
                  </w:r>
                  <w:r>
                    <w:t>/</w:t>
                  </w:r>
                  <w:r>
                    <w:rPr>
                      <w:rFonts w:hint="eastAsia"/>
                    </w:rPr>
                    <w:t>瓶</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固体</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药品室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53" w:type="dxa"/>
                  <w:vAlign w:val="center"/>
                </w:tcPr>
                <w:p>
                  <w:pPr>
                    <w:pStyle w:val="136"/>
                    <w:adjustRightInd w:val="0"/>
                    <w:snapToGrid w:val="0"/>
                  </w:pPr>
                  <w:r>
                    <w:rPr>
                      <w:rFonts w:hint="eastAsia"/>
                    </w:rPr>
                    <w:t>2</w:t>
                  </w:r>
                  <w:r>
                    <w:t>0</w:t>
                  </w:r>
                </w:p>
              </w:tc>
              <w:tc>
                <w:tcPr>
                  <w:tcW w:w="1622" w:type="dxa"/>
                  <w:vAlign w:val="top"/>
                </w:tcPr>
                <w:p>
                  <w:pPr>
                    <w:pStyle w:val="136"/>
                    <w:adjustRightInd w:val="0"/>
                    <w:snapToGrid w:val="0"/>
                  </w:pPr>
                  <w:r>
                    <w:rPr>
                      <w:rFonts w:hint="eastAsia"/>
                    </w:rPr>
                    <w:t>氯化钠</w:t>
                  </w:r>
                </w:p>
              </w:tc>
              <w:tc>
                <w:tcPr>
                  <w:tcW w:w="1188" w:type="dxa"/>
                  <w:vAlign w:val="center"/>
                </w:tcPr>
                <w:p>
                  <w:pPr>
                    <w:pStyle w:val="136"/>
                    <w:adjustRightInd w:val="0"/>
                    <w:snapToGrid w:val="0"/>
                  </w:pPr>
                  <w:r>
                    <w:t>500</w:t>
                  </w:r>
                  <w:r>
                    <w:rPr>
                      <w:rFonts w:hint="eastAsia"/>
                    </w:rPr>
                    <w:t>g</w:t>
                  </w:r>
                  <w:r>
                    <w:t>/</w:t>
                  </w:r>
                  <w:r>
                    <w:rPr>
                      <w:rFonts w:hint="eastAsia"/>
                    </w:rPr>
                    <w:t>瓶</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固体</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药品室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53" w:type="dxa"/>
                  <w:vAlign w:val="center"/>
                </w:tcPr>
                <w:p>
                  <w:pPr>
                    <w:pStyle w:val="136"/>
                    <w:adjustRightInd w:val="0"/>
                    <w:snapToGrid w:val="0"/>
                  </w:pPr>
                  <w:r>
                    <w:rPr>
                      <w:rFonts w:hint="eastAsia"/>
                    </w:rPr>
                    <w:t>2</w:t>
                  </w:r>
                  <w:r>
                    <w:t>1</w:t>
                  </w:r>
                </w:p>
              </w:tc>
              <w:tc>
                <w:tcPr>
                  <w:tcW w:w="1622" w:type="dxa"/>
                  <w:vAlign w:val="top"/>
                </w:tcPr>
                <w:p>
                  <w:pPr>
                    <w:pStyle w:val="136"/>
                    <w:adjustRightInd w:val="0"/>
                    <w:snapToGrid w:val="0"/>
                  </w:pPr>
                  <w:r>
                    <w:rPr>
                      <w:rFonts w:hint="eastAsia"/>
                    </w:rPr>
                    <w:t>磷酸二氢钠</w:t>
                  </w:r>
                </w:p>
              </w:tc>
              <w:tc>
                <w:tcPr>
                  <w:tcW w:w="1188" w:type="dxa"/>
                  <w:vAlign w:val="center"/>
                </w:tcPr>
                <w:p>
                  <w:pPr>
                    <w:pStyle w:val="136"/>
                    <w:adjustRightInd w:val="0"/>
                    <w:snapToGrid w:val="0"/>
                  </w:pPr>
                  <w:r>
                    <w:t>500</w:t>
                  </w:r>
                  <w:r>
                    <w:rPr>
                      <w:rFonts w:hint="eastAsia"/>
                    </w:rPr>
                    <w:t>g</w:t>
                  </w:r>
                  <w:r>
                    <w:t>/</w:t>
                  </w:r>
                  <w:r>
                    <w:rPr>
                      <w:rFonts w:hint="eastAsia"/>
                    </w:rPr>
                    <w:t>瓶</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固体</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药品室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53" w:type="dxa"/>
                  <w:vAlign w:val="center"/>
                </w:tcPr>
                <w:p>
                  <w:pPr>
                    <w:pStyle w:val="136"/>
                    <w:adjustRightInd w:val="0"/>
                    <w:snapToGrid w:val="0"/>
                  </w:pPr>
                  <w:r>
                    <w:rPr>
                      <w:rFonts w:hint="eastAsia"/>
                    </w:rPr>
                    <w:t>2</w:t>
                  </w:r>
                  <w:r>
                    <w:t>2</w:t>
                  </w:r>
                </w:p>
              </w:tc>
              <w:tc>
                <w:tcPr>
                  <w:tcW w:w="1622" w:type="dxa"/>
                  <w:vAlign w:val="top"/>
                </w:tcPr>
                <w:p>
                  <w:pPr>
                    <w:pStyle w:val="136"/>
                    <w:adjustRightInd w:val="0"/>
                    <w:snapToGrid w:val="0"/>
                  </w:pPr>
                  <w:r>
                    <w:rPr>
                      <w:rFonts w:hint="eastAsia"/>
                    </w:rPr>
                    <w:t>磷酸氢二钠</w:t>
                  </w:r>
                </w:p>
              </w:tc>
              <w:tc>
                <w:tcPr>
                  <w:tcW w:w="1188" w:type="dxa"/>
                  <w:vAlign w:val="center"/>
                </w:tcPr>
                <w:p>
                  <w:pPr>
                    <w:pStyle w:val="136"/>
                    <w:adjustRightInd w:val="0"/>
                    <w:snapToGrid w:val="0"/>
                  </w:pPr>
                  <w:r>
                    <w:t>500</w:t>
                  </w:r>
                  <w:r>
                    <w:rPr>
                      <w:rFonts w:hint="eastAsia"/>
                    </w:rPr>
                    <w:t>g</w:t>
                  </w:r>
                  <w:r>
                    <w:t>/</w:t>
                  </w:r>
                  <w:r>
                    <w:rPr>
                      <w:rFonts w:hint="eastAsia"/>
                    </w:rPr>
                    <w:t>瓶</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固体</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药品室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53" w:type="dxa"/>
                  <w:vAlign w:val="center"/>
                </w:tcPr>
                <w:p>
                  <w:pPr>
                    <w:pStyle w:val="136"/>
                    <w:adjustRightInd w:val="0"/>
                    <w:snapToGrid w:val="0"/>
                  </w:pPr>
                  <w:r>
                    <w:rPr>
                      <w:rFonts w:hint="eastAsia"/>
                    </w:rPr>
                    <w:t>2</w:t>
                  </w:r>
                  <w:r>
                    <w:t>3</w:t>
                  </w:r>
                </w:p>
              </w:tc>
              <w:tc>
                <w:tcPr>
                  <w:tcW w:w="1622" w:type="dxa"/>
                  <w:vAlign w:val="top"/>
                </w:tcPr>
                <w:p>
                  <w:pPr>
                    <w:pStyle w:val="136"/>
                    <w:adjustRightInd w:val="0"/>
                    <w:snapToGrid w:val="0"/>
                  </w:pPr>
                  <w:r>
                    <w:rPr>
                      <w:rFonts w:hint="eastAsia"/>
                    </w:rPr>
                    <w:t>硼酸钠</w:t>
                  </w:r>
                </w:p>
              </w:tc>
              <w:tc>
                <w:tcPr>
                  <w:tcW w:w="1188" w:type="dxa"/>
                  <w:vAlign w:val="center"/>
                </w:tcPr>
                <w:p>
                  <w:pPr>
                    <w:pStyle w:val="136"/>
                    <w:adjustRightInd w:val="0"/>
                    <w:snapToGrid w:val="0"/>
                  </w:pPr>
                  <w:r>
                    <w:t>500</w:t>
                  </w:r>
                  <w:r>
                    <w:rPr>
                      <w:rFonts w:hint="eastAsia"/>
                    </w:rPr>
                    <w:t>g</w:t>
                  </w:r>
                  <w:r>
                    <w:t>/</w:t>
                  </w:r>
                  <w:r>
                    <w:rPr>
                      <w:rFonts w:hint="eastAsia"/>
                    </w:rPr>
                    <w:t>瓶</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固体</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药品室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53" w:type="dxa"/>
                  <w:vAlign w:val="center"/>
                </w:tcPr>
                <w:p>
                  <w:pPr>
                    <w:pStyle w:val="136"/>
                    <w:adjustRightInd w:val="0"/>
                    <w:snapToGrid w:val="0"/>
                  </w:pPr>
                  <w:r>
                    <w:rPr>
                      <w:rFonts w:hint="eastAsia"/>
                    </w:rPr>
                    <w:t>2</w:t>
                  </w:r>
                  <w:r>
                    <w:t>4</w:t>
                  </w:r>
                </w:p>
              </w:tc>
              <w:tc>
                <w:tcPr>
                  <w:tcW w:w="1622" w:type="dxa"/>
                  <w:vAlign w:val="top"/>
                </w:tcPr>
                <w:p>
                  <w:pPr>
                    <w:pStyle w:val="136"/>
                    <w:adjustRightInd w:val="0"/>
                    <w:snapToGrid w:val="0"/>
                  </w:pPr>
                  <w:r>
                    <w:rPr>
                      <w:rFonts w:hint="eastAsia"/>
                    </w:rPr>
                    <w:t>无水硫酸钠</w:t>
                  </w:r>
                </w:p>
              </w:tc>
              <w:tc>
                <w:tcPr>
                  <w:tcW w:w="1188" w:type="dxa"/>
                  <w:vAlign w:val="center"/>
                </w:tcPr>
                <w:p>
                  <w:pPr>
                    <w:pStyle w:val="136"/>
                    <w:adjustRightInd w:val="0"/>
                    <w:snapToGrid w:val="0"/>
                  </w:pPr>
                  <w:r>
                    <w:t>500</w:t>
                  </w:r>
                  <w:r>
                    <w:rPr>
                      <w:rFonts w:hint="eastAsia"/>
                    </w:rPr>
                    <w:t>g</w:t>
                  </w:r>
                  <w:r>
                    <w:t>/</w:t>
                  </w:r>
                  <w:r>
                    <w:rPr>
                      <w:rFonts w:hint="eastAsia"/>
                    </w:rPr>
                    <w:t>瓶</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固体</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药品室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53" w:type="dxa"/>
                  <w:vAlign w:val="center"/>
                </w:tcPr>
                <w:p>
                  <w:pPr>
                    <w:pStyle w:val="136"/>
                    <w:adjustRightInd w:val="0"/>
                    <w:snapToGrid w:val="0"/>
                  </w:pPr>
                  <w:r>
                    <w:rPr>
                      <w:rFonts w:hint="eastAsia"/>
                    </w:rPr>
                    <w:t>2</w:t>
                  </w:r>
                  <w:r>
                    <w:t>5</w:t>
                  </w:r>
                </w:p>
              </w:tc>
              <w:tc>
                <w:tcPr>
                  <w:tcW w:w="1622" w:type="dxa"/>
                  <w:vAlign w:val="top"/>
                </w:tcPr>
                <w:p>
                  <w:pPr>
                    <w:pStyle w:val="136"/>
                    <w:adjustRightInd w:val="0"/>
                    <w:snapToGrid w:val="0"/>
                  </w:pPr>
                  <w:r>
                    <w:rPr>
                      <w:rFonts w:hint="eastAsia"/>
                    </w:rPr>
                    <w:t>亚硝酸钠</w:t>
                  </w:r>
                </w:p>
              </w:tc>
              <w:tc>
                <w:tcPr>
                  <w:tcW w:w="1188" w:type="dxa"/>
                  <w:vAlign w:val="center"/>
                </w:tcPr>
                <w:p>
                  <w:pPr>
                    <w:pStyle w:val="136"/>
                    <w:adjustRightInd w:val="0"/>
                    <w:snapToGrid w:val="0"/>
                  </w:pPr>
                  <w:r>
                    <w:t>500</w:t>
                  </w:r>
                  <w:r>
                    <w:rPr>
                      <w:rFonts w:hint="eastAsia"/>
                    </w:rPr>
                    <w:t>g</w:t>
                  </w:r>
                  <w:r>
                    <w:t>/</w:t>
                  </w:r>
                  <w:r>
                    <w:rPr>
                      <w:rFonts w:hint="eastAsia"/>
                    </w:rPr>
                    <w:t>瓶</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固体</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药品室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53" w:type="dxa"/>
                  <w:vAlign w:val="center"/>
                </w:tcPr>
                <w:p>
                  <w:pPr>
                    <w:pStyle w:val="136"/>
                    <w:adjustRightInd w:val="0"/>
                    <w:snapToGrid w:val="0"/>
                  </w:pPr>
                  <w:r>
                    <w:rPr>
                      <w:rFonts w:hint="eastAsia"/>
                    </w:rPr>
                    <w:t>2</w:t>
                  </w:r>
                  <w:r>
                    <w:t>6</w:t>
                  </w:r>
                </w:p>
              </w:tc>
              <w:tc>
                <w:tcPr>
                  <w:tcW w:w="1622" w:type="dxa"/>
                  <w:vAlign w:val="top"/>
                </w:tcPr>
                <w:p>
                  <w:pPr>
                    <w:pStyle w:val="136"/>
                    <w:adjustRightInd w:val="0"/>
                    <w:snapToGrid w:val="0"/>
                  </w:pPr>
                  <w:r>
                    <w:rPr>
                      <w:rFonts w:hint="eastAsia"/>
                    </w:rPr>
                    <w:t>氯胺</w:t>
                  </w:r>
                  <w:r>
                    <w:t>-T</w:t>
                  </w:r>
                </w:p>
              </w:tc>
              <w:tc>
                <w:tcPr>
                  <w:tcW w:w="1188" w:type="dxa"/>
                  <w:vAlign w:val="center"/>
                </w:tcPr>
                <w:p>
                  <w:pPr>
                    <w:pStyle w:val="136"/>
                    <w:adjustRightInd w:val="0"/>
                    <w:snapToGrid w:val="0"/>
                  </w:pPr>
                  <w:r>
                    <w:t>500</w:t>
                  </w:r>
                  <w:r>
                    <w:rPr>
                      <w:rFonts w:hint="eastAsia"/>
                    </w:rPr>
                    <w:t>g</w:t>
                  </w:r>
                  <w:r>
                    <w:t>/</w:t>
                  </w:r>
                  <w:r>
                    <w:rPr>
                      <w:rFonts w:hint="eastAsia"/>
                    </w:rPr>
                    <w:t>瓶</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固体</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药品室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53" w:type="dxa"/>
                  <w:vAlign w:val="center"/>
                </w:tcPr>
                <w:p>
                  <w:pPr>
                    <w:pStyle w:val="136"/>
                    <w:adjustRightInd w:val="0"/>
                    <w:snapToGrid w:val="0"/>
                  </w:pPr>
                  <w:r>
                    <w:rPr>
                      <w:rFonts w:hint="eastAsia"/>
                    </w:rPr>
                    <w:t>2</w:t>
                  </w:r>
                  <w:r>
                    <w:t>7</w:t>
                  </w:r>
                </w:p>
              </w:tc>
              <w:tc>
                <w:tcPr>
                  <w:tcW w:w="1622" w:type="dxa"/>
                  <w:vAlign w:val="top"/>
                </w:tcPr>
                <w:p>
                  <w:pPr>
                    <w:pStyle w:val="136"/>
                    <w:adjustRightInd w:val="0"/>
                    <w:snapToGrid w:val="0"/>
                  </w:pPr>
                  <w:r>
                    <w:rPr>
                      <w:rFonts w:hint="eastAsia"/>
                    </w:rPr>
                    <w:t>硫酸铜</w:t>
                  </w:r>
                </w:p>
              </w:tc>
              <w:tc>
                <w:tcPr>
                  <w:tcW w:w="1188" w:type="dxa"/>
                  <w:vAlign w:val="center"/>
                </w:tcPr>
                <w:p>
                  <w:pPr>
                    <w:pStyle w:val="136"/>
                    <w:adjustRightInd w:val="0"/>
                    <w:snapToGrid w:val="0"/>
                  </w:pPr>
                  <w:r>
                    <w:t>500</w:t>
                  </w:r>
                  <w:r>
                    <w:rPr>
                      <w:rFonts w:hint="eastAsia"/>
                    </w:rPr>
                    <w:t>g</w:t>
                  </w:r>
                  <w:r>
                    <w:t>/</w:t>
                  </w:r>
                  <w:r>
                    <w:rPr>
                      <w:rFonts w:hint="eastAsia"/>
                    </w:rPr>
                    <w:t>瓶</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固体</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药品室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53" w:type="dxa"/>
                  <w:vAlign w:val="center"/>
                </w:tcPr>
                <w:p>
                  <w:pPr>
                    <w:pStyle w:val="136"/>
                    <w:adjustRightInd w:val="0"/>
                    <w:snapToGrid w:val="0"/>
                  </w:pPr>
                  <w:r>
                    <w:rPr>
                      <w:rFonts w:hint="eastAsia"/>
                    </w:rPr>
                    <w:t>2</w:t>
                  </w:r>
                  <w:r>
                    <w:t>8</w:t>
                  </w:r>
                </w:p>
              </w:tc>
              <w:tc>
                <w:tcPr>
                  <w:tcW w:w="1622" w:type="dxa"/>
                  <w:vAlign w:val="top"/>
                </w:tcPr>
                <w:p>
                  <w:pPr>
                    <w:pStyle w:val="136"/>
                    <w:adjustRightInd w:val="0"/>
                    <w:snapToGrid w:val="0"/>
                  </w:pPr>
                  <w:r>
                    <w:rPr>
                      <w:rFonts w:hint="eastAsia"/>
                    </w:rPr>
                    <w:t>对氨基</w:t>
                  </w:r>
                  <w:r>
                    <w:t>-2甲基苯胺盐酸盐</w:t>
                  </w:r>
                </w:p>
              </w:tc>
              <w:tc>
                <w:tcPr>
                  <w:tcW w:w="1188" w:type="dxa"/>
                  <w:vAlign w:val="center"/>
                </w:tcPr>
                <w:p>
                  <w:pPr>
                    <w:pStyle w:val="136"/>
                    <w:adjustRightInd w:val="0"/>
                    <w:snapToGrid w:val="0"/>
                  </w:pPr>
                  <w:r>
                    <w:rPr>
                      <w:rFonts w:hint="eastAsia"/>
                    </w:rPr>
                    <w:t>2</w:t>
                  </w:r>
                  <w:r>
                    <w:t>5</w:t>
                  </w:r>
                  <w:r>
                    <w:rPr>
                      <w:rFonts w:hint="eastAsia"/>
                    </w:rPr>
                    <w:t>g</w:t>
                  </w:r>
                  <w:r>
                    <w:t>/</w:t>
                  </w:r>
                  <w:r>
                    <w:rPr>
                      <w:rFonts w:hint="eastAsia"/>
                    </w:rPr>
                    <w:t>瓶</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固体</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药品室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53" w:type="dxa"/>
                  <w:vAlign w:val="center"/>
                </w:tcPr>
                <w:p>
                  <w:pPr>
                    <w:pStyle w:val="136"/>
                    <w:adjustRightInd w:val="0"/>
                    <w:snapToGrid w:val="0"/>
                  </w:pPr>
                  <w:r>
                    <w:rPr>
                      <w:rFonts w:hint="eastAsia"/>
                    </w:rPr>
                    <w:t>2</w:t>
                  </w:r>
                  <w:r>
                    <w:t>9</w:t>
                  </w:r>
                </w:p>
              </w:tc>
              <w:tc>
                <w:tcPr>
                  <w:tcW w:w="1622" w:type="dxa"/>
                  <w:vAlign w:val="top"/>
                </w:tcPr>
                <w:p>
                  <w:pPr>
                    <w:pStyle w:val="136"/>
                    <w:adjustRightInd w:val="0"/>
                    <w:snapToGrid w:val="0"/>
                  </w:pPr>
                  <w:r>
                    <w:rPr>
                      <w:rFonts w:hint="eastAsia"/>
                    </w:rPr>
                    <w:t>变色硅胶</w:t>
                  </w:r>
                </w:p>
              </w:tc>
              <w:tc>
                <w:tcPr>
                  <w:tcW w:w="1188" w:type="dxa"/>
                  <w:vAlign w:val="center"/>
                </w:tcPr>
                <w:p>
                  <w:pPr>
                    <w:pStyle w:val="136"/>
                    <w:adjustRightInd w:val="0"/>
                    <w:snapToGrid w:val="0"/>
                  </w:pPr>
                  <w:r>
                    <w:t>500</w:t>
                  </w:r>
                  <w:r>
                    <w:rPr>
                      <w:rFonts w:hint="eastAsia"/>
                    </w:rPr>
                    <w:t>g</w:t>
                  </w:r>
                  <w:r>
                    <w:t>/</w:t>
                  </w:r>
                  <w:r>
                    <w:rPr>
                      <w:rFonts w:hint="eastAsia"/>
                    </w:rPr>
                    <w:t>瓶</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固体</w:t>
                  </w:r>
                </w:p>
              </w:tc>
              <w:tc>
                <w:tcPr>
                  <w:tcW w:w="1188" w:type="dxa"/>
                  <w:vAlign w:val="center"/>
                </w:tcPr>
                <w:p>
                  <w:pPr>
                    <w:pStyle w:val="136"/>
                    <w:adjustRightInd w:val="0"/>
                    <w:snapToGrid w:val="0"/>
                  </w:pPr>
                  <w:r>
                    <w:rPr>
                      <w:rFonts w:hint="eastAsia"/>
                    </w:rPr>
                    <w:t>1瓶</w:t>
                  </w:r>
                </w:p>
              </w:tc>
              <w:tc>
                <w:tcPr>
                  <w:tcW w:w="1188" w:type="dxa"/>
                  <w:vAlign w:val="center"/>
                </w:tcPr>
                <w:p>
                  <w:pPr>
                    <w:pStyle w:val="136"/>
                    <w:adjustRightInd w:val="0"/>
                    <w:snapToGrid w:val="0"/>
                  </w:pPr>
                  <w:r>
                    <w:rPr>
                      <w:rFonts w:hint="eastAsia"/>
                    </w:rPr>
                    <w:t>药品室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53" w:type="dxa"/>
                  <w:vAlign w:val="center"/>
                </w:tcPr>
                <w:p>
                  <w:pPr>
                    <w:pStyle w:val="136"/>
                    <w:adjustRightInd w:val="0"/>
                    <w:snapToGrid w:val="0"/>
                  </w:pPr>
                  <w:r>
                    <w:rPr>
                      <w:rFonts w:hint="eastAsia"/>
                    </w:rPr>
                    <w:t>3</w:t>
                  </w:r>
                  <w:r>
                    <w:t>0</w:t>
                  </w:r>
                </w:p>
              </w:tc>
              <w:tc>
                <w:tcPr>
                  <w:tcW w:w="1622" w:type="dxa"/>
                  <w:vAlign w:val="top"/>
                </w:tcPr>
                <w:p>
                  <w:pPr>
                    <w:pStyle w:val="136"/>
                    <w:adjustRightInd w:val="0"/>
                    <w:snapToGrid w:val="0"/>
                  </w:pPr>
                  <w:r>
                    <w:rPr>
                      <w:rFonts w:hint="eastAsia"/>
                    </w:rPr>
                    <w:t>丙酮</w:t>
                  </w:r>
                </w:p>
              </w:tc>
              <w:tc>
                <w:tcPr>
                  <w:tcW w:w="1188" w:type="dxa"/>
                  <w:vAlign w:val="center"/>
                </w:tcPr>
                <w:p>
                  <w:pPr>
                    <w:pStyle w:val="136"/>
                    <w:adjustRightInd w:val="0"/>
                    <w:snapToGrid w:val="0"/>
                  </w:pPr>
                  <w:r>
                    <w:rPr>
                      <w:rFonts w:hint="eastAsia"/>
                    </w:rPr>
                    <w:t>5</w:t>
                  </w:r>
                  <w:r>
                    <w:t>00</w:t>
                  </w:r>
                  <w:r>
                    <w:rPr>
                      <w:rFonts w:hint="eastAsia"/>
                    </w:rPr>
                    <w:t>mL</w:t>
                  </w:r>
                  <w:r>
                    <w:t>/</w:t>
                  </w:r>
                  <w:r>
                    <w:rPr>
                      <w:rFonts w:hint="eastAsia"/>
                    </w:rPr>
                    <w:t>瓶</w:t>
                  </w:r>
                </w:p>
              </w:tc>
              <w:tc>
                <w:tcPr>
                  <w:tcW w:w="1188" w:type="dxa"/>
                  <w:vAlign w:val="center"/>
                </w:tcPr>
                <w:p>
                  <w:pPr>
                    <w:pStyle w:val="136"/>
                    <w:adjustRightInd w:val="0"/>
                    <w:snapToGrid w:val="0"/>
                  </w:pPr>
                  <w:r>
                    <w:t>10</w:t>
                  </w:r>
                  <w:r>
                    <w:rPr>
                      <w:rFonts w:hint="eastAsia"/>
                    </w:rPr>
                    <w:t>瓶</w:t>
                  </w:r>
                </w:p>
              </w:tc>
              <w:tc>
                <w:tcPr>
                  <w:tcW w:w="1188" w:type="dxa"/>
                  <w:vAlign w:val="center"/>
                </w:tcPr>
                <w:p>
                  <w:pPr>
                    <w:pStyle w:val="136"/>
                    <w:adjustRightInd w:val="0"/>
                    <w:snapToGrid w:val="0"/>
                  </w:pPr>
                  <w:r>
                    <w:rPr>
                      <w:rFonts w:hint="eastAsia"/>
                    </w:rPr>
                    <w:t>液体</w:t>
                  </w:r>
                </w:p>
              </w:tc>
              <w:tc>
                <w:tcPr>
                  <w:tcW w:w="1188" w:type="dxa"/>
                  <w:vAlign w:val="center"/>
                </w:tcPr>
                <w:p>
                  <w:pPr>
                    <w:pStyle w:val="136"/>
                    <w:adjustRightInd w:val="0"/>
                    <w:snapToGrid w:val="0"/>
                  </w:pPr>
                  <w:r>
                    <w:t>5</w:t>
                  </w:r>
                  <w:r>
                    <w:rPr>
                      <w:rFonts w:hint="eastAsia"/>
                    </w:rPr>
                    <w:t>瓶</w:t>
                  </w:r>
                </w:p>
              </w:tc>
              <w:tc>
                <w:tcPr>
                  <w:tcW w:w="1188" w:type="dxa"/>
                  <w:vAlign w:val="center"/>
                </w:tcPr>
                <w:p>
                  <w:pPr>
                    <w:pStyle w:val="136"/>
                    <w:adjustRightInd w:val="0"/>
                    <w:snapToGrid w:val="0"/>
                  </w:pPr>
                  <w:r>
                    <w:rPr>
                      <w:rFonts w:hint="eastAsia"/>
                    </w:rPr>
                    <w:t>药品室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53" w:type="dxa"/>
                  <w:vAlign w:val="center"/>
                </w:tcPr>
                <w:p>
                  <w:pPr>
                    <w:pStyle w:val="136"/>
                    <w:adjustRightInd w:val="0"/>
                    <w:snapToGrid w:val="0"/>
                  </w:pPr>
                  <w:r>
                    <w:rPr>
                      <w:rFonts w:hint="eastAsia"/>
                    </w:rPr>
                    <w:t>3</w:t>
                  </w:r>
                  <w:r>
                    <w:t>1</w:t>
                  </w:r>
                </w:p>
              </w:tc>
              <w:tc>
                <w:tcPr>
                  <w:tcW w:w="1622" w:type="dxa"/>
                  <w:vAlign w:val="top"/>
                </w:tcPr>
                <w:p>
                  <w:pPr>
                    <w:pStyle w:val="136"/>
                    <w:adjustRightInd w:val="0"/>
                    <w:snapToGrid w:val="0"/>
                  </w:pPr>
                  <w:r>
                    <w:rPr>
                      <w:rFonts w:hint="eastAsia"/>
                    </w:rPr>
                    <w:t>正己烷</w:t>
                  </w:r>
                </w:p>
              </w:tc>
              <w:tc>
                <w:tcPr>
                  <w:tcW w:w="1188" w:type="dxa"/>
                  <w:vAlign w:val="center"/>
                </w:tcPr>
                <w:p>
                  <w:pPr>
                    <w:pStyle w:val="136"/>
                    <w:adjustRightInd w:val="0"/>
                    <w:snapToGrid w:val="0"/>
                  </w:pPr>
                  <w:r>
                    <w:rPr>
                      <w:rFonts w:hint="eastAsia"/>
                    </w:rPr>
                    <w:t>5</w:t>
                  </w:r>
                  <w:r>
                    <w:t>00</w:t>
                  </w:r>
                  <w:r>
                    <w:rPr>
                      <w:rFonts w:hint="eastAsia"/>
                    </w:rPr>
                    <w:t>mL</w:t>
                  </w:r>
                  <w:r>
                    <w:t>/</w:t>
                  </w:r>
                  <w:r>
                    <w:rPr>
                      <w:rFonts w:hint="eastAsia"/>
                    </w:rPr>
                    <w:t>瓶</w:t>
                  </w:r>
                </w:p>
              </w:tc>
              <w:tc>
                <w:tcPr>
                  <w:tcW w:w="1188" w:type="dxa"/>
                  <w:vAlign w:val="center"/>
                </w:tcPr>
                <w:p>
                  <w:pPr>
                    <w:pStyle w:val="136"/>
                    <w:adjustRightInd w:val="0"/>
                    <w:snapToGrid w:val="0"/>
                  </w:pPr>
                  <w:r>
                    <w:t>20</w:t>
                  </w:r>
                  <w:r>
                    <w:rPr>
                      <w:rFonts w:hint="eastAsia"/>
                    </w:rPr>
                    <w:t>瓶</w:t>
                  </w:r>
                </w:p>
              </w:tc>
              <w:tc>
                <w:tcPr>
                  <w:tcW w:w="1188" w:type="dxa"/>
                  <w:vAlign w:val="center"/>
                </w:tcPr>
                <w:p>
                  <w:pPr>
                    <w:pStyle w:val="136"/>
                    <w:adjustRightInd w:val="0"/>
                    <w:snapToGrid w:val="0"/>
                  </w:pPr>
                  <w:r>
                    <w:rPr>
                      <w:rFonts w:hint="eastAsia"/>
                    </w:rPr>
                    <w:t>液体</w:t>
                  </w:r>
                </w:p>
              </w:tc>
              <w:tc>
                <w:tcPr>
                  <w:tcW w:w="1188" w:type="dxa"/>
                  <w:vAlign w:val="center"/>
                </w:tcPr>
                <w:p>
                  <w:pPr>
                    <w:pStyle w:val="136"/>
                    <w:adjustRightInd w:val="0"/>
                    <w:snapToGrid w:val="0"/>
                  </w:pPr>
                  <w:r>
                    <w:t>5</w:t>
                  </w:r>
                  <w:r>
                    <w:rPr>
                      <w:rFonts w:hint="eastAsia"/>
                    </w:rPr>
                    <w:t>瓶</w:t>
                  </w:r>
                </w:p>
              </w:tc>
              <w:tc>
                <w:tcPr>
                  <w:tcW w:w="1188" w:type="dxa"/>
                  <w:vAlign w:val="center"/>
                </w:tcPr>
                <w:p>
                  <w:pPr>
                    <w:pStyle w:val="136"/>
                    <w:adjustRightInd w:val="0"/>
                    <w:snapToGrid w:val="0"/>
                  </w:pPr>
                  <w:r>
                    <w:rPr>
                      <w:rFonts w:hint="eastAsia"/>
                    </w:rPr>
                    <w:t>药品室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53" w:type="dxa"/>
                  <w:vAlign w:val="center"/>
                </w:tcPr>
                <w:p>
                  <w:pPr>
                    <w:pStyle w:val="136"/>
                    <w:adjustRightInd w:val="0"/>
                    <w:snapToGrid w:val="0"/>
                  </w:pPr>
                  <w:r>
                    <w:rPr>
                      <w:rFonts w:hint="eastAsia"/>
                    </w:rPr>
                    <w:t>3</w:t>
                  </w:r>
                  <w:r>
                    <w:t>2</w:t>
                  </w:r>
                </w:p>
              </w:tc>
              <w:tc>
                <w:tcPr>
                  <w:tcW w:w="1622" w:type="dxa"/>
                  <w:vAlign w:val="top"/>
                </w:tcPr>
                <w:p>
                  <w:pPr>
                    <w:pStyle w:val="136"/>
                    <w:adjustRightInd w:val="0"/>
                    <w:snapToGrid w:val="0"/>
                  </w:pPr>
                  <w:r>
                    <w:rPr>
                      <w:rFonts w:hint="eastAsia"/>
                    </w:rPr>
                    <w:t>高纯氮气</w:t>
                  </w:r>
                </w:p>
              </w:tc>
              <w:tc>
                <w:tcPr>
                  <w:tcW w:w="1188" w:type="dxa"/>
                  <w:vAlign w:val="center"/>
                </w:tcPr>
                <w:p>
                  <w:pPr>
                    <w:pStyle w:val="136"/>
                    <w:adjustRightInd w:val="0"/>
                    <w:snapToGrid w:val="0"/>
                  </w:pPr>
                  <w:r>
                    <w:rPr>
                      <w:rFonts w:hint="eastAsia"/>
                    </w:rPr>
                    <w:t>4</w:t>
                  </w:r>
                  <w:r>
                    <w:t>0</w:t>
                  </w:r>
                  <w:r>
                    <w:rPr>
                      <w:rFonts w:hint="eastAsia"/>
                    </w:rPr>
                    <w:t>L</w:t>
                  </w:r>
                  <w:r>
                    <w:t>/</w:t>
                  </w:r>
                  <w:r>
                    <w:rPr>
                      <w:rFonts w:hint="eastAsia"/>
                    </w:rPr>
                    <w:t>瓶</w:t>
                  </w:r>
                </w:p>
              </w:tc>
              <w:tc>
                <w:tcPr>
                  <w:tcW w:w="1188" w:type="dxa"/>
                  <w:vAlign w:val="center"/>
                </w:tcPr>
                <w:p>
                  <w:pPr>
                    <w:pStyle w:val="136"/>
                    <w:adjustRightInd w:val="0"/>
                    <w:snapToGrid w:val="0"/>
                  </w:pPr>
                  <w:r>
                    <w:t>2</w:t>
                  </w:r>
                  <w:r>
                    <w:rPr>
                      <w:rFonts w:hint="eastAsia"/>
                    </w:rPr>
                    <w:t>瓶</w:t>
                  </w:r>
                </w:p>
              </w:tc>
              <w:tc>
                <w:tcPr>
                  <w:tcW w:w="1188" w:type="dxa"/>
                  <w:vAlign w:val="center"/>
                </w:tcPr>
                <w:p>
                  <w:pPr>
                    <w:pStyle w:val="136"/>
                    <w:adjustRightInd w:val="0"/>
                    <w:snapToGrid w:val="0"/>
                  </w:pPr>
                  <w:r>
                    <w:rPr>
                      <w:rFonts w:hint="eastAsia"/>
                    </w:rPr>
                    <w:t>压缩气体</w:t>
                  </w:r>
                </w:p>
              </w:tc>
              <w:tc>
                <w:tcPr>
                  <w:tcW w:w="1188" w:type="dxa"/>
                  <w:vAlign w:val="center"/>
                </w:tcPr>
                <w:p>
                  <w:pPr>
                    <w:pStyle w:val="136"/>
                    <w:adjustRightInd w:val="0"/>
                    <w:snapToGrid w:val="0"/>
                  </w:pPr>
                  <w:r>
                    <w:t>2</w:t>
                  </w:r>
                  <w:r>
                    <w:rPr>
                      <w:rFonts w:hint="eastAsia"/>
                    </w:rPr>
                    <w:t>瓶</w:t>
                  </w:r>
                </w:p>
              </w:tc>
              <w:tc>
                <w:tcPr>
                  <w:tcW w:w="1188" w:type="dxa"/>
                  <w:vAlign w:val="center"/>
                </w:tcPr>
                <w:p>
                  <w:pPr>
                    <w:pStyle w:val="136"/>
                    <w:adjustRightInd w:val="0"/>
                    <w:snapToGrid w:val="0"/>
                  </w:pPr>
                  <w:r>
                    <w:rPr>
                      <w:rFonts w:hint="eastAsia"/>
                    </w:rPr>
                    <w:t>气瓶室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53" w:type="dxa"/>
                  <w:vAlign w:val="center"/>
                </w:tcPr>
                <w:p>
                  <w:pPr>
                    <w:pStyle w:val="136"/>
                    <w:adjustRightInd w:val="0"/>
                    <w:snapToGrid w:val="0"/>
                  </w:pPr>
                  <w:r>
                    <w:rPr>
                      <w:rFonts w:hint="eastAsia"/>
                    </w:rPr>
                    <w:t>3</w:t>
                  </w:r>
                  <w:r>
                    <w:t>3</w:t>
                  </w:r>
                </w:p>
              </w:tc>
              <w:tc>
                <w:tcPr>
                  <w:tcW w:w="1622" w:type="dxa"/>
                  <w:vAlign w:val="top"/>
                </w:tcPr>
                <w:p>
                  <w:pPr>
                    <w:pStyle w:val="136"/>
                    <w:adjustRightInd w:val="0"/>
                    <w:snapToGrid w:val="0"/>
                  </w:pPr>
                  <w:r>
                    <w:rPr>
                      <w:rFonts w:hint="eastAsia"/>
                    </w:rPr>
                    <w:t>高纯氩气</w:t>
                  </w:r>
                </w:p>
              </w:tc>
              <w:tc>
                <w:tcPr>
                  <w:tcW w:w="1188" w:type="dxa"/>
                  <w:vAlign w:val="center"/>
                </w:tcPr>
                <w:p>
                  <w:pPr>
                    <w:pStyle w:val="136"/>
                    <w:adjustRightInd w:val="0"/>
                    <w:snapToGrid w:val="0"/>
                  </w:pPr>
                  <w:r>
                    <w:rPr>
                      <w:rFonts w:hint="eastAsia"/>
                    </w:rPr>
                    <w:t>4</w:t>
                  </w:r>
                  <w:r>
                    <w:t>0</w:t>
                  </w:r>
                  <w:r>
                    <w:rPr>
                      <w:rFonts w:hint="eastAsia"/>
                    </w:rPr>
                    <w:t>L</w:t>
                  </w:r>
                  <w:r>
                    <w:t>/</w:t>
                  </w:r>
                  <w:r>
                    <w:rPr>
                      <w:rFonts w:hint="eastAsia"/>
                    </w:rPr>
                    <w:t>瓶</w:t>
                  </w:r>
                </w:p>
              </w:tc>
              <w:tc>
                <w:tcPr>
                  <w:tcW w:w="1188" w:type="dxa"/>
                  <w:vAlign w:val="center"/>
                </w:tcPr>
                <w:p>
                  <w:pPr>
                    <w:pStyle w:val="136"/>
                    <w:adjustRightInd w:val="0"/>
                    <w:snapToGrid w:val="0"/>
                  </w:pPr>
                  <w:r>
                    <w:t>4</w:t>
                  </w:r>
                  <w:r>
                    <w:rPr>
                      <w:rFonts w:hint="eastAsia"/>
                    </w:rPr>
                    <w:t>瓶</w:t>
                  </w:r>
                </w:p>
              </w:tc>
              <w:tc>
                <w:tcPr>
                  <w:tcW w:w="1188" w:type="dxa"/>
                  <w:vAlign w:val="center"/>
                </w:tcPr>
                <w:p>
                  <w:pPr>
                    <w:pStyle w:val="136"/>
                    <w:adjustRightInd w:val="0"/>
                    <w:snapToGrid w:val="0"/>
                  </w:pPr>
                  <w:r>
                    <w:rPr>
                      <w:rFonts w:hint="eastAsia"/>
                    </w:rPr>
                    <w:t>压缩气体</w:t>
                  </w:r>
                </w:p>
              </w:tc>
              <w:tc>
                <w:tcPr>
                  <w:tcW w:w="1188" w:type="dxa"/>
                  <w:vAlign w:val="center"/>
                </w:tcPr>
                <w:p>
                  <w:pPr>
                    <w:pStyle w:val="136"/>
                    <w:adjustRightInd w:val="0"/>
                    <w:snapToGrid w:val="0"/>
                  </w:pPr>
                  <w:r>
                    <w:t>4</w:t>
                  </w:r>
                  <w:r>
                    <w:rPr>
                      <w:rFonts w:hint="eastAsia"/>
                    </w:rPr>
                    <w:t>瓶</w:t>
                  </w:r>
                </w:p>
              </w:tc>
              <w:tc>
                <w:tcPr>
                  <w:tcW w:w="1188" w:type="dxa"/>
                  <w:vAlign w:val="center"/>
                </w:tcPr>
                <w:p>
                  <w:pPr>
                    <w:pStyle w:val="136"/>
                    <w:adjustRightInd w:val="0"/>
                    <w:snapToGrid w:val="0"/>
                  </w:pPr>
                  <w:r>
                    <w:rPr>
                      <w:rFonts w:hint="eastAsia"/>
                    </w:rPr>
                    <w:t>气瓶室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53" w:type="dxa"/>
                  <w:vAlign w:val="center"/>
                </w:tcPr>
                <w:p>
                  <w:pPr>
                    <w:pStyle w:val="136"/>
                    <w:adjustRightInd w:val="0"/>
                    <w:snapToGrid w:val="0"/>
                  </w:pPr>
                  <w:r>
                    <w:rPr>
                      <w:rFonts w:hint="eastAsia"/>
                    </w:rPr>
                    <w:t>3</w:t>
                  </w:r>
                  <w:r>
                    <w:t>4</w:t>
                  </w:r>
                </w:p>
              </w:tc>
              <w:tc>
                <w:tcPr>
                  <w:tcW w:w="1622" w:type="dxa"/>
                  <w:vAlign w:val="top"/>
                </w:tcPr>
                <w:p>
                  <w:pPr>
                    <w:pStyle w:val="136"/>
                    <w:adjustRightInd w:val="0"/>
                    <w:snapToGrid w:val="0"/>
                  </w:pPr>
                  <w:r>
                    <w:rPr>
                      <w:rFonts w:hint="eastAsia"/>
                    </w:rPr>
                    <w:t>自来水</w:t>
                  </w:r>
                </w:p>
              </w:tc>
              <w:tc>
                <w:tcPr>
                  <w:tcW w:w="1188" w:type="dxa"/>
                  <w:vAlign w:val="center"/>
                </w:tcPr>
                <w:p>
                  <w:pPr>
                    <w:pStyle w:val="136"/>
                    <w:adjustRightInd w:val="0"/>
                    <w:snapToGrid w:val="0"/>
                  </w:pPr>
                  <w:r>
                    <w:rPr>
                      <w:rFonts w:hint="eastAsia"/>
                    </w:rPr>
                    <w:t>/</w:t>
                  </w:r>
                </w:p>
              </w:tc>
              <w:tc>
                <w:tcPr>
                  <w:tcW w:w="1188" w:type="dxa"/>
                  <w:vAlign w:val="center"/>
                </w:tcPr>
                <w:p>
                  <w:pPr>
                    <w:pStyle w:val="136"/>
                    <w:adjustRightInd w:val="0"/>
                    <w:snapToGrid w:val="0"/>
                  </w:pPr>
                  <w:r>
                    <w:rPr>
                      <w:rFonts w:hint="eastAsia"/>
                    </w:rPr>
                    <w:t>/</w:t>
                  </w:r>
                </w:p>
              </w:tc>
              <w:tc>
                <w:tcPr>
                  <w:tcW w:w="1188" w:type="dxa"/>
                  <w:vAlign w:val="center"/>
                </w:tcPr>
                <w:p>
                  <w:pPr>
                    <w:pStyle w:val="136"/>
                    <w:adjustRightInd w:val="0"/>
                    <w:snapToGrid w:val="0"/>
                  </w:pPr>
                  <w:r>
                    <w:rPr>
                      <w:rFonts w:hint="eastAsia"/>
                    </w:rPr>
                    <w:t>液体</w:t>
                  </w:r>
                </w:p>
              </w:tc>
              <w:tc>
                <w:tcPr>
                  <w:tcW w:w="1188" w:type="dxa"/>
                  <w:vAlign w:val="center"/>
                </w:tcPr>
                <w:p>
                  <w:pPr>
                    <w:pStyle w:val="136"/>
                    <w:adjustRightInd w:val="0"/>
                    <w:snapToGrid w:val="0"/>
                  </w:pPr>
                  <w:r>
                    <w:rPr>
                      <w:rFonts w:hint="eastAsia"/>
                    </w:rPr>
                    <w:t>6</w:t>
                  </w:r>
                  <w:r>
                    <w:t>94.98</w:t>
                  </w:r>
                </w:p>
              </w:tc>
              <w:tc>
                <w:tcPr>
                  <w:tcW w:w="1188" w:type="dxa"/>
                  <w:vAlign w:val="center"/>
                </w:tcPr>
                <w:p>
                  <w:pPr>
                    <w:pStyle w:val="136"/>
                    <w:adjustRightInd w:val="0"/>
                    <w:snapToGrid w:val="0"/>
                  </w:pPr>
                  <w:r>
                    <w:rPr>
                      <w:rFonts w:hint="eastAsia"/>
                    </w:rPr>
                    <w:t>/</w:t>
                  </w:r>
                </w:p>
              </w:tc>
            </w:tr>
          </w:tbl>
          <w:p>
            <w:pPr>
              <w:ind w:firstLine="480"/>
            </w:pPr>
            <w:r>
              <w:rPr>
                <w:rFonts w:hint="eastAsia"/>
              </w:rPr>
              <w:t>主要原辅材料成分及特性见下表：</w:t>
            </w:r>
          </w:p>
          <w:p>
            <w:pPr>
              <w:pStyle w:val="157"/>
            </w:pPr>
            <w:r>
              <w:rPr>
                <w:rFonts w:hint="eastAsia"/>
              </w:rPr>
              <w:t>表2</w:t>
            </w:r>
            <w:r>
              <w:t xml:space="preserve">.1-7  </w:t>
            </w:r>
            <w:r>
              <w:rPr>
                <w:rFonts w:hint="eastAsia"/>
              </w:rPr>
              <w:t>本项目主要原辅材料成分及特性一览表</w:t>
            </w:r>
          </w:p>
          <w:tbl>
            <w:tblPr>
              <w:tblStyle w:val="19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58"/>
              <w:gridCol w:w="1049"/>
              <w:gridCol w:w="63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406" w:type="pct"/>
                  <w:vAlign w:val="center"/>
                </w:tcPr>
                <w:p>
                  <w:pPr>
                    <w:pStyle w:val="136"/>
                    <w:adjustRightInd w:val="0"/>
                    <w:snapToGrid w:val="0"/>
                    <w:rPr>
                      <w:b/>
                      <w:bCs/>
                    </w:rPr>
                  </w:pPr>
                  <w:r>
                    <w:rPr>
                      <w:rFonts w:hint="eastAsia"/>
                      <w:b/>
                      <w:bCs/>
                    </w:rPr>
                    <w:t>序号</w:t>
                  </w:r>
                </w:p>
              </w:tc>
              <w:tc>
                <w:tcPr>
                  <w:tcW w:w="647" w:type="pct"/>
                  <w:vAlign w:val="center"/>
                </w:tcPr>
                <w:p>
                  <w:pPr>
                    <w:pStyle w:val="136"/>
                    <w:adjustRightInd w:val="0"/>
                    <w:snapToGrid w:val="0"/>
                    <w:rPr>
                      <w:b/>
                      <w:bCs/>
                    </w:rPr>
                  </w:pPr>
                  <w:r>
                    <w:rPr>
                      <w:rFonts w:hint="eastAsia"/>
                      <w:b/>
                      <w:bCs/>
                    </w:rPr>
                    <w:t>名称</w:t>
                  </w:r>
                </w:p>
              </w:tc>
              <w:tc>
                <w:tcPr>
                  <w:tcW w:w="3947" w:type="pct"/>
                  <w:vAlign w:val="center"/>
                </w:tcPr>
                <w:p>
                  <w:pPr>
                    <w:pStyle w:val="136"/>
                    <w:adjustRightInd w:val="0"/>
                    <w:snapToGrid w:val="0"/>
                    <w:rPr>
                      <w:b/>
                      <w:bCs/>
                    </w:rPr>
                  </w:pPr>
                  <w:r>
                    <w:rPr>
                      <w:rFonts w:hint="eastAsia"/>
                      <w:b/>
                      <w:bCs/>
                    </w:rPr>
                    <w:t>成分及特性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406" w:type="pct"/>
                  <w:vAlign w:val="center"/>
                </w:tcPr>
                <w:p>
                  <w:pPr>
                    <w:pStyle w:val="136"/>
                    <w:adjustRightInd w:val="0"/>
                    <w:snapToGrid w:val="0"/>
                  </w:pPr>
                  <w:r>
                    <w:rPr>
                      <w:rFonts w:hint="eastAsia"/>
                    </w:rPr>
                    <w:t>1</w:t>
                  </w:r>
                </w:p>
              </w:tc>
              <w:tc>
                <w:tcPr>
                  <w:tcW w:w="647" w:type="pct"/>
                  <w:vAlign w:val="center"/>
                </w:tcPr>
                <w:p>
                  <w:pPr>
                    <w:pStyle w:val="136"/>
                    <w:adjustRightInd w:val="0"/>
                    <w:snapToGrid w:val="0"/>
                  </w:pPr>
                  <w:r>
                    <w:rPr>
                      <w:rFonts w:hint="eastAsia"/>
                    </w:rPr>
                    <w:t>浓硫酸（9</w:t>
                  </w:r>
                  <w:r>
                    <w:t>8</w:t>
                  </w:r>
                  <w:r>
                    <w:rPr>
                      <w:rFonts w:hint="eastAsia"/>
                    </w:rPr>
                    <w:t>%）</w:t>
                  </w:r>
                </w:p>
              </w:tc>
              <w:tc>
                <w:tcPr>
                  <w:tcW w:w="3947" w:type="pct"/>
                  <w:vAlign w:val="center"/>
                </w:tcPr>
                <w:p>
                  <w:pPr>
                    <w:pStyle w:val="136"/>
                    <w:adjustRightInd w:val="0"/>
                    <w:snapToGrid w:val="0"/>
                    <w:jc w:val="both"/>
                  </w:pPr>
                  <w:r>
                    <w:rPr>
                      <w:rFonts w:hint="eastAsia"/>
                    </w:rPr>
                    <w:t>化学式</w:t>
                  </w:r>
                  <w:r>
                    <w:t>H</w:t>
                  </w:r>
                  <w:r>
                    <w:rPr>
                      <w:vertAlign w:val="subscript"/>
                    </w:rPr>
                    <w:t>2</w:t>
                  </w:r>
                  <w:r>
                    <w:t>SO</w:t>
                  </w:r>
                  <w:r>
                    <w:rPr>
                      <w:vertAlign w:val="subscript"/>
                    </w:rPr>
                    <w:t>4</w:t>
                  </w:r>
                  <w:r>
                    <w:rPr>
                      <w:rFonts w:hint="eastAsia"/>
                    </w:rPr>
                    <w:t>，无水硫酸为无色油状液体，能与水以任意比例互溶，同时放出大量的热，使水沸腾。熔点</w:t>
                  </w:r>
                  <w:r>
                    <w:t>10.37</w:t>
                  </w:r>
                  <w:r>
                    <w:rPr>
                      <w:rFonts w:hint="eastAsia"/>
                    </w:rPr>
                    <w:t>℃，沸点</w:t>
                  </w:r>
                  <w:r>
                    <w:t>337</w:t>
                  </w:r>
                  <w:r>
                    <w:rPr>
                      <w:rFonts w:hint="eastAsia"/>
                    </w:rPr>
                    <w:t>℃，密度</w:t>
                  </w:r>
                  <w:r>
                    <w:t>1.84g/cm</w:t>
                  </w:r>
                  <w:r>
                    <w:rPr>
                      <w:vertAlign w:val="superscript"/>
                    </w:rPr>
                    <w:t>3</w:t>
                  </w:r>
                  <w:r>
                    <w:rPr>
                      <w:rFonts w:hint="eastAsia"/>
                    </w:rPr>
                    <w:t>，具有脱水性、强氧化性、吸水性、难挥发性等性质，常用作化学试剂，在有机合成中用作脱水剂和磺化剂。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406" w:type="pct"/>
                  <w:vAlign w:val="center"/>
                </w:tcPr>
                <w:p>
                  <w:pPr>
                    <w:pStyle w:val="136"/>
                    <w:adjustRightInd w:val="0"/>
                    <w:snapToGrid w:val="0"/>
                  </w:pPr>
                  <w:r>
                    <w:rPr>
                      <w:rFonts w:hint="eastAsia"/>
                    </w:rPr>
                    <w:t>2</w:t>
                  </w:r>
                </w:p>
              </w:tc>
              <w:tc>
                <w:tcPr>
                  <w:tcW w:w="647" w:type="pct"/>
                  <w:vAlign w:val="center"/>
                </w:tcPr>
                <w:p>
                  <w:pPr>
                    <w:pStyle w:val="136"/>
                    <w:adjustRightInd w:val="0"/>
                    <w:snapToGrid w:val="0"/>
                  </w:pPr>
                  <w:r>
                    <w:rPr>
                      <w:rFonts w:hint="eastAsia"/>
                    </w:rPr>
                    <w:t>盐酸（3</w:t>
                  </w:r>
                  <w:r>
                    <w:t>8</w:t>
                  </w:r>
                  <w:r>
                    <w:rPr>
                      <w:rFonts w:hint="eastAsia"/>
                    </w:rPr>
                    <w:t>%）</w:t>
                  </w:r>
                </w:p>
              </w:tc>
              <w:tc>
                <w:tcPr>
                  <w:tcW w:w="3947" w:type="pct"/>
                  <w:vAlign w:val="center"/>
                </w:tcPr>
                <w:p>
                  <w:pPr>
                    <w:pStyle w:val="136"/>
                    <w:adjustRightInd w:val="0"/>
                    <w:snapToGrid w:val="0"/>
                    <w:jc w:val="both"/>
                  </w:pPr>
                  <w:r>
                    <w:rPr>
                      <w:rFonts w:hint="eastAsia"/>
                    </w:rPr>
                    <w:t>分子式</w:t>
                  </w:r>
                  <w:r>
                    <w:t>HCl</w:t>
                  </w:r>
                  <w:r>
                    <w:rPr>
                      <w:rFonts w:hint="eastAsia"/>
                    </w:rPr>
                    <w:t>，无色液体，有腐蚀性，为氯化氢的水溶液，具有刺激性气味。熔点</w:t>
                  </w:r>
                  <w:r>
                    <w:t>-27.32</w:t>
                  </w:r>
                  <w:r>
                    <w:rPr>
                      <w:rFonts w:hint="eastAsia"/>
                    </w:rPr>
                    <w:t>℃，沸点</w:t>
                  </w:r>
                  <w:r>
                    <w:t>48</w:t>
                  </w:r>
                  <w:r>
                    <w:rPr>
                      <w:rFonts w:hint="eastAsia"/>
                    </w:rPr>
                    <w:t>℃，相对密度</w:t>
                  </w:r>
                  <w:r>
                    <w:t>1.189g/cm</w:t>
                  </w:r>
                  <w:r>
                    <w:rPr>
                      <w:vertAlign w:val="superscript"/>
                    </w:rPr>
                    <w:t>3</w:t>
                  </w:r>
                  <w:r>
                    <w:rPr>
                      <w:rFonts w:hint="eastAsia"/>
                    </w:rPr>
                    <w:t>，与水溶，盐酸溶于水有热量放出。溶于碱液并与碱液发生中和反应。能与乙醇任意混溶，氯化氢能溶于苯。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406" w:type="pct"/>
                  <w:vAlign w:val="center"/>
                </w:tcPr>
                <w:p>
                  <w:pPr>
                    <w:pStyle w:val="136"/>
                    <w:adjustRightInd w:val="0"/>
                    <w:snapToGrid w:val="0"/>
                  </w:pPr>
                  <w:r>
                    <w:rPr>
                      <w:rFonts w:hint="eastAsia"/>
                    </w:rPr>
                    <w:t>3</w:t>
                  </w:r>
                </w:p>
              </w:tc>
              <w:tc>
                <w:tcPr>
                  <w:tcW w:w="647" w:type="pct"/>
                  <w:vAlign w:val="center"/>
                </w:tcPr>
                <w:p>
                  <w:pPr>
                    <w:pStyle w:val="136"/>
                    <w:adjustRightInd w:val="0"/>
                    <w:snapToGrid w:val="0"/>
                  </w:pPr>
                  <w:r>
                    <w:rPr>
                      <w:rFonts w:hint="eastAsia"/>
                    </w:rPr>
                    <w:t>浓硝酸（6</w:t>
                  </w:r>
                  <w:r>
                    <w:t>8</w:t>
                  </w:r>
                  <w:r>
                    <w:rPr>
                      <w:rFonts w:hint="eastAsia"/>
                    </w:rPr>
                    <w:t>%）</w:t>
                  </w:r>
                </w:p>
              </w:tc>
              <w:tc>
                <w:tcPr>
                  <w:tcW w:w="3947" w:type="pct"/>
                  <w:vAlign w:val="center"/>
                </w:tcPr>
                <w:p>
                  <w:pPr>
                    <w:pStyle w:val="136"/>
                    <w:adjustRightInd w:val="0"/>
                    <w:snapToGrid w:val="0"/>
                    <w:jc w:val="both"/>
                  </w:pPr>
                  <w:r>
                    <w:rPr>
                      <w:rFonts w:hint="eastAsia"/>
                    </w:rPr>
                    <w:t>化学式</w:t>
                  </w:r>
                  <w:r>
                    <w:t>HNO</w:t>
                  </w:r>
                  <w:r>
                    <w:rPr>
                      <w:vertAlign w:val="subscript"/>
                    </w:rPr>
                    <w:t>3</w:t>
                  </w:r>
                  <w:r>
                    <w:rPr>
                      <w:rFonts w:hint="eastAsia"/>
                    </w:rPr>
                    <w:t>，无色液体，易溶于水，不同浓度水溶液性质有別。有窒息性刺激气味。熔点</w:t>
                  </w:r>
                  <w:r>
                    <w:t>-42</w:t>
                  </w:r>
                  <w:r>
                    <w:rPr>
                      <w:rFonts w:hint="eastAsia"/>
                    </w:rPr>
                    <w:t>℃，沸点</w:t>
                  </w:r>
                  <w:r>
                    <w:t>83</w:t>
                  </w:r>
                  <w:r>
                    <w:rPr>
                      <w:rFonts w:hint="eastAsia"/>
                    </w:rPr>
                    <w:t>℃，密度</w:t>
                  </w:r>
                  <w:r>
                    <w:t>1.41g/cm</w:t>
                  </w:r>
                  <w:r>
                    <w:rPr>
                      <w:vertAlign w:val="superscript"/>
                    </w:rPr>
                    <w:t>3</w:t>
                  </w:r>
                  <w:r>
                    <w:rPr>
                      <w:rFonts w:hint="eastAsia"/>
                    </w:rPr>
                    <w:t>。有强氧化性、腐蚀性，实验室常用试剂。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406" w:type="pct"/>
                  <w:vAlign w:val="center"/>
                </w:tcPr>
                <w:p>
                  <w:pPr>
                    <w:pStyle w:val="136"/>
                    <w:adjustRightInd w:val="0"/>
                    <w:snapToGrid w:val="0"/>
                  </w:pPr>
                  <w:r>
                    <w:rPr>
                      <w:rFonts w:hint="eastAsia"/>
                    </w:rPr>
                    <w:t>4</w:t>
                  </w:r>
                </w:p>
              </w:tc>
              <w:tc>
                <w:tcPr>
                  <w:tcW w:w="647" w:type="pct"/>
                  <w:vAlign w:val="center"/>
                </w:tcPr>
                <w:p>
                  <w:pPr>
                    <w:pStyle w:val="136"/>
                    <w:adjustRightInd w:val="0"/>
                    <w:snapToGrid w:val="0"/>
                  </w:pPr>
                  <w:r>
                    <w:rPr>
                      <w:rFonts w:hint="eastAsia"/>
                    </w:rPr>
                    <w:t>冰醋酸</w:t>
                  </w:r>
                </w:p>
              </w:tc>
              <w:tc>
                <w:tcPr>
                  <w:tcW w:w="3947" w:type="pct"/>
                  <w:vAlign w:val="center"/>
                </w:tcPr>
                <w:p>
                  <w:pPr>
                    <w:pStyle w:val="136"/>
                    <w:adjustRightInd w:val="0"/>
                    <w:snapToGrid w:val="0"/>
                    <w:jc w:val="both"/>
                  </w:pPr>
                  <w:r>
                    <w:t>化学式CH</w:t>
                  </w:r>
                  <w:r>
                    <w:rPr>
                      <w:vertAlign w:val="subscript"/>
                    </w:rPr>
                    <w:t>3</w:t>
                  </w:r>
                  <w:r>
                    <w:t>COOH，是一种有机一元酸，为食醋主要成分。纯的无水乙酸（冰醋酸）是无色的吸湿性液体，凝固点为16.6℃（62℉），凝固后为无色晶体，其水溶液中弱酸性且腐蚀性强，对金属有强烈腐蚀性，蒸汽对眼和鼻有刺激性作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406" w:type="pct"/>
                  <w:vAlign w:val="center"/>
                </w:tcPr>
                <w:p>
                  <w:pPr>
                    <w:pStyle w:val="136"/>
                    <w:adjustRightInd w:val="0"/>
                    <w:snapToGrid w:val="0"/>
                  </w:pPr>
                  <w:r>
                    <w:rPr>
                      <w:rFonts w:hint="eastAsia"/>
                    </w:rPr>
                    <w:t>5</w:t>
                  </w:r>
                </w:p>
              </w:tc>
              <w:tc>
                <w:tcPr>
                  <w:tcW w:w="647" w:type="pct"/>
                  <w:vAlign w:val="center"/>
                </w:tcPr>
                <w:p>
                  <w:pPr>
                    <w:pStyle w:val="136"/>
                    <w:adjustRightInd w:val="0"/>
                    <w:snapToGrid w:val="0"/>
                  </w:pPr>
                  <w:r>
                    <w:rPr>
                      <w:rFonts w:hint="eastAsia"/>
                    </w:rPr>
                    <w:t>柠檬酸</w:t>
                  </w:r>
                </w:p>
              </w:tc>
              <w:tc>
                <w:tcPr>
                  <w:tcW w:w="3947" w:type="pct"/>
                  <w:vAlign w:val="center"/>
                </w:tcPr>
                <w:p>
                  <w:pPr>
                    <w:pStyle w:val="136"/>
                    <w:adjustRightInd w:val="0"/>
                    <w:snapToGrid w:val="0"/>
                    <w:jc w:val="both"/>
                  </w:pPr>
                  <w:r>
                    <w:t>分子式为C</w:t>
                  </w:r>
                  <w:r>
                    <w:rPr>
                      <w:vertAlign w:val="subscript"/>
                    </w:rPr>
                    <w:t>6</w:t>
                  </w:r>
                  <w:r>
                    <w:t>H</w:t>
                  </w:r>
                  <w:r>
                    <w:rPr>
                      <w:vertAlign w:val="subscript"/>
                    </w:rPr>
                    <w:t>8</w:t>
                  </w:r>
                  <w:r>
                    <w:t>O</w:t>
                  </w:r>
                  <w:r>
                    <w:rPr>
                      <w:vertAlign w:val="subscript"/>
                    </w:rPr>
                    <w:t>7</w:t>
                  </w:r>
                  <w:r>
                    <w:t>，是一种重要的</w:t>
                  </w:r>
                  <w:r>
                    <w:fldChar w:fldCharType="begin"/>
                  </w:r>
                  <w:r>
                    <w:instrText xml:space="preserve"> HYPERLINK "https://baike.baidu.com/item/%E6%9C%89%E6%9C%BA%E9%85%B8/8073143?fromModule=lemma_inlink" \t "_blank" </w:instrText>
                  </w:r>
                  <w:r>
                    <w:fldChar w:fldCharType="separate"/>
                  </w:r>
                  <w:r>
                    <w:rPr>
                      <w:rStyle w:val="42"/>
                    </w:rPr>
                    <w:t>有机酸</w:t>
                  </w:r>
                  <w:r>
                    <w:fldChar w:fldCharType="end"/>
                  </w:r>
                  <w:r>
                    <w:t>，为无色</w:t>
                  </w:r>
                  <w:r>
                    <w:fldChar w:fldCharType="begin"/>
                  </w:r>
                  <w:r>
                    <w:instrText xml:space="preserve"> HYPERLINK "https://baike.baidu.com/item/%E6%99%B6%E4%BD%93/944670?fromModule=lemma_inlink" \t "_blank" </w:instrText>
                  </w:r>
                  <w:r>
                    <w:fldChar w:fldCharType="separate"/>
                  </w:r>
                  <w:r>
                    <w:rPr>
                      <w:rStyle w:val="42"/>
                    </w:rPr>
                    <w:t>晶体</w:t>
                  </w:r>
                  <w:r>
                    <w:rPr>
                      <w:rStyle w:val="42"/>
                    </w:rPr>
                    <w:fldChar w:fldCharType="end"/>
                  </w:r>
                  <w:r>
                    <w:t>，无臭，有很强的酸味，易溶于水</w:t>
                  </w:r>
                  <w:r>
                    <w:rPr>
                      <w:rFonts w:hint="eastAsia"/>
                    </w:rPr>
                    <w:t>。在室温下，柠檬酸为白色结晶性粉末，密度1.542g/cm</w:t>
                  </w:r>
                  <w:r>
                    <w:rPr>
                      <w:rFonts w:hint="eastAsia"/>
                      <w:vertAlign w:val="superscript"/>
                    </w:rPr>
                    <w:t>3</w:t>
                  </w:r>
                  <w:r>
                    <w:rPr>
                      <w:rFonts w:hint="eastAsia"/>
                    </w:rPr>
                    <w:t>，熔点153-159℃，175℃以上分解释放出水及二氧化碳。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406" w:type="pct"/>
                  <w:vAlign w:val="center"/>
                </w:tcPr>
                <w:p>
                  <w:pPr>
                    <w:pStyle w:val="136"/>
                    <w:adjustRightInd w:val="0"/>
                    <w:snapToGrid w:val="0"/>
                  </w:pPr>
                  <w:r>
                    <w:rPr>
                      <w:rFonts w:hint="eastAsia"/>
                    </w:rPr>
                    <w:t>6</w:t>
                  </w:r>
                </w:p>
              </w:tc>
              <w:tc>
                <w:tcPr>
                  <w:tcW w:w="647" w:type="pct"/>
                  <w:vAlign w:val="center"/>
                </w:tcPr>
                <w:p>
                  <w:pPr>
                    <w:pStyle w:val="136"/>
                    <w:adjustRightInd w:val="0"/>
                    <w:snapToGrid w:val="0"/>
                  </w:pPr>
                  <w:r>
                    <w:rPr>
                      <w:rFonts w:hint="eastAsia"/>
                    </w:rPr>
                    <w:t>抗坏血酸（维生素C）</w:t>
                  </w:r>
                </w:p>
              </w:tc>
              <w:tc>
                <w:tcPr>
                  <w:tcW w:w="3947" w:type="pct"/>
                  <w:vAlign w:val="center"/>
                </w:tcPr>
                <w:p>
                  <w:pPr>
                    <w:pStyle w:val="136"/>
                    <w:adjustRightInd w:val="0"/>
                    <w:snapToGrid w:val="0"/>
                    <w:jc w:val="both"/>
                  </w:pPr>
                  <w:r>
                    <w:t>维生素C为白色粉末，分子量为176.12，通常是片状，有时是针状的单斜晶体。无臭，味酸，易溶于水，微溶于乙醇，不溶于乙醚，氯仿、石油醚等有机溶剂。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406" w:type="pct"/>
                  <w:vAlign w:val="center"/>
                </w:tcPr>
                <w:p>
                  <w:pPr>
                    <w:pStyle w:val="136"/>
                    <w:adjustRightInd w:val="0"/>
                    <w:snapToGrid w:val="0"/>
                  </w:pPr>
                  <w:r>
                    <w:rPr>
                      <w:rFonts w:hint="eastAsia"/>
                    </w:rPr>
                    <w:t>7</w:t>
                  </w:r>
                </w:p>
              </w:tc>
              <w:tc>
                <w:tcPr>
                  <w:tcW w:w="647" w:type="pct"/>
                  <w:vAlign w:val="center"/>
                </w:tcPr>
                <w:p>
                  <w:pPr>
                    <w:pStyle w:val="136"/>
                    <w:adjustRightInd w:val="0"/>
                    <w:snapToGrid w:val="0"/>
                  </w:pPr>
                  <w:r>
                    <w:rPr>
                      <w:rFonts w:hint="eastAsia"/>
                    </w:rPr>
                    <w:t>异烟酸</w:t>
                  </w:r>
                </w:p>
              </w:tc>
              <w:tc>
                <w:tcPr>
                  <w:tcW w:w="3947" w:type="pct"/>
                  <w:vAlign w:val="center"/>
                </w:tcPr>
                <w:p>
                  <w:pPr>
                    <w:pStyle w:val="136"/>
                    <w:adjustRightInd w:val="0"/>
                    <w:snapToGrid w:val="0"/>
                    <w:jc w:val="both"/>
                  </w:pPr>
                  <w:r>
                    <w:t>4-吡啶甲酸</w:t>
                  </w:r>
                  <w:r>
                    <w:rPr>
                      <w:rFonts w:hint="eastAsia"/>
                    </w:rPr>
                    <w:t>，</w:t>
                  </w:r>
                  <w:r>
                    <w:t>白色至类白色粉末</w:t>
                  </w:r>
                  <w:r>
                    <w:rPr>
                      <w:rFonts w:hint="eastAsia"/>
                    </w:rPr>
                    <w:t>，</w:t>
                  </w:r>
                  <w:r>
                    <w:t>熔点：310-315℃</w:t>
                  </w:r>
                  <w:r>
                    <w:rPr>
                      <w:rFonts w:hint="eastAsia"/>
                    </w:rPr>
                    <w:t>，</w:t>
                  </w:r>
                  <w:r>
                    <w:t>沸点：396°C </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406" w:type="pct"/>
                  <w:vAlign w:val="center"/>
                </w:tcPr>
                <w:p>
                  <w:pPr>
                    <w:pStyle w:val="136"/>
                    <w:adjustRightInd w:val="0"/>
                    <w:snapToGrid w:val="0"/>
                  </w:pPr>
                  <w:r>
                    <w:rPr>
                      <w:rFonts w:hint="eastAsia"/>
                    </w:rPr>
                    <w:t>8</w:t>
                  </w:r>
                </w:p>
              </w:tc>
              <w:tc>
                <w:tcPr>
                  <w:tcW w:w="647" w:type="pct"/>
                  <w:vAlign w:val="center"/>
                </w:tcPr>
                <w:p>
                  <w:pPr>
                    <w:pStyle w:val="136"/>
                    <w:adjustRightInd w:val="0"/>
                    <w:snapToGrid w:val="0"/>
                  </w:pPr>
                  <w:r>
                    <w:rPr>
                      <w:rFonts w:hint="eastAsia"/>
                    </w:rPr>
                    <w:t>氢氧化钠</w:t>
                  </w:r>
                </w:p>
              </w:tc>
              <w:tc>
                <w:tcPr>
                  <w:tcW w:w="3947" w:type="pct"/>
                  <w:vAlign w:val="center"/>
                </w:tcPr>
                <w:p>
                  <w:pPr>
                    <w:pStyle w:val="136"/>
                    <w:adjustRightInd w:val="0"/>
                    <w:snapToGrid w:val="0"/>
                    <w:jc w:val="both"/>
                  </w:pPr>
                  <w:r>
                    <w:rPr>
                      <w:rFonts w:hint="eastAsia"/>
                    </w:rPr>
                    <w:t>化学式为</w:t>
                  </w:r>
                  <w:r>
                    <w:t>NaOH</w:t>
                  </w:r>
                  <w:r>
                    <w:rPr>
                      <w:rFonts w:hint="eastAsia"/>
                    </w:rPr>
                    <w:t>，俗称烧碱、火碱、苛性钠，为一种具有很强腐蚀性的强碱，一般为片状或颗粒形态，易溶于水（溶于水时放热）并形成碱性溶液，另有潮解性，易吸取空气中的水蒸气。密度</w:t>
                  </w:r>
                  <w:r>
                    <w:t>2.130g/cm</w:t>
                  </w:r>
                  <w:r>
                    <w:rPr>
                      <w:vertAlign w:val="superscript"/>
                    </w:rPr>
                    <w:t>3</w:t>
                  </w:r>
                  <w:r>
                    <w:rPr>
                      <w:rFonts w:hint="eastAsia"/>
                    </w:rPr>
                    <w:t>，熔点</w:t>
                  </w:r>
                  <w:r>
                    <w:t>318.4</w:t>
                  </w:r>
                  <w:r>
                    <w:rPr>
                      <w:rFonts w:hint="eastAsia"/>
                    </w:rPr>
                    <w:t>℃，沸点</w:t>
                  </w:r>
                  <w:r>
                    <w:t>1390</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406" w:type="pct"/>
                  <w:vAlign w:val="center"/>
                </w:tcPr>
                <w:p>
                  <w:pPr>
                    <w:pStyle w:val="136"/>
                    <w:adjustRightInd w:val="0"/>
                    <w:snapToGrid w:val="0"/>
                  </w:pPr>
                  <w:r>
                    <w:rPr>
                      <w:rFonts w:hint="eastAsia"/>
                    </w:rPr>
                    <w:t>9</w:t>
                  </w:r>
                </w:p>
              </w:tc>
              <w:tc>
                <w:tcPr>
                  <w:tcW w:w="647" w:type="pct"/>
                  <w:vAlign w:val="center"/>
                </w:tcPr>
                <w:p>
                  <w:pPr>
                    <w:pStyle w:val="136"/>
                    <w:adjustRightInd w:val="0"/>
                    <w:snapToGrid w:val="0"/>
                  </w:pPr>
                  <w:r>
                    <w:rPr>
                      <w:rFonts w:hint="eastAsia"/>
                    </w:rPr>
                    <w:t>碘化钾</w:t>
                  </w:r>
                </w:p>
              </w:tc>
              <w:tc>
                <w:tcPr>
                  <w:tcW w:w="3947" w:type="pct"/>
                  <w:vAlign w:val="center"/>
                </w:tcPr>
                <w:p>
                  <w:pPr>
                    <w:pStyle w:val="136"/>
                    <w:adjustRightInd w:val="0"/>
                    <w:snapToGrid w:val="0"/>
                    <w:jc w:val="both"/>
                  </w:pPr>
                  <w:r>
                    <w:rPr>
                      <w:rFonts w:hint="eastAsia"/>
                    </w:rPr>
                    <w:t>化学式为KCl，</w:t>
                  </w:r>
                  <w:r>
                    <w:t>白色晶体，味极咸，无臭无毒性。易溶于水、醚、甘油及碱类，微溶于乙醇，但不溶于无水乙醇</w:t>
                  </w:r>
                  <w:r>
                    <w:rPr>
                      <w:rFonts w:hint="eastAsia"/>
                    </w:rPr>
                    <w:t>。密度</w:t>
                  </w:r>
                  <w:r>
                    <w:t>1.98g/cm</w:t>
                  </w:r>
                  <w:r>
                    <w:rPr>
                      <w:vertAlign w:val="superscript"/>
                    </w:rPr>
                    <w:t>3</w:t>
                  </w:r>
                  <w:r>
                    <w:rPr>
                      <w:rFonts w:hint="eastAsia"/>
                    </w:rPr>
                    <w:t>，熔点</w:t>
                  </w:r>
                  <w:r>
                    <w:t>770</w:t>
                  </w:r>
                  <w:r>
                    <w:rPr>
                      <w:rFonts w:hint="eastAsia"/>
                    </w:rPr>
                    <w:t>℃，沸点</w:t>
                  </w:r>
                  <w:r>
                    <w:t>1420</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406" w:type="pct"/>
                  <w:vAlign w:val="center"/>
                </w:tcPr>
                <w:p>
                  <w:pPr>
                    <w:pStyle w:val="136"/>
                    <w:adjustRightInd w:val="0"/>
                    <w:snapToGrid w:val="0"/>
                  </w:pPr>
                  <w:r>
                    <w:rPr>
                      <w:rFonts w:hint="eastAsia"/>
                    </w:rPr>
                    <w:t>1</w:t>
                  </w:r>
                  <w:r>
                    <w:t>0</w:t>
                  </w:r>
                </w:p>
              </w:tc>
              <w:tc>
                <w:tcPr>
                  <w:tcW w:w="647" w:type="pct"/>
                  <w:vAlign w:val="center"/>
                </w:tcPr>
                <w:p>
                  <w:pPr>
                    <w:pStyle w:val="136"/>
                    <w:adjustRightInd w:val="0"/>
                    <w:snapToGrid w:val="0"/>
                  </w:pPr>
                  <w:r>
                    <w:rPr>
                      <w:rFonts w:hint="eastAsia"/>
                    </w:rPr>
                    <w:t>高锰酸钾</w:t>
                  </w:r>
                </w:p>
              </w:tc>
              <w:tc>
                <w:tcPr>
                  <w:tcW w:w="3947" w:type="pct"/>
                  <w:vAlign w:val="center"/>
                </w:tcPr>
                <w:p>
                  <w:pPr>
                    <w:pStyle w:val="136"/>
                    <w:adjustRightInd w:val="0"/>
                    <w:snapToGrid w:val="0"/>
                    <w:jc w:val="both"/>
                  </w:pPr>
                  <w:r>
                    <w:rPr>
                      <w:rFonts w:hint="eastAsia"/>
                    </w:rPr>
                    <w:t>化学式</w:t>
                  </w:r>
                  <w:r>
                    <w:t>KMnO</w:t>
                  </w:r>
                  <w:r>
                    <w:rPr>
                      <w:vertAlign w:val="subscript"/>
                    </w:rPr>
                    <w:t>4</w:t>
                  </w:r>
                  <w:r>
                    <w:rPr>
                      <w:rFonts w:hint="eastAsia"/>
                    </w:rPr>
                    <w:t>，强氧化剂，紫红色晶体，可溶于水，遇乙醇即被还原。与皮肤接触可腐蚀皮肤产生棕色染色；粉末散布于空气中有强烈刺激性。尿液、二氧化硫等可使其褪色。与较活泼金属粉末混合后有强烈燃烧性，危险。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406" w:type="pct"/>
                  <w:vAlign w:val="center"/>
                </w:tcPr>
                <w:p>
                  <w:pPr>
                    <w:pStyle w:val="136"/>
                    <w:adjustRightInd w:val="0"/>
                    <w:snapToGrid w:val="0"/>
                  </w:pPr>
                  <w:r>
                    <w:rPr>
                      <w:rFonts w:hint="eastAsia"/>
                    </w:rPr>
                    <w:t>1</w:t>
                  </w:r>
                  <w:r>
                    <w:t>1</w:t>
                  </w:r>
                </w:p>
              </w:tc>
              <w:tc>
                <w:tcPr>
                  <w:tcW w:w="647" w:type="pct"/>
                  <w:vAlign w:val="center"/>
                </w:tcPr>
                <w:p>
                  <w:pPr>
                    <w:pStyle w:val="136"/>
                    <w:adjustRightInd w:val="0"/>
                    <w:snapToGrid w:val="0"/>
                  </w:pPr>
                  <w:r>
                    <w:rPr>
                      <w:rFonts w:hint="eastAsia"/>
                    </w:rPr>
                    <w:t>邻苯二甲酸氢钾</w:t>
                  </w:r>
                </w:p>
              </w:tc>
              <w:tc>
                <w:tcPr>
                  <w:tcW w:w="3947" w:type="pct"/>
                  <w:vAlign w:val="center"/>
                </w:tcPr>
                <w:p>
                  <w:pPr>
                    <w:pStyle w:val="136"/>
                    <w:adjustRightInd w:val="0"/>
                    <w:snapToGrid w:val="0"/>
                    <w:jc w:val="both"/>
                  </w:pPr>
                  <w:r>
                    <w:rPr>
                      <w:rFonts w:hint="eastAsia"/>
                    </w:rPr>
                    <w:t>分子式</w:t>
                  </w:r>
                  <w:r>
                    <w:t>HOOCC</w:t>
                  </w:r>
                  <w:r>
                    <w:rPr>
                      <w:vertAlign w:val="subscript"/>
                    </w:rPr>
                    <w:t>6</w:t>
                  </w:r>
                  <w:r>
                    <w:t>H</w:t>
                  </w:r>
                  <w:r>
                    <w:rPr>
                      <w:vertAlign w:val="subscript"/>
                    </w:rPr>
                    <w:t>4</w:t>
                  </w:r>
                  <w:r>
                    <w:t>COOK</w:t>
                  </w:r>
                  <w:r>
                    <w:rPr>
                      <w:rFonts w:hint="eastAsia"/>
                    </w:rPr>
                    <w:t>，无色单斜结晶或白色结晶性粉末。在空气中稳定能溶于水，微溶于醇。溶于约</w:t>
                  </w:r>
                  <w:r>
                    <w:t>12</w:t>
                  </w:r>
                  <w:r>
                    <w:rPr>
                      <w:rFonts w:hint="eastAsia"/>
                    </w:rPr>
                    <w:t>份冷水、</w:t>
                  </w:r>
                  <w:r>
                    <w:t>3</w:t>
                  </w:r>
                  <w:r>
                    <w:rPr>
                      <w:rFonts w:hint="eastAsia"/>
                    </w:rPr>
                    <w:t>份沸水，微溶于乙醇。用于滴定分析中的基准物质，用作制备标准碱溶液的基准试剂和测定</w:t>
                  </w:r>
                  <w:r>
                    <w:t xml:space="preserve">pH </w:t>
                  </w:r>
                  <w:r>
                    <w:rPr>
                      <w:rFonts w:hint="eastAsia"/>
                    </w:rPr>
                    <w:t>值的缓冲剂。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406" w:type="pct"/>
                  <w:vAlign w:val="center"/>
                </w:tcPr>
                <w:p>
                  <w:pPr>
                    <w:pStyle w:val="136"/>
                    <w:adjustRightInd w:val="0"/>
                    <w:snapToGrid w:val="0"/>
                  </w:pPr>
                  <w:r>
                    <w:rPr>
                      <w:rFonts w:hint="eastAsia"/>
                    </w:rPr>
                    <w:t>1</w:t>
                  </w:r>
                  <w:r>
                    <w:t>2</w:t>
                  </w:r>
                </w:p>
              </w:tc>
              <w:tc>
                <w:tcPr>
                  <w:tcW w:w="647" w:type="pct"/>
                  <w:vAlign w:val="center"/>
                </w:tcPr>
                <w:p>
                  <w:pPr>
                    <w:pStyle w:val="136"/>
                    <w:adjustRightInd w:val="0"/>
                    <w:snapToGrid w:val="0"/>
                  </w:pPr>
                  <w:r>
                    <w:rPr>
                      <w:rFonts w:hint="eastAsia"/>
                    </w:rPr>
                    <w:t>磷酸氢二钠</w:t>
                  </w:r>
                </w:p>
              </w:tc>
              <w:tc>
                <w:tcPr>
                  <w:tcW w:w="3947" w:type="pct"/>
                  <w:vAlign w:val="center"/>
                </w:tcPr>
                <w:p>
                  <w:pPr>
                    <w:pStyle w:val="136"/>
                    <w:adjustRightInd w:val="0"/>
                    <w:snapToGrid w:val="0"/>
                    <w:jc w:val="both"/>
                  </w:pPr>
                  <w:r>
                    <w:rPr>
                      <w:rFonts w:hint="eastAsia"/>
                    </w:rPr>
                    <w:t>分子式</w:t>
                  </w:r>
                  <w:r>
                    <w:t>Na</w:t>
                  </w:r>
                  <w:r>
                    <w:rPr>
                      <w:vertAlign w:val="subscript"/>
                    </w:rPr>
                    <w:t>2</w:t>
                  </w:r>
                  <w:r>
                    <w:t>HPO4</w:t>
                  </w:r>
                  <w:r>
                    <w:rPr>
                      <w:rFonts w:hint="eastAsia"/>
                    </w:rPr>
                    <w:t>，无色透明单斜系棱形晶体，可溶于水、不溶于醇，可用作分析试剂、缓冲剂、软水剂和印染业防火剂，还用于织物增重等。对眼睛、呼吸道和皮肤有刺激作用。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406" w:type="pct"/>
                  <w:vAlign w:val="center"/>
                </w:tcPr>
                <w:p>
                  <w:pPr>
                    <w:pStyle w:val="136"/>
                    <w:adjustRightInd w:val="0"/>
                    <w:snapToGrid w:val="0"/>
                  </w:pPr>
                  <w:r>
                    <w:rPr>
                      <w:rFonts w:hint="eastAsia"/>
                    </w:rPr>
                    <w:t>1</w:t>
                  </w:r>
                  <w:r>
                    <w:t>3</w:t>
                  </w:r>
                </w:p>
              </w:tc>
              <w:tc>
                <w:tcPr>
                  <w:tcW w:w="647" w:type="pct"/>
                  <w:vAlign w:val="center"/>
                </w:tcPr>
                <w:p>
                  <w:pPr>
                    <w:pStyle w:val="136"/>
                    <w:adjustRightInd w:val="0"/>
                    <w:snapToGrid w:val="0"/>
                  </w:pPr>
                  <w:r>
                    <w:rPr>
                      <w:rFonts w:hint="eastAsia"/>
                    </w:rPr>
                    <w:t>丙酮</w:t>
                  </w:r>
                </w:p>
              </w:tc>
              <w:tc>
                <w:tcPr>
                  <w:tcW w:w="3947" w:type="pct"/>
                  <w:vAlign w:val="center"/>
                </w:tcPr>
                <w:p>
                  <w:pPr>
                    <w:pStyle w:val="136"/>
                    <w:adjustRightInd w:val="0"/>
                    <w:snapToGrid w:val="0"/>
                    <w:jc w:val="both"/>
                  </w:pPr>
                  <w:r>
                    <w:rPr>
                      <w:rFonts w:hint="eastAsia"/>
                    </w:rPr>
                    <w:t>无色透明易流动液体，有芳香气味，极易挥发，熔点</w:t>
                  </w:r>
                  <w:r>
                    <w:t>-94.6</w:t>
                  </w:r>
                  <w:r>
                    <w:rPr>
                      <w:rFonts w:hint="eastAsia"/>
                    </w:rPr>
                    <w:t>℃，沸点为</w:t>
                  </w:r>
                  <w:r>
                    <w:t>56.5</w:t>
                  </w:r>
                  <w:r>
                    <w:rPr>
                      <w:rFonts w:hint="eastAsia"/>
                    </w:rPr>
                    <w:t>℃。相对密度（水</w:t>
                  </w:r>
                  <w:r>
                    <w:t>=1</w:t>
                  </w:r>
                  <w:r>
                    <w:rPr>
                      <w:rFonts w:hint="eastAsia"/>
                    </w:rPr>
                    <w:t>）为</w:t>
                  </w:r>
                  <w:r>
                    <w:t>0.80</w:t>
                  </w:r>
                  <w:r>
                    <w:rPr>
                      <w:rFonts w:hint="eastAsia"/>
                    </w:rPr>
                    <w:t>，与水混溶，可混溶于乙醇、乙醚、氯仿、油类、烃类等多数有机溶剂，极度易燃，具有刺激性。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406" w:type="pct"/>
                  <w:vAlign w:val="center"/>
                </w:tcPr>
                <w:p>
                  <w:pPr>
                    <w:pStyle w:val="136"/>
                    <w:adjustRightInd w:val="0"/>
                    <w:snapToGrid w:val="0"/>
                  </w:pPr>
                  <w:r>
                    <w:rPr>
                      <w:rFonts w:hint="eastAsia"/>
                    </w:rPr>
                    <w:t>1</w:t>
                  </w:r>
                  <w:r>
                    <w:t>4</w:t>
                  </w:r>
                </w:p>
              </w:tc>
              <w:tc>
                <w:tcPr>
                  <w:tcW w:w="647" w:type="pct"/>
                  <w:vAlign w:val="center"/>
                </w:tcPr>
                <w:p>
                  <w:pPr>
                    <w:pStyle w:val="136"/>
                    <w:adjustRightInd w:val="0"/>
                    <w:snapToGrid w:val="0"/>
                  </w:pPr>
                  <w:r>
                    <w:rPr>
                      <w:rFonts w:hint="eastAsia"/>
                    </w:rPr>
                    <w:t>正己烷</w:t>
                  </w:r>
                </w:p>
              </w:tc>
              <w:tc>
                <w:tcPr>
                  <w:tcW w:w="3947" w:type="pct"/>
                  <w:vAlign w:val="center"/>
                </w:tcPr>
                <w:p>
                  <w:pPr>
                    <w:pStyle w:val="136"/>
                    <w:adjustRightInd w:val="0"/>
                    <w:snapToGrid w:val="0"/>
                  </w:pPr>
                  <w:r>
                    <w:t>是一种有机化合物，化学式为C</w:t>
                  </w:r>
                  <w:r>
                    <w:rPr>
                      <w:vertAlign w:val="subscript"/>
                    </w:rPr>
                    <w:t>6</w:t>
                  </w:r>
                  <w:r>
                    <w:t>H</w:t>
                  </w:r>
                  <w:r>
                    <w:rPr>
                      <w:vertAlign w:val="subscript"/>
                    </w:rPr>
                    <w:t>14</w:t>
                  </w:r>
                  <w:r>
                    <w:t>，属于直链饱和脂肪烃类，为无色液体，不溶于水，溶于乙醇、乙醚、丙酮、氯仿等多数有机溶剂，主要用作溶剂、色谱分析参比物质、涂料稀释剂、聚合反应的介质等，也可用于有机合成。主要用作溶剂、色谱分析参比物质、涂料稀释剂、聚合反应的介质等，也可用于有机合成。</w:t>
                  </w:r>
                </w:p>
              </w:tc>
            </w:tr>
          </w:tbl>
          <w:p>
            <w:pPr>
              <w:pStyle w:val="158"/>
            </w:pPr>
            <w:r>
              <w:t>8、平面布置</w:t>
            </w:r>
          </w:p>
          <w:p>
            <w:pPr>
              <w:ind w:firstLine="480"/>
            </w:pPr>
            <w:r>
              <w:t>根据建设单位提供的平面布置设计资料</w:t>
            </w:r>
            <w:r>
              <w:rPr>
                <w:rFonts w:hint="eastAsia"/>
              </w:rPr>
              <w:t>项目于办公楼4F、5F</w:t>
            </w:r>
            <w:r>
              <w:t>布置各类分析实验室</w:t>
            </w:r>
            <w:r>
              <w:rPr>
                <w:rFonts w:hint="eastAsia"/>
              </w:rPr>
              <w:t>及公辅设施</w:t>
            </w:r>
            <w:r>
              <w:t>等，</w:t>
            </w:r>
            <w:r>
              <w:rPr>
                <w:rFonts w:hint="eastAsia"/>
              </w:rPr>
              <w:t>整体布局上将实验区域和办公区域独立开来，以防止两者的相互影响；设有各类实验室、分析室、药品间等房间，分区明确，各区域配合实验流程，协调有序，有利于实验操作及管理要求。项目</w:t>
            </w:r>
            <w:r>
              <w:t>北侧紧邻道路，能满足车间消防及物流、人行的要求。</w:t>
            </w:r>
          </w:p>
          <w:p>
            <w:pPr>
              <w:ind w:firstLine="480"/>
            </w:pPr>
            <w:r>
              <w:rPr>
                <w:bCs/>
              </w:rPr>
              <w:t>综上分析，本项目实验室功能分区明确，满足实验室建设和消防需求，从环保角度而言，项目总平面布局是合理的。</w:t>
            </w:r>
          </w:p>
          <w:p>
            <w:pPr>
              <w:pStyle w:val="158"/>
            </w:pPr>
            <w:r>
              <w:t>9</w:t>
            </w:r>
            <w:r>
              <w:rPr>
                <w:rFonts w:hint="eastAsia"/>
              </w:rPr>
              <w:t>、实验室通风</w:t>
            </w:r>
          </w:p>
          <w:p>
            <w:pPr>
              <w:ind w:firstLine="480"/>
              <w:rPr>
                <w:lang w:bidi="ar"/>
              </w:rPr>
            </w:pPr>
            <w:r>
              <w:rPr>
                <w:rFonts w:hint="eastAsia"/>
                <w:lang w:bidi="ar"/>
              </w:rPr>
              <w:t>本项目实验室设置2套负压抽风系统，将实验室各万向排气罩、通风柜、吸气罩收集的废气通过管道，排入楼顶废气处理措施（活性炭纤维+碱液喷淋塔）处理后，通过2</w:t>
            </w:r>
            <w:r>
              <w:rPr>
                <w:lang w:bidi="ar"/>
              </w:rPr>
              <w:t>5</w:t>
            </w:r>
            <w:r>
              <w:rPr>
                <w:rFonts w:hint="eastAsia"/>
                <w:lang w:bidi="ar"/>
              </w:rPr>
              <w:t>m高排气筒排放。</w:t>
            </w:r>
          </w:p>
          <w:p>
            <w:pPr>
              <w:pStyle w:val="158"/>
              <w:spacing w:line="510" w:lineRule="exact"/>
            </w:pPr>
            <w:r>
              <w:t>10、项目的基础条件及基础设施情况</w:t>
            </w:r>
          </w:p>
          <w:p>
            <w:pPr>
              <w:spacing w:line="510" w:lineRule="exact"/>
              <w:ind w:firstLine="480"/>
            </w:pPr>
            <w:r>
              <w:t>（1）给水</w:t>
            </w:r>
          </w:p>
          <w:p>
            <w:pPr>
              <w:spacing w:line="510" w:lineRule="exact"/>
              <w:ind w:firstLine="480"/>
            </w:pPr>
            <w:r>
              <w:rPr>
                <w:rFonts w:hint="eastAsia" w:ascii="宋体" w:hAnsi="宋体" w:cs="宋体"/>
              </w:rPr>
              <w:t>①</w:t>
            </w:r>
            <w:r>
              <w:t>生活</w:t>
            </w:r>
            <w:r>
              <w:rPr>
                <w:rFonts w:hint="eastAsia"/>
              </w:rPr>
              <w:t>用水</w:t>
            </w:r>
          </w:p>
          <w:p>
            <w:pPr>
              <w:spacing w:line="510" w:lineRule="exact"/>
              <w:ind w:firstLine="480"/>
            </w:pPr>
            <w:r>
              <w:rPr>
                <w:rFonts w:hint="eastAsia"/>
              </w:rPr>
              <w:t>本项目供水由市政给水管网供给，项目劳动定员1</w:t>
            </w:r>
            <w:r>
              <w:t>0</w:t>
            </w:r>
            <w:r>
              <w:rPr>
                <w:rFonts w:hint="eastAsia"/>
              </w:rPr>
              <w:t>人，不设置食堂、宿舍，参考《建筑给水排水设计标准》（GB</w:t>
            </w:r>
            <w:r>
              <w:t>50015</w:t>
            </w:r>
            <w:r>
              <w:rPr>
                <w:rFonts w:hint="eastAsia"/>
              </w:rPr>
              <w:t>-</w:t>
            </w:r>
            <w:r>
              <w:t>2019</w:t>
            </w:r>
            <w:r>
              <w:rPr>
                <w:rFonts w:hint="eastAsia"/>
              </w:rPr>
              <w:t>）和《四川省用水定额》（川府函〔</w:t>
            </w:r>
            <w:r>
              <w:t>2021</w:t>
            </w:r>
            <w:r>
              <w:rPr>
                <w:rFonts w:hint="eastAsia"/>
              </w:rPr>
              <w:t>〕</w:t>
            </w:r>
            <w:r>
              <w:t>8</w:t>
            </w:r>
            <w:r>
              <w:rPr>
                <w:rFonts w:hint="eastAsia"/>
              </w:rPr>
              <w:t>号）中所制定的各项用水定额，生活用水量按5</w:t>
            </w:r>
            <w:r>
              <w:t>0</w:t>
            </w:r>
            <w:r>
              <w:rPr>
                <w:rFonts w:hint="eastAsia"/>
              </w:rPr>
              <w:t>L</w:t>
            </w:r>
            <w:r>
              <w:t>/</w:t>
            </w:r>
            <w:r>
              <w:rPr>
                <w:rFonts w:hint="eastAsia"/>
              </w:rPr>
              <w:t>人班计，则本项目生活用水量为0</w:t>
            </w:r>
            <w:r>
              <w:t>.5</w:t>
            </w:r>
            <w:r>
              <w:rPr>
                <w:rFonts w:hint="eastAsia"/>
              </w:rPr>
              <w:t>m</w:t>
            </w:r>
            <w:r>
              <w:rPr>
                <w:vertAlign w:val="superscript"/>
              </w:rPr>
              <w:t>3</w:t>
            </w:r>
            <w:r>
              <w:t>/</w:t>
            </w:r>
            <w:r>
              <w:rPr>
                <w:rFonts w:hint="eastAsia"/>
              </w:rPr>
              <w:t>d。</w:t>
            </w:r>
          </w:p>
          <w:p>
            <w:pPr>
              <w:spacing w:line="510" w:lineRule="exact"/>
              <w:ind w:firstLine="480"/>
            </w:pPr>
            <w:r>
              <w:rPr>
                <w:rFonts w:hint="eastAsia" w:ascii="宋体" w:hAnsi="宋体" w:cs="宋体"/>
              </w:rPr>
              <w:t>②</w:t>
            </w:r>
            <w:r>
              <w:rPr>
                <w:rFonts w:hint="eastAsia"/>
              </w:rPr>
              <w:t>实验室用水</w:t>
            </w:r>
          </w:p>
          <w:p>
            <w:pPr>
              <w:spacing w:line="510" w:lineRule="exact"/>
              <w:ind w:firstLine="482"/>
            </w:pPr>
            <w:r>
              <w:rPr>
                <w:rFonts w:hint="eastAsia"/>
                <w:b/>
                <w:bCs/>
              </w:rPr>
              <w:t>试剂、溶液配制用水</w:t>
            </w:r>
            <w:r>
              <w:rPr>
                <w:rFonts w:hint="eastAsia"/>
              </w:rPr>
              <w:t>：实验室试剂、溶液配制采用纯水机制备的纯水，根据建设单位提供的资料，项目每批次样本检测室试剂、溶液配制用水量约为2L，项目每年检测的样本1</w:t>
            </w:r>
            <w:r>
              <w:t>24</w:t>
            </w:r>
            <w:r>
              <w:rPr>
                <w:rFonts w:hint="eastAsia"/>
              </w:rPr>
              <w:t>批，则用水量为0</w:t>
            </w:r>
            <w:r>
              <w:t>.248</w:t>
            </w:r>
            <w:r>
              <w:rPr>
                <w:rFonts w:hint="eastAsia"/>
              </w:rPr>
              <w:t>m</w:t>
            </w:r>
            <w:r>
              <w:rPr>
                <w:vertAlign w:val="superscript"/>
              </w:rPr>
              <w:t>3</w:t>
            </w:r>
            <w:r>
              <w:t>/</w:t>
            </w:r>
            <w:r>
              <w:rPr>
                <w:rFonts w:hint="eastAsia"/>
              </w:rPr>
              <w:t>a。</w:t>
            </w:r>
          </w:p>
          <w:p>
            <w:pPr>
              <w:spacing w:line="510" w:lineRule="exact"/>
              <w:ind w:firstLine="482"/>
            </w:pPr>
            <w:r>
              <w:rPr>
                <w:rFonts w:hint="eastAsia"/>
                <w:b/>
                <w:bCs/>
              </w:rPr>
              <w:t>仪器清洗用水：</w:t>
            </w:r>
            <w:r>
              <w:rPr>
                <w:rFonts w:hint="eastAsia"/>
              </w:rPr>
              <w:t>根据建设单位提供的资料，项目实验室仪器清洗用水量为</w:t>
            </w:r>
            <w:r>
              <w:t>0.2</w:t>
            </w:r>
            <w:r>
              <w:rPr>
                <w:rFonts w:hint="eastAsia"/>
              </w:rPr>
              <w:t>m</w:t>
            </w:r>
            <w:r>
              <w:rPr>
                <w:vertAlign w:val="superscript"/>
              </w:rPr>
              <w:t>3</w:t>
            </w:r>
            <w:r>
              <w:t>/</w:t>
            </w:r>
            <w:r>
              <w:rPr>
                <w:rFonts w:hint="eastAsia"/>
              </w:rPr>
              <w:t>批次样本，其中前三次清洗用水量为</w:t>
            </w:r>
            <w:r>
              <w:t>0.05</w:t>
            </w:r>
            <w:r>
              <w:rPr>
                <w:rFonts w:hint="eastAsia"/>
              </w:rPr>
              <w:t>m</w:t>
            </w:r>
            <w:r>
              <w:rPr>
                <w:vertAlign w:val="superscript"/>
              </w:rPr>
              <w:t>3</w:t>
            </w:r>
            <w:r>
              <w:t>/</w:t>
            </w:r>
            <w:r>
              <w:rPr>
                <w:rFonts w:hint="eastAsia"/>
              </w:rPr>
              <w:t>批次样本（此部分水为自来水），三次后清洗用水量为</w:t>
            </w:r>
            <w:r>
              <w:t>0.15</w:t>
            </w:r>
            <w:r>
              <w:rPr>
                <w:rFonts w:hint="eastAsia"/>
              </w:rPr>
              <w:t>m</w:t>
            </w:r>
            <w:r>
              <w:rPr>
                <w:vertAlign w:val="superscript"/>
              </w:rPr>
              <w:t>3</w:t>
            </w:r>
            <w:r>
              <w:t>/</w:t>
            </w:r>
            <w:r>
              <w:rPr>
                <w:rFonts w:hint="eastAsia"/>
              </w:rPr>
              <w:t>批次（此部分水为实验室制备的纯水）。</w:t>
            </w:r>
          </w:p>
          <w:p>
            <w:pPr>
              <w:spacing w:line="510" w:lineRule="exact"/>
              <w:ind w:firstLine="482"/>
              <w:rPr>
                <w:b/>
                <w:bCs/>
              </w:rPr>
            </w:pPr>
            <w:r>
              <w:rPr>
                <w:rFonts w:hint="eastAsia"/>
                <w:b/>
                <w:bCs/>
              </w:rPr>
              <w:t>灭菌补充用水：</w:t>
            </w:r>
            <w:r>
              <w:rPr>
                <w:rFonts w:hint="eastAsia"/>
              </w:rPr>
              <w:t>根据建设单位提供资料，本项目微生物培养皿需高压蒸汽灭菌，灭菌器定期补充纯水，用量约</w:t>
            </w:r>
            <w:r>
              <w:t>为0.01m</w:t>
            </w:r>
            <w:r>
              <w:rPr>
                <w:vertAlign w:val="superscript"/>
              </w:rPr>
              <w:t>3</w:t>
            </w:r>
            <w:r>
              <w:t>/</w:t>
            </w:r>
            <w:r>
              <w:rPr>
                <w:rFonts w:hint="eastAsia"/>
              </w:rPr>
              <w:t>批次（</w:t>
            </w:r>
            <w:r>
              <w:t>1.24m</w:t>
            </w:r>
            <w:r>
              <w:rPr>
                <w:vertAlign w:val="superscript"/>
              </w:rPr>
              <w:t>3</w:t>
            </w:r>
            <w:r>
              <w:t>/a</w:t>
            </w:r>
            <w:r>
              <w:rPr>
                <w:rFonts w:hint="eastAsia"/>
              </w:rPr>
              <w:t>），此部分蒸发损失。</w:t>
            </w:r>
          </w:p>
          <w:p>
            <w:pPr>
              <w:spacing w:line="510" w:lineRule="exact"/>
              <w:ind w:firstLine="482"/>
            </w:pPr>
            <w:r>
              <w:rPr>
                <w:rFonts w:hint="eastAsia"/>
                <w:b/>
                <w:bCs/>
              </w:rPr>
              <w:t>实验人员洗手用水：</w:t>
            </w:r>
            <w:r>
              <w:rPr>
                <w:rFonts w:hint="eastAsia"/>
              </w:rPr>
              <w:t>实验人员洗手使用自来水，洗手用水量按照5L</w:t>
            </w:r>
            <w:r>
              <w:t>/</w:t>
            </w:r>
            <w:r>
              <w:rPr>
                <w:rFonts w:hint="eastAsia"/>
              </w:rPr>
              <w:t>d·人估算，本项目新增实验人员</w:t>
            </w:r>
            <w:r>
              <w:t>10</w:t>
            </w:r>
            <w:r>
              <w:rPr>
                <w:rFonts w:hint="eastAsia"/>
              </w:rPr>
              <w:t>人，用水量为</w:t>
            </w:r>
            <w:r>
              <w:t>0.05</w:t>
            </w:r>
            <w:r>
              <w:rPr>
                <w:rFonts w:hint="eastAsia"/>
              </w:rPr>
              <w:t>m</w:t>
            </w:r>
            <w:r>
              <w:rPr>
                <w:vertAlign w:val="superscript"/>
              </w:rPr>
              <w:t>3</w:t>
            </w:r>
            <w:r>
              <w:t>/</w:t>
            </w:r>
            <w:r>
              <w:rPr>
                <w:rFonts w:hint="eastAsia"/>
              </w:rPr>
              <w:t>d。</w:t>
            </w:r>
          </w:p>
          <w:p>
            <w:pPr>
              <w:spacing w:line="510" w:lineRule="exact"/>
              <w:ind w:firstLine="482"/>
            </w:pPr>
            <w:r>
              <w:rPr>
                <w:rFonts w:hint="eastAsia"/>
                <w:b/>
                <w:bCs/>
              </w:rPr>
              <w:t>纯水制备用水</w:t>
            </w:r>
            <w:r>
              <w:rPr>
                <w:rFonts w:hint="eastAsia"/>
              </w:rPr>
              <w:t>：本项目设置</w:t>
            </w:r>
            <w:r>
              <w:t>2</w:t>
            </w:r>
            <w:r>
              <w:rPr>
                <w:rFonts w:hint="eastAsia"/>
              </w:rPr>
              <w:t>台纯水机，</w:t>
            </w:r>
            <w:r>
              <w:t>根据建设单位提供资料，项目采用反渗透纯水机，所用核心元件为反渗透膜，将自来水转化为超纯水。</w:t>
            </w:r>
            <w:r>
              <w:rPr>
                <w:rFonts w:hint="eastAsia"/>
              </w:rPr>
              <w:t>本项目采用的纯水机制水能力为</w:t>
            </w:r>
            <w:r>
              <w:t>10</w:t>
            </w:r>
            <w:r>
              <w:rPr>
                <w:rFonts w:hint="eastAsia"/>
              </w:rPr>
              <w:t>L</w:t>
            </w:r>
            <w:r>
              <w:t>/</w:t>
            </w:r>
            <w:r>
              <w:rPr>
                <w:rFonts w:hint="eastAsia"/>
              </w:rPr>
              <w:t>h，制水效率为6</w:t>
            </w:r>
            <w:r>
              <w:t>0</w:t>
            </w:r>
            <w:r>
              <w:rPr>
                <w:rFonts w:hint="eastAsia"/>
              </w:rPr>
              <w:t>%。根据上文分析，本项目实验室纯水使用量为0</w:t>
            </w:r>
            <w:r>
              <w:t>.162</w:t>
            </w:r>
            <w:r>
              <w:rPr>
                <w:rFonts w:hint="eastAsia"/>
              </w:rPr>
              <w:t>m</w:t>
            </w:r>
            <w:r>
              <w:rPr>
                <w:vertAlign w:val="superscript"/>
              </w:rPr>
              <w:t>3</w:t>
            </w:r>
            <w:r>
              <w:t>/</w:t>
            </w:r>
            <w:r>
              <w:rPr>
                <w:rFonts w:hint="eastAsia"/>
              </w:rPr>
              <w:t>批次样本（2</w:t>
            </w:r>
            <w:r>
              <w:t>0.088</w:t>
            </w:r>
            <w:r>
              <w:rPr>
                <w:rFonts w:hint="eastAsia"/>
              </w:rPr>
              <w:t>m</w:t>
            </w:r>
            <w:r>
              <w:rPr>
                <w:vertAlign w:val="superscript"/>
              </w:rPr>
              <w:t>3</w:t>
            </w:r>
            <w:r>
              <w:t>/</w:t>
            </w:r>
            <w:r>
              <w:rPr>
                <w:rFonts w:hint="eastAsia"/>
              </w:rPr>
              <w:t>a，平均约0</w:t>
            </w:r>
            <w:r>
              <w:t>.077</w:t>
            </w:r>
            <w:r>
              <w:rPr>
                <w:rFonts w:hint="eastAsia"/>
              </w:rPr>
              <w:t>m</w:t>
            </w:r>
            <w:r>
              <w:rPr>
                <w:vertAlign w:val="superscript"/>
              </w:rPr>
              <w:t>3</w:t>
            </w:r>
            <w:r>
              <w:t>/</w:t>
            </w:r>
            <w:r>
              <w:rPr>
                <w:rFonts w:hint="eastAsia"/>
              </w:rPr>
              <w:t>d），则纯水制备用水为0</w:t>
            </w:r>
            <w:r>
              <w:t>.27</w:t>
            </w:r>
            <w:r>
              <w:rPr>
                <w:rFonts w:hint="eastAsia"/>
              </w:rPr>
              <w:t>m</w:t>
            </w:r>
            <w:r>
              <w:rPr>
                <w:vertAlign w:val="superscript"/>
              </w:rPr>
              <w:t>3</w:t>
            </w:r>
            <w:r>
              <w:rPr>
                <w:rFonts w:hint="eastAsia"/>
              </w:rPr>
              <w:t>/批次样本（3</w:t>
            </w:r>
            <w:r>
              <w:t>3.48</w:t>
            </w:r>
            <w:r>
              <w:rPr>
                <w:rFonts w:hint="eastAsia"/>
              </w:rPr>
              <w:t>m</w:t>
            </w:r>
            <w:r>
              <w:rPr>
                <w:vertAlign w:val="superscript"/>
              </w:rPr>
              <w:t>3</w:t>
            </w:r>
            <w:r>
              <w:t>/</w:t>
            </w:r>
            <w:r>
              <w:rPr>
                <w:rFonts w:hint="eastAsia"/>
              </w:rPr>
              <w:t>a，平均约0</w:t>
            </w:r>
            <w:r>
              <w:t>.129</w:t>
            </w:r>
            <w:r>
              <w:rPr>
                <w:rFonts w:hint="eastAsia"/>
              </w:rPr>
              <w:t>m</w:t>
            </w:r>
            <w:r>
              <w:rPr>
                <w:vertAlign w:val="superscript"/>
              </w:rPr>
              <w:t>3</w:t>
            </w:r>
            <w:r>
              <w:t>/</w:t>
            </w:r>
            <w:r>
              <w:rPr>
                <w:rFonts w:hint="eastAsia"/>
              </w:rPr>
              <w:t>d）。</w:t>
            </w:r>
          </w:p>
          <w:p>
            <w:pPr>
              <w:spacing w:line="510" w:lineRule="exact"/>
              <w:ind w:firstLine="482"/>
            </w:pPr>
            <w:r>
              <w:rPr>
                <w:rFonts w:hint="eastAsia"/>
                <w:b/>
                <w:bCs/>
              </w:rPr>
              <w:t>拖布清洁用水：</w:t>
            </w:r>
            <w:r>
              <w:rPr>
                <w:rFonts w:hint="eastAsia"/>
              </w:rPr>
              <w:t>本项目实验室每日拖地清洁一次，根据建设单位提供的资料，拖把清洗池大约</w:t>
            </w:r>
            <w:r>
              <w:t>25L，拖把</w:t>
            </w:r>
            <w:r>
              <w:rPr>
                <w:rFonts w:hint="eastAsia"/>
              </w:rPr>
              <w:t>清洗两次，则本项目拖布清洁用水量为</w:t>
            </w:r>
            <w:r>
              <w:t>0.05</w:t>
            </w:r>
            <w:r>
              <w:rPr>
                <w:rFonts w:hint="eastAsia"/>
              </w:rPr>
              <w:t>m</w:t>
            </w:r>
            <w:r>
              <w:rPr>
                <w:vertAlign w:val="superscript"/>
              </w:rPr>
              <w:t>3</w:t>
            </w:r>
            <w:r>
              <w:t>/</w:t>
            </w:r>
            <w:r>
              <w:rPr>
                <w:rFonts w:hint="eastAsia"/>
              </w:rPr>
              <w:t>d。</w:t>
            </w:r>
          </w:p>
          <w:p>
            <w:pPr>
              <w:spacing w:line="510" w:lineRule="exact"/>
              <w:ind w:firstLine="482"/>
            </w:pPr>
            <w:r>
              <w:rPr>
                <w:rFonts w:hint="eastAsia"/>
                <w:b/>
                <w:bCs/>
              </w:rPr>
              <w:t>碱液喷淋塔用水：</w:t>
            </w:r>
            <w:r>
              <w:rPr>
                <w:rFonts w:hint="eastAsia"/>
              </w:rPr>
              <w:t>本项目采用两套碱洗喷淋塔处理酸性废气，</w:t>
            </w:r>
            <w:r>
              <w:t>根据建设单位提供资料</w:t>
            </w:r>
            <w:r>
              <w:rPr>
                <w:rFonts w:hint="eastAsia"/>
              </w:rPr>
              <w:t>的设计资料</w:t>
            </w:r>
            <w:r>
              <w:t>，</w:t>
            </w:r>
            <w:r>
              <w:rPr>
                <w:rFonts w:hint="eastAsia"/>
              </w:rPr>
              <w:t>液气比为</w:t>
            </w:r>
            <w:r>
              <w:t>1</w:t>
            </w:r>
            <w:r>
              <w:rPr>
                <w:rFonts w:hint="eastAsia"/>
              </w:rPr>
              <w:t>L</w:t>
            </w:r>
            <w:r>
              <w:t>/</w:t>
            </w:r>
            <w:r>
              <w:rPr>
                <w:rFonts w:hint="eastAsia"/>
              </w:rPr>
              <w:t>m</w:t>
            </w:r>
            <w:r>
              <w:rPr>
                <w:vertAlign w:val="superscript"/>
              </w:rPr>
              <w:t>3</w:t>
            </w:r>
            <w:r>
              <w:rPr>
                <w:rFonts w:hint="eastAsia"/>
              </w:rPr>
              <w:t>，两套喷淋塔设计风量均为</w:t>
            </w:r>
            <w:r>
              <w:t>12000</w:t>
            </w:r>
            <w:r>
              <w:rPr>
                <w:rFonts w:hint="eastAsia"/>
              </w:rPr>
              <w:t>m</w:t>
            </w:r>
            <w:r>
              <w:rPr>
                <w:vertAlign w:val="superscript"/>
              </w:rPr>
              <w:t>3</w:t>
            </w:r>
            <w:r>
              <w:t>/h</w:t>
            </w:r>
            <w:r>
              <w:rPr>
                <w:rFonts w:hint="eastAsia"/>
              </w:rPr>
              <w:t>，则喷淋塔循环水量约</w:t>
            </w:r>
            <w:r>
              <w:t>24</w:t>
            </w:r>
            <w:r>
              <w:rPr>
                <w:rFonts w:hint="eastAsia"/>
              </w:rPr>
              <w:t>m</w:t>
            </w:r>
            <w:r>
              <w:rPr>
                <w:rFonts w:hint="eastAsia"/>
                <w:vertAlign w:val="superscript"/>
              </w:rPr>
              <w:t>3</w:t>
            </w:r>
            <w:r>
              <w:rPr>
                <w:rFonts w:hint="eastAsia"/>
              </w:rPr>
              <w:t>/h（每台</w:t>
            </w:r>
            <w:r>
              <w:t>12</w:t>
            </w:r>
            <w:r>
              <w:rPr>
                <w:rFonts w:hint="eastAsia"/>
              </w:rPr>
              <w:t>m</w:t>
            </w:r>
            <w:r>
              <w:rPr>
                <w:vertAlign w:val="superscript"/>
              </w:rPr>
              <w:t>3</w:t>
            </w:r>
            <w:r>
              <w:t>/</w:t>
            </w:r>
            <w:r>
              <w:rPr>
                <w:rFonts w:hint="eastAsia"/>
              </w:rPr>
              <w:t>h），</w:t>
            </w:r>
            <w:r>
              <w:t>每天工作时长为</w:t>
            </w:r>
            <w:r>
              <w:rPr>
                <w:rFonts w:hint="eastAsia"/>
              </w:rPr>
              <w:t>8</w:t>
            </w:r>
            <w:r>
              <w:t>h</w:t>
            </w:r>
            <w:r>
              <w:rPr>
                <w:rFonts w:hint="eastAsia"/>
              </w:rPr>
              <w:t>，</w:t>
            </w:r>
            <w:r>
              <w:t>补水量按循环水量1%计，则本项目碱液喷淋塔补充水量1.92m</w:t>
            </w:r>
            <w:r>
              <w:rPr>
                <w:vertAlign w:val="superscript"/>
              </w:rPr>
              <w:t>3</w:t>
            </w:r>
            <w:r>
              <w:t>/d。其中蒸发损失量按0.9计，废水排污量按0.1计，则项目碱洗塔废水排放量为0.192m</w:t>
            </w:r>
            <w:r>
              <w:rPr>
                <w:vertAlign w:val="superscript"/>
              </w:rPr>
              <w:t>3</w:t>
            </w:r>
            <w:r>
              <w:t>/d。</w:t>
            </w:r>
          </w:p>
          <w:p>
            <w:pPr>
              <w:spacing w:line="510" w:lineRule="exact"/>
              <w:ind w:firstLine="480"/>
            </w:pPr>
            <w:r>
              <w:rPr>
                <w:rFonts w:hint="eastAsia"/>
              </w:rPr>
              <w:t>综上，本项目生活用水量为0</w:t>
            </w:r>
            <w:r>
              <w:t>.5</w:t>
            </w:r>
            <w:r>
              <w:rPr>
                <w:rFonts w:hint="eastAsia"/>
              </w:rPr>
              <w:t>m</w:t>
            </w:r>
            <w:r>
              <w:rPr>
                <w:vertAlign w:val="superscript"/>
              </w:rPr>
              <w:t>3</w:t>
            </w:r>
            <w:r>
              <w:t>/</w:t>
            </w:r>
            <w:r>
              <w:rPr>
                <w:rFonts w:hint="eastAsia"/>
              </w:rPr>
              <w:t>d，实验室用水量为0</w:t>
            </w:r>
            <w:r>
              <w:t>.421</w:t>
            </w:r>
            <w:r>
              <w:rPr>
                <w:rFonts w:hint="eastAsia"/>
              </w:rPr>
              <w:t>m</w:t>
            </w:r>
            <w:r>
              <w:rPr>
                <w:vertAlign w:val="superscript"/>
              </w:rPr>
              <w:t>3</w:t>
            </w:r>
            <w:r>
              <w:t>/</w:t>
            </w:r>
            <w:r>
              <w:rPr>
                <w:rFonts w:hint="eastAsia"/>
              </w:rPr>
              <w:t>d（自来水）。</w:t>
            </w:r>
          </w:p>
          <w:p>
            <w:pPr>
              <w:spacing w:line="510" w:lineRule="exact"/>
              <w:ind w:firstLine="480"/>
            </w:pPr>
            <w:r>
              <w:t>（2）排水</w:t>
            </w:r>
          </w:p>
          <w:p>
            <w:pPr>
              <w:spacing w:line="510" w:lineRule="exact"/>
              <w:ind w:firstLine="480"/>
            </w:pPr>
            <w:r>
              <w:rPr>
                <w:rFonts w:hint="eastAsia" w:ascii="宋体" w:hAnsi="宋体" w:cs="宋体"/>
              </w:rPr>
              <w:t>①</w:t>
            </w:r>
            <w:r>
              <w:rPr>
                <w:rFonts w:hint="eastAsia"/>
              </w:rPr>
              <w:t>生活污水</w:t>
            </w:r>
          </w:p>
          <w:p>
            <w:pPr>
              <w:spacing w:line="510" w:lineRule="exact"/>
              <w:ind w:firstLine="480"/>
            </w:pPr>
            <w:r>
              <w:rPr>
                <w:rFonts w:hint="eastAsia"/>
              </w:rPr>
              <w:t>本项目生活污水产生量按用水量的8</w:t>
            </w:r>
            <w:r>
              <w:t>0</w:t>
            </w:r>
            <w:r>
              <w:rPr>
                <w:rFonts w:hint="eastAsia"/>
              </w:rPr>
              <w:t>%计，则生活污水产生量为</w:t>
            </w:r>
            <w:r>
              <w:t>0.4</w:t>
            </w:r>
            <w:r>
              <w:rPr>
                <w:rFonts w:hint="eastAsia"/>
              </w:rPr>
              <w:t>m</w:t>
            </w:r>
            <w:r>
              <w:rPr>
                <w:vertAlign w:val="superscript"/>
              </w:rPr>
              <w:t>3</w:t>
            </w:r>
            <w:r>
              <w:t>/</w:t>
            </w:r>
            <w:r>
              <w:rPr>
                <w:rFonts w:hint="eastAsia"/>
              </w:rPr>
              <w:t>d。</w:t>
            </w:r>
            <w:r>
              <w:rPr>
                <w:rStyle w:val="194"/>
                <w:rFonts w:hint="eastAsia"/>
                <w:color w:val="auto"/>
              </w:rPr>
              <w:t>本项目生活污水经</w:t>
            </w:r>
            <w:r>
              <w:rPr>
                <w:rStyle w:val="194"/>
                <w:color w:val="auto"/>
              </w:rPr>
              <w:t>生活污水预处理池</w:t>
            </w:r>
            <w:r>
              <w:rPr>
                <w:rStyle w:val="194"/>
                <w:rFonts w:hint="eastAsia"/>
                <w:color w:val="auto"/>
              </w:rPr>
              <w:t>（处理规模</w:t>
            </w:r>
            <w:r>
              <w:rPr>
                <w:rStyle w:val="194"/>
                <w:color w:val="auto"/>
              </w:rPr>
              <w:t>10m</w:t>
            </w:r>
            <w:r>
              <w:rPr>
                <w:rStyle w:val="194"/>
                <w:color w:val="auto"/>
                <w:vertAlign w:val="superscript"/>
              </w:rPr>
              <w:t>3</w:t>
            </w:r>
            <w:r>
              <w:rPr>
                <w:rStyle w:val="194"/>
                <w:color w:val="auto"/>
              </w:rPr>
              <w:t>/d，</w:t>
            </w:r>
            <w:r>
              <w:rPr>
                <w:rStyle w:val="194"/>
                <w:rFonts w:hint="eastAsia"/>
                <w:color w:val="auto"/>
              </w:rPr>
              <w:t>位于厂区西侧）处理后，于厂区西</w:t>
            </w:r>
            <w:r>
              <w:rPr>
                <w:rStyle w:val="194"/>
                <w:color w:val="auto"/>
              </w:rPr>
              <w:t>侧</w:t>
            </w:r>
            <w:r>
              <w:rPr>
                <w:rStyle w:val="194"/>
                <w:rFonts w:hint="eastAsia"/>
                <w:color w:val="auto"/>
              </w:rPr>
              <w:t>市政污水管网碰管，</w:t>
            </w:r>
            <w:r>
              <w:rPr>
                <w:rFonts w:hint="eastAsia"/>
              </w:rPr>
              <w:t>通过市政污水管网排入巴中经济开发区污水处理厂（</w:t>
            </w:r>
            <w:r>
              <w:t>1</w:t>
            </w:r>
            <w:r>
              <w:rPr>
                <w:rFonts w:hint="eastAsia"/>
              </w:rPr>
              <w:t>期，1</w:t>
            </w:r>
            <w:r>
              <w:t>.99</w:t>
            </w:r>
            <w:r>
              <w:rPr>
                <w:rFonts w:hint="eastAsia"/>
              </w:rPr>
              <w:t>万m</w:t>
            </w:r>
            <w:r>
              <w:rPr>
                <w:vertAlign w:val="superscript"/>
              </w:rPr>
              <w:t>3</w:t>
            </w:r>
            <w:r>
              <w:t>/</w:t>
            </w:r>
            <w:r>
              <w:rPr>
                <w:rFonts w:hint="eastAsia"/>
              </w:rPr>
              <w:t>d）处理达《城镇污水处理厂污染物排放标准》（GB18918-2002）中一级A标准后排入巴河。</w:t>
            </w:r>
          </w:p>
          <w:p>
            <w:pPr>
              <w:spacing w:line="510" w:lineRule="exact"/>
              <w:ind w:firstLine="480"/>
            </w:pPr>
            <w:r>
              <w:rPr>
                <w:rFonts w:hint="eastAsia" w:ascii="宋体" w:hAnsi="宋体" w:cs="宋体"/>
              </w:rPr>
              <w:t>②</w:t>
            </w:r>
            <w:r>
              <w:rPr>
                <w:rFonts w:hint="eastAsia"/>
              </w:rPr>
              <w:t>实验室废水</w:t>
            </w:r>
          </w:p>
          <w:p>
            <w:pPr>
              <w:spacing w:line="510" w:lineRule="exact"/>
              <w:ind w:firstLine="480"/>
            </w:pPr>
            <w:r>
              <w:rPr>
                <w:rFonts w:hint="eastAsia"/>
              </w:rPr>
              <w:t>本项目实验室废水主要包括仪器三次后清洗废水、实验人员洗手废水、纯水制备浓水、拖布清洁废水、碱液喷淋塔废水。本项目实验室废水单独布设管网进行收集，与生活污水完全分离。</w:t>
            </w:r>
          </w:p>
          <w:p>
            <w:pPr>
              <w:spacing w:line="510" w:lineRule="exact"/>
              <w:ind w:firstLine="480"/>
            </w:pPr>
            <w:r>
              <w:rPr>
                <w:rFonts w:hint="eastAsia"/>
              </w:rPr>
              <w:t>仪器清洗废水产生量按用水量的</w:t>
            </w:r>
            <w:r>
              <w:t>80</w:t>
            </w:r>
            <w:r>
              <w:rPr>
                <w:rFonts w:hint="eastAsia"/>
              </w:rPr>
              <w:t>%计，则废水量为</w:t>
            </w:r>
            <w:r>
              <w:t>0.12</w:t>
            </w:r>
            <w:r>
              <w:rPr>
                <w:rFonts w:hint="eastAsia"/>
              </w:rPr>
              <w:t>m</w:t>
            </w:r>
            <w:r>
              <w:rPr>
                <w:vertAlign w:val="superscript"/>
              </w:rPr>
              <w:t>3</w:t>
            </w:r>
            <w:r>
              <w:t>/</w:t>
            </w:r>
            <w:r>
              <w:rPr>
                <w:rFonts w:hint="eastAsia"/>
              </w:rPr>
              <w:t>批次（平均0</w:t>
            </w:r>
            <w:r>
              <w:t>.058</w:t>
            </w:r>
            <w:r>
              <w:rPr>
                <w:rFonts w:hint="eastAsia"/>
              </w:rPr>
              <w:t>m</w:t>
            </w:r>
            <w:r>
              <w:rPr>
                <w:vertAlign w:val="superscript"/>
              </w:rPr>
              <w:t>3</w:t>
            </w:r>
            <w:r>
              <w:t>/</w:t>
            </w:r>
            <w:r>
              <w:rPr>
                <w:rFonts w:hint="eastAsia"/>
              </w:rPr>
              <w:t>d）；</w:t>
            </w:r>
          </w:p>
          <w:p>
            <w:pPr>
              <w:spacing w:line="510" w:lineRule="exact"/>
              <w:ind w:firstLine="480"/>
            </w:pPr>
            <w:r>
              <w:rPr>
                <w:rFonts w:hint="eastAsia"/>
              </w:rPr>
              <w:t>实验人员清洗废水产生量按用水量的8</w:t>
            </w:r>
            <w:r>
              <w:t>0</w:t>
            </w:r>
            <w:r>
              <w:rPr>
                <w:rFonts w:hint="eastAsia"/>
              </w:rPr>
              <w:t>%计，则废水量为0</w:t>
            </w:r>
            <w:r>
              <w:t>.04</w:t>
            </w:r>
            <w:r>
              <w:rPr>
                <w:rFonts w:hint="eastAsia"/>
              </w:rPr>
              <w:t>m</w:t>
            </w:r>
            <w:r>
              <w:rPr>
                <w:vertAlign w:val="superscript"/>
              </w:rPr>
              <w:t>3</w:t>
            </w:r>
            <w:r>
              <w:t>/</w:t>
            </w:r>
            <w:r>
              <w:rPr>
                <w:rFonts w:hint="eastAsia"/>
              </w:rPr>
              <w:t>d；</w:t>
            </w:r>
          </w:p>
          <w:p>
            <w:pPr>
              <w:spacing w:line="510" w:lineRule="exact"/>
              <w:ind w:firstLine="480"/>
            </w:pPr>
            <w:r>
              <w:rPr>
                <w:rFonts w:hint="eastAsia"/>
              </w:rPr>
              <w:t>纯水制备废水按纯水制备用水量的4</w:t>
            </w:r>
            <w:r>
              <w:t>0</w:t>
            </w:r>
            <w:r>
              <w:rPr>
                <w:rFonts w:hint="eastAsia"/>
              </w:rPr>
              <w:t>%计算，则废水量为</w:t>
            </w:r>
            <w:r>
              <w:t>0.052</w:t>
            </w:r>
            <w:r>
              <w:rPr>
                <w:rFonts w:hint="eastAsia"/>
              </w:rPr>
              <w:t xml:space="preserve"> m</w:t>
            </w:r>
            <w:r>
              <w:rPr>
                <w:vertAlign w:val="superscript"/>
              </w:rPr>
              <w:t>3</w:t>
            </w:r>
            <w:r>
              <w:t>/</w:t>
            </w:r>
            <w:r>
              <w:rPr>
                <w:rFonts w:hint="eastAsia"/>
              </w:rPr>
              <w:t>d；</w:t>
            </w:r>
          </w:p>
          <w:p>
            <w:pPr>
              <w:spacing w:line="510" w:lineRule="exact"/>
              <w:ind w:firstLine="480"/>
            </w:pPr>
            <w:r>
              <w:rPr>
                <w:rFonts w:hint="eastAsia"/>
              </w:rPr>
              <w:t>拖布清洁废水产生量按用水量的8</w:t>
            </w:r>
            <w:r>
              <w:t>0</w:t>
            </w:r>
            <w:r>
              <w:rPr>
                <w:rFonts w:hint="eastAsia"/>
              </w:rPr>
              <w:t>%计算，则废水产生量为0</w:t>
            </w:r>
            <w:r>
              <w:t>.04</w:t>
            </w:r>
            <w:r>
              <w:rPr>
                <w:rFonts w:hint="eastAsia"/>
              </w:rPr>
              <w:t>m</w:t>
            </w:r>
            <w:r>
              <w:rPr>
                <w:vertAlign w:val="superscript"/>
              </w:rPr>
              <w:t>3</w:t>
            </w:r>
            <w:r>
              <w:t>/</w:t>
            </w:r>
            <w:r>
              <w:rPr>
                <w:rFonts w:hint="eastAsia"/>
              </w:rPr>
              <w:t>d；</w:t>
            </w:r>
          </w:p>
          <w:p>
            <w:pPr>
              <w:spacing w:line="510" w:lineRule="exact"/>
              <w:ind w:firstLine="480"/>
            </w:pPr>
            <w:r>
              <w:rPr>
                <w:rFonts w:hint="eastAsia"/>
              </w:rPr>
              <w:t>碱液喷淋塔废水产生量按循环补水量的1</w:t>
            </w:r>
            <w:r>
              <w:t>0</w:t>
            </w:r>
            <w:r>
              <w:rPr>
                <w:rFonts w:hint="eastAsia"/>
              </w:rPr>
              <w:t>%计，则废水产生量为0</w:t>
            </w:r>
            <w:r>
              <w:t>.192</w:t>
            </w:r>
            <w:r>
              <w:rPr>
                <w:rFonts w:hint="eastAsia"/>
              </w:rPr>
              <w:t>m</w:t>
            </w:r>
            <w:r>
              <w:rPr>
                <w:vertAlign w:val="superscript"/>
              </w:rPr>
              <w:t>3</w:t>
            </w:r>
            <w:r>
              <w:t>/</w:t>
            </w:r>
            <w:r>
              <w:rPr>
                <w:rFonts w:hint="eastAsia"/>
              </w:rPr>
              <w:t>d。</w:t>
            </w:r>
          </w:p>
          <w:p>
            <w:pPr>
              <w:spacing w:line="510" w:lineRule="exact"/>
              <w:ind w:firstLine="480"/>
            </w:pPr>
            <w:r>
              <w:rPr>
                <w:rFonts w:hint="eastAsia"/>
              </w:rPr>
              <w:t>本项目实验室废水产生量共计</w:t>
            </w:r>
            <w:r>
              <w:t>0.382</w:t>
            </w:r>
            <w:r>
              <w:rPr>
                <w:rFonts w:hint="eastAsia"/>
              </w:rPr>
              <w:t>m</w:t>
            </w:r>
            <w:r>
              <w:rPr>
                <w:vertAlign w:val="superscript"/>
              </w:rPr>
              <w:t>3</w:t>
            </w:r>
            <w:r>
              <w:t>/</w:t>
            </w:r>
            <w:r>
              <w:rPr>
                <w:rFonts w:hint="eastAsia"/>
              </w:rPr>
              <w:t>d。</w:t>
            </w:r>
          </w:p>
          <w:p>
            <w:pPr>
              <w:spacing w:line="510" w:lineRule="exact"/>
              <w:ind w:firstLine="480"/>
            </w:pPr>
            <w:r>
              <w:rPr>
                <w:rFonts w:hint="eastAsia"/>
              </w:rPr>
              <w:t>本项目在</w:t>
            </w:r>
            <w:r>
              <w:t>1</w:t>
            </w:r>
            <w:r>
              <w:rPr>
                <w:rFonts w:hint="eastAsia"/>
              </w:rPr>
              <w:t>楼和4楼分别设置1台一体化废水处理设施，处理规模均为0</w:t>
            </w:r>
            <w:r>
              <w:t>.3</w:t>
            </w:r>
            <w:r>
              <w:rPr>
                <w:rFonts w:hint="eastAsia"/>
              </w:rPr>
              <w:t>m</w:t>
            </w:r>
            <w:r>
              <w:rPr>
                <w:vertAlign w:val="superscript"/>
              </w:rPr>
              <w:t>3</w:t>
            </w:r>
            <w:r>
              <w:t>/</w:t>
            </w:r>
            <w:r>
              <w:rPr>
                <w:rFonts w:hint="eastAsia"/>
              </w:rPr>
              <w:t>d（共0</w:t>
            </w:r>
            <w:r>
              <w:t>.6</w:t>
            </w:r>
            <w:r>
              <w:rPr>
                <w:rFonts w:hint="eastAsia"/>
              </w:rPr>
              <w:t>m</w:t>
            </w:r>
            <w:r>
              <w:rPr>
                <w:vertAlign w:val="superscript"/>
              </w:rPr>
              <w:t>3</w:t>
            </w:r>
            <w:r>
              <w:t>/</w:t>
            </w:r>
            <w:r>
              <w:rPr>
                <w:rFonts w:hint="eastAsia"/>
              </w:rPr>
              <w:t>d），采用“集水箱</w:t>
            </w:r>
            <w:r>
              <w:rPr>
                <w:rFonts w:hint="eastAsia"/>
                <w:szCs w:val="18"/>
              </w:rPr>
              <w:t>+pH调节+混凝沉淀+光催化降解+复合过滤+紫外消毒</w:t>
            </w:r>
            <w:r>
              <w:rPr>
                <w:rFonts w:hint="eastAsia"/>
              </w:rPr>
              <w:t>”处理工艺，废水经处理达《污水综合排放标准》（</w:t>
            </w:r>
            <w:r>
              <w:t>GB8978-1996</w:t>
            </w:r>
            <w:r>
              <w:rPr>
                <w:rFonts w:hint="eastAsia"/>
              </w:rPr>
              <w:t>）三级标准后，</w:t>
            </w:r>
            <w:r>
              <w:rPr>
                <w:rStyle w:val="194"/>
                <w:rFonts w:hint="eastAsia"/>
                <w:color w:val="auto"/>
              </w:rPr>
              <w:t>于厂区西</w:t>
            </w:r>
            <w:r>
              <w:rPr>
                <w:rStyle w:val="194"/>
                <w:color w:val="auto"/>
              </w:rPr>
              <w:t>侧</w:t>
            </w:r>
            <w:r>
              <w:rPr>
                <w:rStyle w:val="194"/>
                <w:rFonts w:hint="eastAsia"/>
                <w:color w:val="auto"/>
              </w:rPr>
              <w:t>市政污水管网碰管，</w:t>
            </w:r>
            <w:r>
              <w:rPr>
                <w:rFonts w:hint="eastAsia"/>
              </w:rPr>
              <w:t>通过市政污水管网排入巴中经济开发区污水处理厂（</w:t>
            </w:r>
            <w:r>
              <w:t>1</w:t>
            </w:r>
            <w:r>
              <w:rPr>
                <w:rFonts w:hint="eastAsia"/>
              </w:rPr>
              <w:t>期，1</w:t>
            </w:r>
            <w:r>
              <w:t>.99</w:t>
            </w:r>
            <w:r>
              <w:rPr>
                <w:rFonts w:hint="eastAsia"/>
              </w:rPr>
              <w:t>万m</w:t>
            </w:r>
            <w:r>
              <w:rPr>
                <w:vertAlign w:val="superscript"/>
              </w:rPr>
              <w:t>3</w:t>
            </w:r>
            <w:r>
              <w:t>/</w:t>
            </w:r>
            <w:r>
              <w:rPr>
                <w:rFonts w:hint="eastAsia"/>
              </w:rPr>
              <w:t>d）处理达《城镇污水处理厂污染物排放标准》（GB18918-2002）中一级A标准后排入巴河。</w:t>
            </w:r>
          </w:p>
          <w:p>
            <w:pPr>
              <w:pStyle w:val="181"/>
            </w:pPr>
            <w:r>
              <w:object>
                <v:shape id="_x0000_i1025" o:spt="75" type="#_x0000_t75" style="height:495pt;width:415.5pt;" o:ole="t" filled="f" o:preferrelative="t" stroked="f" coordsize="21600,21600">
                  <v:path/>
                  <v:fill on="f" focussize="0,0"/>
                  <v:stroke on="f" joinstyle="miter"/>
                  <v:imagedata r:id="rId20" o:title=""/>
                  <o:lock v:ext="edit" aspectratio="t"/>
                  <w10:wrap type="none"/>
                  <w10:anchorlock/>
                </v:shape>
                <o:OLEObject Type="Embed" ProgID="Visio.Drawing.15" ShapeID="_x0000_i1025" DrawAspect="Content" ObjectID="_1468075725" r:id="rId19">
                  <o:LockedField>false</o:LockedField>
                </o:OLEObject>
              </w:object>
            </w:r>
          </w:p>
          <w:p>
            <w:pPr>
              <w:pStyle w:val="157"/>
            </w:pPr>
            <w:r>
              <w:t>图2.1</w:t>
            </w:r>
            <w:r>
              <w:rPr>
                <w:rFonts w:eastAsia="宋体"/>
              </w:rPr>
              <w:t>-</w:t>
            </w:r>
            <w:r>
              <w:t xml:space="preserve">1  </w:t>
            </w:r>
            <w:r>
              <w:rPr>
                <w:rFonts w:hint="eastAsia"/>
              </w:rPr>
              <w:t>本</w:t>
            </w:r>
            <w:r>
              <w:t>项目水量平衡图  单位：m</w:t>
            </w:r>
            <w:r>
              <w:rPr>
                <w:vertAlign w:val="superscript"/>
              </w:rPr>
              <w:t>3</w:t>
            </w:r>
            <w:r>
              <w:t>/d</w:t>
            </w:r>
          </w:p>
          <w:p>
            <w:pPr>
              <w:ind w:firstLine="480"/>
            </w:pPr>
            <w:r>
              <w:t>（3）供电</w:t>
            </w:r>
          </w:p>
          <w:p>
            <w:pPr>
              <w:ind w:firstLine="480"/>
            </w:pPr>
            <w:r>
              <w:rPr>
                <w:rFonts w:hint="eastAsia"/>
              </w:rPr>
              <w:t>项目用电由市政电网供电，依托四川省巴中水文水资源勘测中心配电室为本项目供电。</w:t>
            </w:r>
          </w:p>
          <w:p>
            <w:pPr>
              <w:ind w:firstLine="480"/>
            </w:pPr>
            <w:r>
              <w:rPr>
                <w:rFonts w:hint="eastAsia"/>
              </w:rPr>
              <w:t>（4）纯水制备</w:t>
            </w:r>
          </w:p>
          <w:p>
            <w:pPr>
              <w:ind w:firstLine="480"/>
            </w:pPr>
            <w:r>
              <w:rPr>
                <w:rFonts w:hint="eastAsia"/>
              </w:rPr>
              <w:t>本项目设置</w:t>
            </w:r>
            <w:r>
              <w:t>2</w:t>
            </w:r>
            <w:r>
              <w:rPr>
                <w:rFonts w:hint="eastAsia"/>
              </w:rPr>
              <w:t>台纯水机，用于实验室纯水制备，本项目采用的纯水机制水能力为</w:t>
            </w:r>
            <w:r>
              <w:t>10</w:t>
            </w:r>
            <w:r>
              <w:rPr>
                <w:rFonts w:hint="eastAsia"/>
              </w:rPr>
              <w:t>L</w:t>
            </w:r>
            <w:r>
              <w:t>/</w:t>
            </w:r>
            <w:r>
              <w:rPr>
                <w:rFonts w:hint="eastAsia"/>
              </w:rPr>
              <w:t>h，制水效率为6</w:t>
            </w:r>
            <w:r>
              <w:t>0</w:t>
            </w:r>
            <w:r>
              <w:rPr>
                <w:rFonts w:hint="eastAsia"/>
              </w:rPr>
              <w:t>%。</w:t>
            </w:r>
            <w:r>
              <w:t>反渗透技术是一种新的纯水和超纯水制备技术，该技术利用反渗透膜选择性地只能透过溶剂的性质，对溶液施加压力，克服溶剂的渗透压，使溶剂通过反渗透膜而从溶液中分离出来。它已广泛应用于水处理工艺中，用反渗透技术将原水中的无机离子、细菌、病毒、有机物及胶体等杂质去除，以获得高质量的纯净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74" w:type="dxa"/>
            <w:vAlign w:val="center"/>
          </w:tcPr>
          <w:p>
            <w:pPr>
              <w:pStyle w:val="29"/>
              <w:adjustRightInd w:val="0"/>
              <w:snapToGrid w:val="0"/>
              <w:spacing w:before="0" w:beforeAutospacing="0" w:after="0" w:afterAutospacing="0"/>
              <w:ind w:firstLine="0" w:firstLineChars="0"/>
              <w:jc w:val="center"/>
              <w:rPr>
                <w:rFonts w:ascii="Times New Roman" w:hAnsi="Times New Roman"/>
                <w:sz w:val="21"/>
                <w:szCs w:val="21"/>
              </w:rPr>
            </w:pPr>
            <w:r>
              <w:rPr>
                <w:rFonts w:ascii="Times New Roman" w:hAnsi="Times New Roman"/>
                <w:sz w:val="21"/>
                <w:szCs w:val="21"/>
              </w:rPr>
              <w:t>工艺流程和产排污环节</w:t>
            </w:r>
          </w:p>
        </w:tc>
        <w:tc>
          <w:tcPr>
            <w:tcW w:w="8119" w:type="dxa"/>
            <w:vAlign w:val="center"/>
          </w:tcPr>
          <w:p>
            <w:pPr>
              <w:adjustRightInd w:val="0"/>
              <w:snapToGrid w:val="0"/>
              <w:spacing w:before="120" w:beforeLines="50" w:line="360" w:lineRule="auto"/>
              <w:ind w:firstLine="198" w:firstLineChars="82"/>
              <w:jc w:val="left"/>
              <w:rPr>
                <w:b/>
                <w:kern w:val="0"/>
                <w:lang w:bidi="ar"/>
              </w:rPr>
            </w:pPr>
            <w:r>
              <w:rPr>
                <w:rFonts w:hint="eastAsia"/>
                <w:b/>
                <w:kern w:val="0"/>
                <w:lang w:bidi="ar"/>
              </w:rPr>
              <w:t>一、施工期工艺流程</w:t>
            </w:r>
          </w:p>
          <w:p>
            <w:pPr>
              <w:ind w:firstLine="480"/>
              <w:rPr>
                <w:lang w:bidi="ar"/>
              </w:rPr>
            </w:pPr>
            <w:r>
              <w:rPr>
                <w:rFonts w:hint="eastAsia"/>
                <w:lang w:bidi="ar"/>
              </w:rPr>
              <w:t>本项目利用</w:t>
            </w:r>
            <w:r>
              <w:rPr>
                <w:rFonts w:hint="eastAsia"/>
              </w:rPr>
              <w:t>四川省巴中水文水资源勘测中心</w:t>
            </w:r>
            <w:r>
              <w:rPr>
                <w:rFonts w:hint="eastAsia"/>
                <w:lang w:bidi="ar"/>
              </w:rPr>
              <w:t>已建办公楼的四层（部分）和五层建设，不涉及基础开挖及土建工程，仅在厂房内部进行设备安装即可投入营运，</w:t>
            </w:r>
            <w:r>
              <w:rPr>
                <w:lang w:bidi="ar"/>
              </w:rPr>
              <w:t>本项目施工期只涉及实验室的装饰工程、设备安装、工程验收等建设工序，期间将产生噪声、固体废弃物、少量污水和废气等污染物，其排放量随工期和施工强度不同而有所变化。</w:t>
            </w:r>
            <w:r>
              <w:rPr>
                <w:rFonts w:hint="eastAsia"/>
                <w:lang w:bidi="ar"/>
              </w:rPr>
              <w:t>具体工艺流程及产污环节见下图：</w:t>
            </w:r>
          </w:p>
          <w:p>
            <w:pPr>
              <w:pStyle w:val="181"/>
              <w:rPr>
                <w:lang w:bidi="ar"/>
              </w:rPr>
            </w:pPr>
            <w:r>
              <w:drawing>
                <wp:inline distT="0" distB="0" distL="0" distR="0">
                  <wp:extent cx="4792980" cy="1533525"/>
                  <wp:effectExtent l="0" t="0" r="7620" b="0"/>
                  <wp:docPr id="9" name="图片 9" descr="新建核酸(PCR)实验室项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新建核酸(PCR)实验室项目"/>
                          <pic:cNvPicPr>
                            <a:picLocks noChangeAspect="1" noChangeArrowheads="1"/>
                          </pic:cNvPicPr>
                        </pic:nvPicPr>
                        <pic:blipFill>
                          <a:blip r:embed="rId21">
                            <a:extLst>
                              <a:ext uri="{28A0092B-C50C-407E-A947-70E740481C1C}">
                                <a14:useLocalDpi xmlns:a14="http://schemas.microsoft.com/office/drawing/2010/main" val="0"/>
                              </a:ext>
                            </a:extLst>
                          </a:blip>
                          <a:srcRect l="5141"/>
                          <a:stretch>
                            <a:fillRect/>
                          </a:stretch>
                        </pic:blipFill>
                        <pic:spPr>
                          <a:xfrm>
                            <a:off x="0" y="0"/>
                            <a:ext cx="4811837" cy="1539358"/>
                          </a:xfrm>
                          <a:prstGeom prst="rect">
                            <a:avLst/>
                          </a:prstGeom>
                          <a:noFill/>
                          <a:ln>
                            <a:noFill/>
                          </a:ln>
                        </pic:spPr>
                      </pic:pic>
                    </a:graphicData>
                  </a:graphic>
                </wp:inline>
              </w:drawing>
            </w:r>
          </w:p>
          <w:p>
            <w:pPr>
              <w:pStyle w:val="157"/>
              <w:rPr>
                <w:lang w:val="de-DE" w:bidi="ar"/>
              </w:rPr>
            </w:pPr>
            <w:r>
              <w:rPr>
                <w:rFonts w:hint="eastAsia"/>
                <w:lang w:val="de-DE" w:bidi="ar"/>
              </w:rPr>
              <w:t>图2</w:t>
            </w:r>
            <w:r>
              <w:rPr>
                <w:lang w:val="de-DE" w:bidi="ar"/>
              </w:rPr>
              <w:t xml:space="preserve">.1-2  </w:t>
            </w:r>
            <w:r>
              <w:rPr>
                <w:rFonts w:hint="eastAsia"/>
                <w:lang w:val="de-DE" w:bidi="ar"/>
              </w:rPr>
              <w:t>项目施工期工艺流程及产污节点图</w:t>
            </w:r>
          </w:p>
          <w:p>
            <w:pPr>
              <w:ind w:firstLine="480"/>
              <w:rPr>
                <w:lang w:bidi="ar"/>
              </w:rPr>
            </w:pPr>
            <w:r>
              <w:rPr>
                <w:rFonts w:hint="eastAsia"/>
                <w:lang w:bidi="ar"/>
              </w:rPr>
              <w:t>本项目在进行施工过程中严格按照相关规定和要求进行施工和管理，能较好地控制施工过程中的扬尘和噪声，故本次评价对施工期进行简单分析。</w:t>
            </w:r>
          </w:p>
          <w:p>
            <w:pPr>
              <w:ind w:firstLine="480"/>
              <w:rPr>
                <w:lang w:bidi="ar"/>
              </w:rPr>
            </w:pPr>
            <w:r>
              <w:rPr>
                <w:lang w:bidi="ar"/>
              </w:rPr>
              <w:t>根据施工期工艺流程分析，项目施工期的污染因素主要有：</w:t>
            </w:r>
          </w:p>
          <w:p>
            <w:pPr>
              <w:ind w:firstLine="480"/>
              <w:rPr>
                <w:lang w:bidi="ar"/>
              </w:rPr>
            </w:pPr>
            <w:r>
              <w:rPr>
                <w:lang w:bidi="ar"/>
              </w:rPr>
              <w:t>（1）废气：主要为实验室装修、装饰过程以及设备安装过程中产生的扬尘。</w:t>
            </w:r>
          </w:p>
          <w:p>
            <w:pPr>
              <w:ind w:firstLine="480"/>
              <w:rPr>
                <w:lang w:bidi="ar"/>
              </w:rPr>
            </w:pPr>
            <w:r>
              <w:rPr>
                <w:lang w:bidi="ar"/>
              </w:rPr>
              <w:t>（2）废水：施工人员产生的生活污水。</w:t>
            </w:r>
          </w:p>
          <w:p>
            <w:pPr>
              <w:ind w:firstLine="480"/>
              <w:rPr>
                <w:lang w:bidi="ar"/>
              </w:rPr>
            </w:pPr>
            <w:r>
              <w:rPr>
                <w:lang w:bidi="ar"/>
              </w:rPr>
              <w:t>（3）噪声：各类设备安装过程中产生的噪声。</w:t>
            </w:r>
          </w:p>
          <w:p>
            <w:pPr>
              <w:ind w:firstLine="480"/>
              <w:rPr>
                <w:lang w:bidi="ar"/>
              </w:rPr>
            </w:pPr>
            <w:r>
              <w:rPr>
                <w:lang w:bidi="ar"/>
              </w:rPr>
              <w:t>（4）固废：主要为废包装材料、建筑垃圾以及施工人员生活垃圾。</w:t>
            </w:r>
          </w:p>
          <w:p>
            <w:pPr>
              <w:adjustRightInd w:val="0"/>
              <w:snapToGrid w:val="0"/>
              <w:spacing w:before="120" w:beforeLines="50" w:line="360" w:lineRule="auto"/>
              <w:ind w:firstLine="198" w:firstLineChars="82"/>
              <w:jc w:val="left"/>
              <w:rPr>
                <w:b/>
                <w:kern w:val="0"/>
                <w:lang w:bidi="ar"/>
              </w:rPr>
            </w:pPr>
            <w:r>
              <w:rPr>
                <w:rFonts w:hint="eastAsia"/>
                <w:b/>
                <w:kern w:val="0"/>
                <w:lang w:bidi="ar"/>
              </w:rPr>
              <w:t>二、运营期工艺流程</w:t>
            </w:r>
          </w:p>
          <w:p>
            <w:pPr>
              <w:ind w:firstLine="480"/>
              <w:rPr>
                <w:lang w:bidi="ar"/>
              </w:rPr>
            </w:pPr>
            <w:r>
              <w:rPr>
                <w:rFonts w:hint="eastAsia"/>
                <w:lang w:bidi="ar"/>
              </w:rPr>
              <w:t>1、检测工艺流程及产污环节</w:t>
            </w:r>
          </w:p>
          <w:p>
            <w:pPr>
              <w:ind w:firstLine="480"/>
              <w:rPr>
                <w:bCs/>
                <w:lang w:bidi="ar"/>
              </w:rPr>
            </w:pPr>
            <w:r>
              <w:rPr>
                <w:bCs/>
                <w:lang w:bidi="ar"/>
              </w:rPr>
              <w:t>本项目主要从事</w:t>
            </w:r>
            <w:r>
              <w:rPr>
                <w:rFonts w:hint="eastAsia"/>
                <w:bCs/>
                <w:lang w:bidi="ar"/>
              </w:rPr>
              <w:t>巴中市内地表水例行监测断面、水库等水环境质量现状监测</w:t>
            </w:r>
            <w:r>
              <w:rPr>
                <w:bCs/>
                <w:lang w:bidi="ar"/>
              </w:rPr>
              <w:t>工作。</w:t>
            </w:r>
          </w:p>
          <w:p>
            <w:pPr>
              <w:ind w:firstLine="480"/>
              <w:rPr>
                <w:lang w:bidi="ar"/>
              </w:rPr>
            </w:pPr>
            <w:r>
              <w:rPr>
                <w:lang w:bidi="ar"/>
              </w:rPr>
              <w:t>检测工艺流程如下图：</w:t>
            </w:r>
          </w:p>
          <w:p>
            <w:pPr>
              <w:pStyle w:val="181"/>
            </w:pPr>
            <w:r>
              <w:object>
                <v:shape id="_x0000_i1026" o:spt="75" type="#_x0000_t75" style="height:266.25pt;width:251.25pt;" o:ole="t" filled="f" o:preferrelative="t" stroked="f" coordsize="21600,21600">
                  <v:path/>
                  <v:fill on="f" focussize="0,0"/>
                  <v:stroke on="f" joinstyle="miter"/>
                  <v:imagedata r:id="rId23" o:title=""/>
                  <o:lock v:ext="edit" aspectratio="t"/>
                  <w10:wrap type="none"/>
                  <w10:anchorlock/>
                </v:shape>
                <o:OLEObject Type="Embed" ProgID="Visio.Drawing.15" ShapeID="_x0000_i1026" DrawAspect="Content" ObjectID="_1468075726" r:id="rId22">
                  <o:LockedField>false</o:LockedField>
                </o:OLEObject>
              </w:object>
            </w:r>
          </w:p>
          <w:p>
            <w:pPr>
              <w:pStyle w:val="157"/>
              <w:rPr>
                <w:lang w:val="de-DE"/>
              </w:rPr>
            </w:pPr>
            <w:r>
              <w:rPr>
                <w:rFonts w:hint="eastAsia"/>
                <w:lang w:val="de-DE"/>
              </w:rPr>
              <w:t>图2</w:t>
            </w:r>
            <w:r>
              <w:rPr>
                <w:lang w:val="de-DE"/>
              </w:rPr>
              <w:t xml:space="preserve">.1-3  </w:t>
            </w:r>
            <w:r>
              <w:rPr>
                <w:rFonts w:hint="eastAsia"/>
                <w:lang w:val="de-DE"/>
              </w:rPr>
              <w:t>样品检测总体工艺流程图</w:t>
            </w:r>
          </w:p>
          <w:p>
            <w:pPr>
              <w:ind w:firstLine="480"/>
              <w:rPr>
                <w:b/>
                <w:bCs/>
              </w:rPr>
            </w:pPr>
            <w:r>
              <w:t>对水样等样品，首先利用温度计、pH计测定其物理指标，再根据不同检测要求，将样品进行消解或萃取等前处理，最后利用原子吸收等仪器测定相应指标。液态样品检测过程中产生的污染物主要为实验结束后产生的清洗废水。</w:t>
            </w:r>
            <w:r>
              <w:rPr>
                <w:rFonts w:hint="eastAsia"/>
              </w:rPr>
              <w:t>具体工艺流程如下所述：</w:t>
            </w:r>
          </w:p>
          <w:p>
            <w:pPr>
              <w:ind w:firstLine="482"/>
              <w:rPr>
                <w:b/>
                <w:bCs/>
              </w:rPr>
            </w:pPr>
            <w:r>
              <w:rPr>
                <w:rFonts w:hint="eastAsia"/>
                <w:b/>
                <w:bCs/>
              </w:rPr>
              <w:t>（1）</w:t>
            </w:r>
            <w:r>
              <w:rPr>
                <w:b/>
                <w:bCs/>
              </w:rPr>
              <w:t>样品接收</w:t>
            </w:r>
          </w:p>
          <w:p>
            <w:pPr>
              <w:ind w:firstLine="480"/>
            </w:pPr>
            <w:r>
              <w:t>样品</w:t>
            </w:r>
            <w:r>
              <w:rPr>
                <w:rFonts w:hint="eastAsia"/>
              </w:rPr>
              <w:t>接收</w:t>
            </w:r>
            <w:r>
              <w:t>后</w:t>
            </w:r>
            <w:r>
              <w:rPr>
                <w:rFonts w:hint="eastAsia"/>
              </w:rPr>
              <w:t>暂存于留样室，并准备实</w:t>
            </w:r>
            <w:r>
              <w:t>验过程所需准备或组装实验仪器。</w:t>
            </w:r>
          </w:p>
          <w:p>
            <w:pPr>
              <w:ind w:firstLine="482"/>
              <w:rPr>
                <w:b/>
                <w:bCs/>
              </w:rPr>
            </w:pPr>
            <w:r>
              <w:rPr>
                <w:rFonts w:hint="eastAsia"/>
                <w:b/>
                <w:bCs/>
              </w:rPr>
              <w:t>（2）样品初步测定</w:t>
            </w:r>
          </w:p>
          <w:p>
            <w:pPr>
              <w:ind w:firstLine="480"/>
            </w:pPr>
            <w:r>
              <w:rPr>
                <w:rFonts w:hint="eastAsia"/>
              </w:rPr>
              <w:t>利用p</w:t>
            </w:r>
            <w:r>
              <w:t>H</w:t>
            </w:r>
            <w:r>
              <w:rPr>
                <w:rFonts w:hint="eastAsia"/>
              </w:rPr>
              <w:t>计、温度计、分析天平等仪器对</w:t>
            </w:r>
            <w:r>
              <w:t>样品</w:t>
            </w:r>
            <w:r>
              <w:rPr>
                <w:rFonts w:hint="eastAsia"/>
              </w:rPr>
              <w:t>进行初步测定</w:t>
            </w:r>
            <w:r>
              <w:t>。</w:t>
            </w:r>
            <w:r>
              <w:rPr>
                <w:rFonts w:hint="eastAsia"/>
              </w:rPr>
              <w:t>测定完成后进入下一步化学分析检测。</w:t>
            </w:r>
          </w:p>
          <w:p>
            <w:pPr>
              <w:ind w:firstLine="482"/>
              <w:rPr>
                <w:b/>
                <w:bCs/>
              </w:rPr>
            </w:pPr>
            <w:r>
              <w:rPr>
                <w:rFonts w:hint="eastAsia"/>
                <w:b/>
                <w:bCs/>
              </w:rPr>
              <w:t>（3）化学分析或仪器分析</w:t>
            </w:r>
          </w:p>
          <w:p>
            <w:pPr>
              <w:ind w:firstLine="482"/>
              <w:rPr>
                <w:b/>
                <w:bCs/>
              </w:rPr>
            </w:pPr>
            <w:r>
              <w:rPr>
                <w:rFonts w:hint="eastAsia"/>
                <w:b/>
                <w:bCs/>
              </w:rPr>
              <w:t>①有机化学分析检测</w:t>
            </w:r>
          </w:p>
          <w:p>
            <w:pPr>
              <w:ind w:firstLine="482"/>
            </w:pPr>
            <w:r>
              <w:rPr>
                <w:rFonts w:hint="eastAsia"/>
                <w:b/>
                <w:bCs/>
              </w:rPr>
              <w:t>萃取、震荡：</w:t>
            </w:r>
            <w:r>
              <w:rPr>
                <w:rFonts w:hint="eastAsia"/>
              </w:rPr>
              <w:t>液态样品转移至分液漏斗内加入正己烷、丙酮等有机试剂进行萃取震荡。</w:t>
            </w:r>
            <w:r>
              <w:rPr>
                <w:rFonts w:hint="eastAsia"/>
                <w:b/>
                <w:bCs/>
              </w:rPr>
              <w:t>此过程产生有机废气。</w:t>
            </w:r>
          </w:p>
          <w:p>
            <w:pPr>
              <w:ind w:firstLine="482"/>
            </w:pPr>
            <w:r>
              <w:rPr>
                <w:rFonts w:hint="eastAsia"/>
                <w:b/>
                <w:bCs/>
              </w:rPr>
              <w:t>浓缩：</w:t>
            </w:r>
            <w:r>
              <w:rPr>
                <w:rFonts w:hint="eastAsia"/>
              </w:rPr>
              <w:t>上述液体经萃取后经有机相转移至浓缩瓶中，之后将装有浓缩液的浓缩瓶装入氮吹仪中进行浓缩。</w:t>
            </w:r>
            <w:r>
              <w:rPr>
                <w:rFonts w:hint="eastAsia"/>
                <w:b/>
                <w:bCs/>
              </w:rPr>
              <w:t>此过程产生有机废气。</w:t>
            </w:r>
          </w:p>
          <w:p>
            <w:pPr>
              <w:ind w:firstLine="482"/>
            </w:pPr>
            <w:r>
              <w:rPr>
                <w:rFonts w:hint="eastAsia"/>
                <w:b/>
                <w:bCs/>
              </w:rPr>
              <w:t>进样：</w:t>
            </w:r>
            <w:r>
              <w:rPr>
                <w:rFonts w:hint="eastAsia"/>
              </w:rPr>
              <w:t>先将浓缩后的样品转移至进样瓶中，然后其中部分装入气相色谱仪</w:t>
            </w:r>
            <w:r>
              <w:rPr>
                <w:rFonts w:hint="eastAsia"/>
                <w:lang w:eastAsia="zh-CN"/>
              </w:rPr>
              <w:t>中</w:t>
            </w:r>
            <w:r>
              <w:rPr>
                <w:rFonts w:hint="eastAsia"/>
              </w:rPr>
              <w:t>进样，另一部分装入液相色谱仪中进样。</w:t>
            </w:r>
            <w:r>
              <w:rPr>
                <w:rFonts w:hint="eastAsia"/>
                <w:b/>
                <w:bCs/>
              </w:rPr>
              <w:t>此过程将产生有机废气、实验废液、实验固废、噪声。</w:t>
            </w:r>
          </w:p>
          <w:p>
            <w:pPr>
              <w:ind w:firstLine="482"/>
            </w:pPr>
            <w:r>
              <w:rPr>
                <w:rFonts w:hint="eastAsia"/>
                <w:b/>
                <w:bCs/>
              </w:rPr>
              <w:t>结果分析：</w:t>
            </w:r>
            <w:r>
              <w:rPr>
                <w:rFonts w:hint="eastAsia"/>
              </w:rPr>
              <w:t>进样完成后进行结果分析。</w:t>
            </w:r>
          </w:p>
          <w:p>
            <w:pPr>
              <w:ind w:firstLine="482"/>
              <w:rPr>
                <w:b/>
                <w:bCs/>
              </w:rPr>
            </w:pPr>
            <w:r>
              <w:rPr>
                <w:rFonts w:hint="eastAsia"/>
                <w:b/>
                <w:bCs/>
              </w:rPr>
              <w:t>②石油类分析检测</w:t>
            </w:r>
          </w:p>
          <w:p>
            <w:pPr>
              <w:ind w:firstLine="482"/>
            </w:pPr>
            <w:r>
              <w:rPr>
                <w:rFonts w:hint="eastAsia"/>
                <w:b/>
                <w:bCs/>
              </w:rPr>
              <w:t>蒸馏：</w:t>
            </w:r>
            <w:r>
              <w:rPr>
                <w:rFonts w:hint="eastAsia"/>
              </w:rPr>
              <w:t>液态样品转移至蒸馏瓶内进行蒸馏。</w:t>
            </w:r>
          </w:p>
          <w:p>
            <w:pPr>
              <w:ind w:firstLine="482"/>
            </w:pPr>
            <w:r>
              <w:rPr>
                <w:rFonts w:hint="eastAsia"/>
                <w:b/>
                <w:bCs/>
              </w:rPr>
              <w:t>萃取：</w:t>
            </w:r>
            <w:r>
              <w:rPr>
                <w:rFonts w:hint="eastAsia"/>
              </w:rPr>
              <w:t>上述液体经转移至分液漏斗内加入正己烷等试剂后进行萃取。</w:t>
            </w:r>
            <w:r>
              <w:rPr>
                <w:rFonts w:hint="eastAsia"/>
                <w:b/>
                <w:bCs/>
              </w:rPr>
              <w:t>此过程将产生有机废气。</w:t>
            </w:r>
          </w:p>
          <w:p>
            <w:pPr>
              <w:ind w:firstLine="482"/>
            </w:pPr>
            <w:r>
              <w:rPr>
                <w:rFonts w:hint="eastAsia"/>
                <w:b/>
                <w:bCs/>
              </w:rPr>
              <w:t>进样：</w:t>
            </w:r>
            <w:r>
              <w:rPr>
                <w:rFonts w:hint="eastAsia"/>
              </w:rPr>
              <w:t>将浓缩后的样品转移至进样瓶中装入分光光度计中测定。</w:t>
            </w:r>
            <w:r>
              <w:rPr>
                <w:rFonts w:hint="eastAsia"/>
                <w:b/>
                <w:bCs/>
              </w:rPr>
              <w:t>此过程产生实验废液。</w:t>
            </w:r>
          </w:p>
          <w:p>
            <w:pPr>
              <w:ind w:firstLine="482"/>
            </w:pPr>
            <w:r>
              <w:rPr>
                <w:rFonts w:hint="eastAsia"/>
                <w:b/>
                <w:bCs/>
              </w:rPr>
              <w:t>结果分析：</w:t>
            </w:r>
            <w:r>
              <w:rPr>
                <w:rFonts w:hint="eastAsia"/>
              </w:rPr>
              <w:t>进样完成后进行结果分析。</w:t>
            </w:r>
          </w:p>
          <w:p>
            <w:pPr>
              <w:ind w:firstLine="482"/>
              <w:rPr>
                <w:b/>
                <w:bCs/>
              </w:rPr>
            </w:pPr>
            <w:r>
              <w:rPr>
                <w:rFonts w:hint="eastAsia"/>
                <w:b/>
                <w:bCs/>
              </w:rPr>
              <w:t>③</w:t>
            </w:r>
            <w:r>
              <w:rPr>
                <w:b/>
                <w:bCs/>
              </w:rPr>
              <w:t>显色滴定测定</w:t>
            </w:r>
          </w:p>
          <w:p>
            <w:pPr>
              <w:ind w:firstLine="482"/>
            </w:pPr>
            <w:r>
              <w:rPr>
                <w:rFonts w:hint="eastAsia"/>
                <w:b/>
                <w:bCs/>
              </w:rPr>
              <w:t>氧化还原或显色反应：</w:t>
            </w:r>
            <w:r>
              <w:rPr>
                <w:rFonts w:hint="eastAsia"/>
              </w:rPr>
              <w:t>将液态样品转移至锥形瓶中，利用滴定管滴加硫酸、盐酸等试剂，在锥形瓶添加酚酞等进行显色反应。</w:t>
            </w:r>
            <w:r>
              <w:rPr>
                <w:rFonts w:hint="eastAsia"/>
                <w:b/>
                <w:bCs/>
              </w:rPr>
              <w:t>此过程将产生酸雾、实验废液。</w:t>
            </w:r>
          </w:p>
          <w:p>
            <w:pPr>
              <w:ind w:firstLine="482"/>
            </w:pPr>
            <w:r>
              <w:rPr>
                <w:rFonts w:hint="eastAsia"/>
                <w:b/>
                <w:bCs/>
              </w:rPr>
              <w:t>进样：</w:t>
            </w:r>
            <w:r>
              <w:rPr>
                <w:rFonts w:hint="eastAsia"/>
              </w:rPr>
              <w:t>将浓缩后的样品转移至进样瓶中装入分光光度计中测定。</w:t>
            </w:r>
            <w:r>
              <w:rPr>
                <w:rFonts w:hint="eastAsia"/>
                <w:b/>
                <w:bCs/>
              </w:rPr>
              <w:t>此过程产生实验废液。</w:t>
            </w:r>
          </w:p>
          <w:p>
            <w:pPr>
              <w:ind w:firstLine="482"/>
            </w:pPr>
            <w:r>
              <w:rPr>
                <w:rFonts w:hint="eastAsia"/>
                <w:b/>
                <w:bCs/>
              </w:rPr>
              <w:t>结果分析：</w:t>
            </w:r>
            <w:r>
              <w:rPr>
                <w:rFonts w:hint="eastAsia"/>
              </w:rPr>
              <w:t>进样完成后进行结果分析。</w:t>
            </w:r>
          </w:p>
          <w:p>
            <w:pPr>
              <w:ind w:firstLine="482"/>
              <w:rPr>
                <w:b/>
                <w:bCs/>
              </w:rPr>
            </w:pPr>
            <w:r>
              <w:rPr>
                <w:rFonts w:hint="eastAsia"/>
                <w:b/>
                <w:bCs/>
              </w:rPr>
              <w:t>④无机化学分析检测</w:t>
            </w:r>
          </w:p>
          <w:p>
            <w:pPr>
              <w:ind w:firstLine="482"/>
            </w:pPr>
            <w:r>
              <w:rPr>
                <w:rFonts w:hint="eastAsia"/>
                <w:b/>
                <w:bCs/>
              </w:rPr>
              <w:t>酸化/消解：</w:t>
            </w:r>
            <w:r>
              <w:rPr>
                <w:rFonts w:hint="eastAsia"/>
              </w:rPr>
              <w:t>根据客户需求进行液态样品无机化学分析检测，液态样品经硫酸、盐酸、硝酸等吸收后滴加铬酸钾、硝酸银、氢氧化钾等溶液。</w:t>
            </w:r>
            <w:r>
              <w:rPr>
                <w:rFonts w:hint="eastAsia"/>
                <w:b/>
                <w:bCs/>
              </w:rPr>
              <w:t>此过程将产生酸雾。</w:t>
            </w:r>
          </w:p>
          <w:p>
            <w:pPr>
              <w:ind w:firstLine="482"/>
            </w:pPr>
            <w:r>
              <w:rPr>
                <w:rFonts w:hint="eastAsia"/>
                <w:b/>
                <w:bCs/>
              </w:rPr>
              <w:t>进样</w:t>
            </w:r>
            <w:r>
              <w:rPr>
                <w:rFonts w:hint="eastAsia"/>
              </w:rPr>
              <w:t>：用原子吸收光谱仪、原子荧光光谱仪、电感耦合等离子体发射光谱仪进行元素分析。</w:t>
            </w:r>
            <w:r>
              <w:rPr>
                <w:rFonts w:hint="eastAsia"/>
                <w:b/>
                <w:bCs/>
              </w:rPr>
              <w:t>此过程将产生酸雾。</w:t>
            </w:r>
          </w:p>
          <w:p>
            <w:pPr>
              <w:ind w:firstLine="482"/>
            </w:pPr>
            <w:r>
              <w:rPr>
                <w:rFonts w:hint="eastAsia"/>
                <w:b/>
                <w:bCs/>
              </w:rPr>
              <w:t>⑤离子成分测定：</w:t>
            </w:r>
            <w:r>
              <w:rPr>
                <w:rFonts w:hint="eastAsia"/>
              </w:rPr>
              <w:t>水样过滤后直接进样，利用离子色谱测定水样中的阴阳离子，此过程将产生</w:t>
            </w:r>
            <w:r>
              <w:rPr>
                <w:rFonts w:hint="eastAsia"/>
                <w:b/>
                <w:bCs/>
              </w:rPr>
              <w:t>实验废液</w:t>
            </w:r>
            <w:r>
              <w:rPr>
                <w:rFonts w:hint="eastAsia"/>
              </w:rPr>
              <w:t>。</w:t>
            </w:r>
          </w:p>
          <w:p>
            <w:pPr>
              <w:ind w:firstLine="482"/>
              <w:rPr>
                <w:b/>
                <w:bCs/>
              </w:rPr>
            </w:pPr>
            <w:r>
              <w:rPr>
                <w:rFonts w:hint="eastAsia"/>
                <w:b/>
                <w:bCs/>
              </w:rPr>
              <w:t>⑥微生物检测</w:t>
            </w:r>
          </w:p>
          <w:p>
            <w:pPr>
              <w:ind w:firstLine="482"/>
            </w:pPr>
            <w:r>
              <w:rPr>
                <w:rFonts w:hint="eastAsia"/>
                <w:b/>
                <w:bCs/>
              </w:rPr>
              <w:t>培养：</w:t>
            </w:r>
            <w:r>
              <w:rPr>
                <w:rFonts w:hint="eastAsia"/>
              </w:rPr>
              <w:t>本项目涉及到的微生物检测指标为粪大肠菌群，样本运回实验室后，根据要求对样品进行前处理，配制培养基后培养。微生物检测全过程均在万级实验室内进行，保证致微生物不外泄。</w:t>
            </w:r>
            <w:r>
              <w:rPr>
                <w:rFonts w:hint="eastAsia"/>
                <w:b/>
                <w:bCs/>
              </w:rPr>
              <w:t>此过程产生实验固废。</w:t>
            </w:r>
          </w:p>
          <w:p>
            <w:pPr>
              <w:ind w:firstLine="482"/>
            </w:pPr>
            <w:r>
              <w:rPr>
                <w:rFonts w:hint="eastAsia"/>
                <w:b/>
                <w:bCs/>
              </w:rPr>
              <w:t>测定：</w:t>
            </w:r>
            <w:r>
              <w:rPr>
                <w:rFonts w:hint="eastAsia"/>
              </w:rPr>
              <w:t>利用显微镜等设备对粪大肠菌群进行计数。</w:t>
            </w:r>
            <w:r>
              <w:rPr>
                <w:rFonts w:hint="eastAsia"/>
                <w:b/>
                <w:bCs/>
              </w:rPr>
              <w:t>此过程产生实验固废。</w:t>
            </w:r>
          </w:p>
          <w:p>
            <w:pPr>
              <w:ind w:firstLine="482"/>
            </w:pPr>
            <w:r>
              <w:rPr>
                <w:rFonts w:hint="eastAsia"/>
                <w:b/>
                <w:bCs/>
              </w:rPr>
              <w:t>回收灭活：微生物样品全程在万级实验室进行测定，实验室内配备高压蒸汽灭菌器，</w:t>
            </w:r>
            <w:r>
              <w:t>对有感染性的器皿先进行灭菌消毒后进行洗刷</w:t>
            </w:r>
            <w:r>
              <w:rPr>
                <w:rFonts w:hint="eastAsia"/>
              </w:rPr>
              <w:t>，器皿清洗</w:t>
            </w:r>
            <w:r>
              <w:t>废水排至</w:t>
            </w:r>
            <w:r>
              <w:rPr>
                <w:rFonts w:hint="eastAsia"/>
              </w:rPr>
              <w:t>实验室废水处理装置。</w:t>
            </w:r>
            <w:r>
              <w:t>灭菌时采用高压蒸汽121°C，102.9kPa，30min灭菌处理，有效灭活病原微生物。</w:t>
            </w:r>
            <w:r>
              <w:rPr>
                <w:rFonts w:hint="eastAsia"/>
                <w:b/>
                <w:bCs/>
              </w:rPr>
              <w:t>此过程产生实验固废、实验废水。</w:t>
            </w:r>
          </w:p>
          <w:p>
            <w:pPr>
              <w:ind w:firstLine="480"/>
            </w:pPr>
            <w:r>
              <w:rPr>
                <w:rFonts w:hint="eastAsia"/>
              </w:rPr>
              <w:t>2、纯水制备工艺流程</w:t>
            </w:r>
          </w:p>
          <w:p>
            <w:pPr>
              <w:ind w:firstLine="480"/>
            </w:pPr>
            <w:r>
              <w:rPr>
                <w:rFonts w:hint="eastAsia"/>
              </w:rPr>
              <w:t>本项目设置</w:t>
            </w:r>
            <w:r>
              <w:t>2</w:t>
            </w:r>
            <w:r>
              <w:rPr>
                <w:rFonts w:hint="eastAsia"/>
              </w:rPr>
              <w:t>台纯水机，用于实验室纯水制备，</w:t>
            </w:r>
            <w:r>
              <w:t>项目采用反渗透纯水机，所用核心元件为反渗透膜，将自来水转化为超纯水。纯水制备工艺流程如下：</w:t>
            </w:r>
          </w:p>
          <w:p>
            <w:pPr>
              <w:pStyle w:val="181"/>
            </w:pPr>
            <w:r>
              <w:object>
                <v:shape id="_x0000_i1027" o:spt="75" type="#_x0000_t75" style="height:70.5pt;width:415.5pt;" o:ole="t" filled="f" o:preferrelative="t" stroked="f" coordsize="21600,21600">
                  <v:path/>
                  <v:fill on="f" focussize="0,0"/>
                  <v:stroke on="f" joinstyle="miter"/>
                  <v:imagedata r:id="rId25" o:title=""/>
                  <o:lock v:ext="edit" aspectratio="t"/>
                  <w10:wrap type="none"/>
                  <w10:anchorlock/>
                </v:shape>
                <o:OLEObject Type="Embed" ProgID="Visio.Drawing.15" ShapeID="_x0000_i1027" DrawAspect="Content" ObjectID="_1468075727" r:id="rId24">
                  <o:LockedField>false</o:LockedField>
                </o:OLEObject>
              </w:object>
            </w:r>
          </w:p>
          <w:p>
            <w:pPr>
              <w:pStyle w:val="157"/>
              <w:rPr>
                <w:lang w:val="de-DE"/>
              </w:rPr>
            </w:pPr>
            <w:r>
              <w:rPr>
                <w:rFonts w:hint="eastAsia"/>
                <w:lang w:val="de-DE"/>
              </w:rPr>
              <w:t>图2</w:t>
            </w:r>
            <w:r>
              <w:rPr>
                <w:lang w:val="de-DE"/>
              </w:rPr>
              <w:t xml:space="preserve">.1-5  </w:t>
            </w:r>
            <w:r>
              <w:rPr>
                <w:rFonts w:hint="eastAsia"/>
                <w:lang w:val="de-DE"/>
              </w:rPr>
              <w:t>项目纯水制备工艺流程及产污节点图</w:t>
            </w:r>
          </w:p>
          <w:p>
            <w:pPr>
              <w:ind w:firstLine="480"/>
            </w:pPr>
            <w:r>
              <w:t>原水：用自来水作原水。</w:t>
            </w:r>
          </w:p>
          <w:p>
            <w:pPr>
              <w:ind w:firstLine="480"/>
            </w:pPr>
            <w:r>
              <w:t>多介质过滤器：采用不同粒径的石英砂，自下而上从大到小顺序放置。对含铁锰较高的原水，采用锰砂作滤料，当原水通过滤料时，大部分悬浮物被滤料吸附，同时由于在滤料表面形成的薄膜增加了流阻，从而强化了过滤精度。</w:t>
            </w:r>
          </w:p>
          <w:p>
            <w:pPr>
              <w:ind w:firstLine="480"/>
            </w:pPr>
            <w:r>
              <w:t>活性炭过滤器：活性炭是广谱吸附剂，可吸附气体成分，如水中的余氯等；吸附细菌和某些过渡金属等。氯气能损害反渗透膜，因此应力求除尽。</w:t>
            </w:r>
          </w:p>
          <w:p>
            <w:pPr>
              <w:ind w:firstLine="480"/>
            </w:pPr>
            <w:r>
              <w:t>精密过滤器：作为</w:t>
            </w:r>
            <w:r>
              <w:fldChar w:fldCharType="begin"/>
            </w:r>
            <w:r>
              <w:instrText xml:space="preserve"> HYPERLINK "http://baike.sogou.com/lemma/ShowInnerLink.htm?lemmaId=9691975&amp;ss_c=ssc.citiao.link" \t "_blank" </w:instrText>
            </w:r>
            <w:r>
              <w:fldChar w:fldCharType="separate"/>
            </w:r>
            <w:r>
              <w:rPr>
                <w:rStyle w:val="42"/>
              </w:rPr>
              <w:t>反渗透</w:t>
            </w:r>
            <w:r>
              <w:rPr>
                <w:rStyle w:val="42"/>
              </w:rPr>
              <w:fldChar w:fldCharType="end"/>
            </w:r>
            <w:r>
              <w:t>的前级处理，可保证水的浑浊小于1度，降低总</w:t>
            </w:r>
            <w:r>
              <w:fldChar w:fldCharType="begin"/>
            </w:r>
            <w:r>
              <w:instrText xml:space="preserve"> HYPERLINK "http://baike.sogou.com/lemma/ShowInnerLink.htm?lemmaId=54025184&amp;ss_c=ssc.citiao.link" \t "_blank" </w:instrText>
            </w:r>
            <w:r>
              <w:fldChar w:fldCharType="separate"/>
            </w:r>
            <w:r>
              <w:rPr>
                <w:rStyle w:val="42"/>
              </w:rPr>
              <w:t>污染指数</w:t>
            </w:r>
            <w:r>
              <w:rPr>
                <w:rStyle w:val="42"/>
              </w:rPr>
              <w:fldChar w:fldCharType="end"/>
            </w:r>
            <w:r>
              <w:t>，并对细菌、</w:t>
            </w:r>
            <w:r>
              <w:fldChar w:fldCharType="begin"/>
            </w:r>
            <w:r>
              <w:instrText xml:space="preserve"> HYPERLINK "http://baike.sogou.com/lemma/ShowInnerLink.htm?lemmaId=5316488&amp;ss_c=ssc.citiao.link" \t "_blank" </w:instrText>
            </w:r>
            <w:r>
              <w:fldChar w:fldCharType="separate"/>
            </w:r>
            <w:r>
              <w:rPr>
                <w:rStyle w:val="42"/>
              </w:rPr>
              <w:t>铁离子</w:t>
            </w:r>
            <w:r>
              <w:rPr>
                <w:rStyle w:val="42"/>
              </w:rPr>
              <w:fldChar w:fldCharType="end"/>
            </w:r>
            <w:r>
              <w:t>、色度的去除有一定的效果，能使电渗析、反渗透稳定运行。</w:t>
            </w:r>
          </w:p>
          <w:p>
            <w:pPr>
              <w:ind w:firstLine="480"/>
            </w:pPr>
            <w:r>
              <w:t>RO系统：采用二级反渗透制备纯化水，反渗透法是以流体压力作为推动力，克服反渗透膜两侧的渗透压差，使水通过反渗透膜，从而使水和盐类分离的除盐方法。反渗透法不仅能去除水中的带电离子，还能去除胶体、细菌及有机物。</w:t>
            </w:r>
          </w:p>
          <w:p>
            <w:pPr>
              <w:ind w:firstLine="480"/>
              <w:rPr>
                <w:lang w:val="de-DE"/>
              </w:rPr>
            </w:pPr>
            <w:r>
              <w:t>因反渗透膜浓水侧由于水的浓缩，导致水中的溶解Ca</w:t>
            </w:r>
            <w:r>
              <w:rPr>
                <w:vertAlign w:val="superscript"/>
              </w:rPr>
              <w:t>2+</w:t>
            </w:r>
            <w:r>
              <w:t>、Mg</w:t>
            </w:r>
            <w:r>
              <w:rPr>
                <w:vertAlign w:val="superscript"/>
              </w:rPr>
              <w:t>2+</w:t>
            </w:r>
            <w:r>
              <w:t>、Ba</w:t>
            </w:r>
            <w:r>
              <w:rPr>
                <w:vertAlign w:val="superscript"/>
              </w:rPr>
              <w:t>2+</w:t>
            </w:r>
            <w:r>
              <w:t>、HCO</w:t>
            </w:r>
            <w:r>
              <w:rPr>
                <w:vertAlign w:val="subscript"/>
              </w:rPr>
              <w:t>3</w:t>
            </w:r>
            <w:r>
              <w:rPr>
                <w:vertAlign w:val="superscript"/>
              </w:rPr>
              <w:t>-</w:t>
            </w:r>
            <w:r>
              <w:t>、SO</w:t>
            </w:r>
            <w:r>
              <w:rPr>
                <w:vertAlign w:val="subscript"/>
              </w:rPr>
              <w:t>4</w:t>
            </w:r>
            <w:r>
              <w:rPr>
                <w:vertAlign w:val="superscript"/>
              </w:rPr>
              <w:t>2-</w:t>
            </w:r>
            <w:r>
              <w:t>等离子产生结垢的离子浓度积小于其平衡常数而结晶析出，在RO膜表面结垢，堵塞影响RO膜的脱盐率。为防止RO膜表面结垢，使用阻垢剂MDC170（1~3ppm）（无磷除垢剂）在过滤器前加入，与预处理水在进入一级反渗透前混合后，提高预处理水中的阴阳离子积以防止水中的一些盐析出。</w:t>
            </w:r>
          </w:p>
          <w:p>
            <w:pPr>
              <w:ind w:firstLine="482"/>
              <w:rPr>
                <w:b/>
                <w:bCs/>
                <w:u w:val="single"/>
                <w:lang w:val="de-DE"/>
              </w:rPr>
            </w:pPr>
            <w:r>
              <w:rPr>
                <w:rFonts w:hint="eastAsia"/>
                <w:b/>
                <w:bCs/>
                <w:u w:val="single"/>
                <w:lang w:val="de-DE"/>
              </w:rPr>
              <w:t>此过程产生的主要污染物有：反渗透浓水、废过滤器。</w:t>
            </w:r>
          </w:p>
          <w:p>
            <w:pPr>
              <w:pStyle w:val="158"/>
            </w:pPr>
            <w:r>
              <w:rPr>
                <w:rFonts w:hint="eastAsia"/>
              </w:rPr>
              <w:t>三</w:t>
            </w:r>
            <w:r>
              <w:t>、产污环节分析</w:t>
            </w:r>
          </w:p>
          <w:p>
            <w:pPr>
              <w:ind w:firstLine="480"/>
              <w:rPr>
                <w:lang w:val="de-DE"/>
              </w:rPr>
            </w:pPr>
            <w:r>
              <w:rPr>
                <w:lang w:val="de-DE"/>
              </w:rPr>
              <w:t>本项目产排污节点如下表所示：</w:t>
            </w:r>
          </w:p>
          <w:p>
            <w:pPr>
              <w:pStyle w:val="157"/>
            </w:pPr>
            <w:r>
              <w:t>表2.1-8</w:t>
            </w:r>
            <w:r>
              <w:rPr>
                <w:rFonts w:hint="eastAsia"/>
              </w:rPr>
              <w:t xml:space="preserve"> </w:t>
            </w:r>
            <w:r>
              <w:t xml:space="preserve"> 产排污节点表</w:t>
            </w:r>
          </w:p>
          <w:tbl>
            <w:tblPr>
              <w:tblStyle w:val="19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32"/>
              <w:gridCol w:w="1305"/>
              <w:gridCol w:w="1648"/>
              <w:gridCol w:w="46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28" w:type="pct"/>
                  <w:vAlign w:val="center"/>
                </w:tcPr>
                <w:p>
                  <w:pPr>
                    <w:pStyle w:val="136"/>
                    <w:adjustRightInd w:val="0"/>
                    <w:snapToGrid w:val="0"/>
                    <w:rPr>
                      <w:rFonts w:cs="Times New Roman"/>
                      <w:b/>
                      <w:szCs w:val="18"/>
                      <w:lang w:val="de-DE"/>
                    </w:rPr>
                  </w:pPr>
                  <w:r>
                    <w:rPr>
                      <w:rFonts w:cs="Times New Roman"/>
                      <w:b/>
                      <w:szCs w:val="18"/>
                      <w:lang w:val="de-DE"/>
                    </w:rPr>
                    <w:t>类别</w:t>
                  </w:r>
                </w:p>
              </w:tc>
              <w:tc>
                <w:tcPr>
                  <w:tcW w:w="805" w:type="pct"/>
                  <w:vAlign w:val="center"/>
                </w:tcPr>
                <w:p>
                  <w:pPr>
                    <w:pStyle w:val="136"/>
                    <w:adjustRightInd w:val="0"/>
                    <w:snapToGrid w:val="0"/>
                    <w:rPr>
                      <w:rFonts w:cs="Times New Roman"/>
                      <w:b/>
                      <w:szCs w:val="18"/>
                      <w:lang w:val="de-DE"/>
                    </w:rPr>
                  </w:pPr>
                  <w:r>
                    <w:rPr>
                      <w:rFonts w:cs="Times New Roman"/>
                      <w:b/>
                      <w:szCs w:val="18"/>
                      <w:lang w:val="de-DE"/>
                    </w:rPr>
                    <w:t>产污节点</w:t>
                  </w:r>
                </w:p>
              </w:tc>
              <w:tc>
                <w:tcPr>
                  <w:tcW w:w="1017" w:type="pct"/>
                  <w:vAlign w:val="center"/>
                </w:tcPr>
                <w:p>
                  <w:pPr>
                    <w:pStyle w:val="136"/>
                    <w:adjustRightInd w:val="0"/>
                    <w:snapToGrid w:val="0"/>
                    <w:rPr>
                      <w:rFonts w:cs="Times New Roman"/>
                      <w:b/>
                      <w:szCs w:val="18"/>
                      <w:lang w:val="de-DE"/>
                    </w:rPr>
                  </w:pPr>
                  <w:r>
                    <w:rPr>
                      <w:rFonts w:cs="Times New Roman"/>
                      <w:b/>
                      <w:szCs w:val="18"/>
                      <w:lang w:val="de-DE"/>
                    </w:rPr>
                    <w:t>主要污染物</w:t>
                  </w:r>
                </w:p>
              </w:tc>
              <w:tc>
                <w:tcPr>
                  <w:tcW w:w="2850" w:type="pct"/>
                  <w:vAlign w:val="center"/>
                </w:tcPr>
                <w:p>
                  <w:pPr>
                    <w:pStyle w:val="136"/>
                    <w:adjustRightInd w:val="0"/>
                    <w:snapToGrid w:val="0"/>
                    <w:rPr>
                      <w:rFonts w:cs="Times New Roman"/>
                      <w:b/>
                      <w:szCs w:val="18"/>
                      <w:lang w:val="de-DE"/>
                    </w:rPr>
                  </w:pPr>
                  <w:r>
                    <w:rPr>
                      <w:rFonts w:cs="Times New Roman"/>
                      <w:b/>
                      <w:szCs w:val="18"/>
                      <w:lang w:val="de-DE"/>
                    </w:rPr>
                    <w:t>排放去向/治理措施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28" w:type="pct"/>
                  <w:vAlign w:val="center"/>
                </w:tcPr>
                <w:p>
                  <w:pPr>
                    <w:pStyle w:val="136"/>
                    <w:adjustRightInd w:val="0"/>
                    <w:snapToGrid w:val="0"/>
                    <w:rPr>
                      <w:rFonts w:cs="Times New Roman"/>
                      <w:szCs w:val="18"/>
                      <w:lang w:val="de-DE"/>
                    </w:rPr>
                  </w:pPr>
                  <w:r>
                    <w:rPr>
                      <w:rFonts w:cs="Times New Roman"/>
                      <w:szCs w:val="18"/>
                      <w:lang w:val="de-DE"/>
                    </w:rPr>
                    <w:t>废气</w:t>
                  </w:r>
                </w:p>
              </w:tc>
              <w:tc>
                <w:tcPr>
                  <w:tcW w:w="805" w:type="pct"/>
                  <w:vAlign w:val="center"/>
                </w:tcPr>
                <w:p>
                  <w:pPr>
                    <w:pStyle w:val="136"/>
                    <w:adjustRightInd w:val="0"/>
                    <w:snapToGrid w:val="0"/>
                    <w:rPr>
                      <w:rFonts w:cs="Times New Roman"/>
                      <w:szCs w:val="18"/>
                      <w:lang w:val="de-DE"/>
                    </w:rPr>
                  </w:pPr>
                  <w:r>
                    <w:rPr>
                      <w:rFonts w:hint="eastAsia" w:cs="Times New Roman"/>
                      <w:szCs w:val="18"/>
                      <w:lang w:val="de-DE"/>
                    </w:rPr>
                    <w:t>实验室分析</w:t>
                  </w:r>
                </w:p>
              </w:tc>
              <w:tc>
                <w:tcPr>
                  <w:tcW w:w="1017" w:type="pct"/>
                  <w:vAlign w:val="center"/>
                </w:tcPr>
                <w:p>
                  <w:pPr>
                    <w:pStyle w:val="136"/>
                    <w:adjustRightInd w:val="0"/>
                    <w:snapToGrid w:val="0"/>
                    <w:rPr>
                      <w:rFonts w:cs="Times New Roman"/>
                      <w:szCs w:val="18"/>
                      <w:lang w:val="de-DE"/>
                    </w:rPr>
                  </w:pPr>
                  <w:r>
                    <w:rPr>
                      <w:rFonts w:hint="eastAsia" w:cs="Times New Roman"/>
                      <w:szCs w:val="18"/>
                      <w:lang w:val="de-DE"/>
                    </w:rPr>
                    <w:t>VOCs、丙酮、正己烷、氯化氢、硫酸雾</w:t>
                  </w:r>
                </w:p>
              </w:tc>
              <w:tc>
                <w:tcPr>
                  <w:tcW w:w="2850" w:type="pct"/>
                  <w:vAlign w:val="center"/>
                </w:tcPr>
                <w:p>
                  <w:pPr>
                    <w:pStyle w:val="136"/>
                    <w:adjustRightInd w:val="0"/>
                    <w:snapToGrid w:val="0"/>
                    <w:jc w:val="both"/>
                    <w:rPr>
                      <w:rFonts w:cs="Times New Roman"/>
                      <w:szCs w:val="18"/>
                      <w:lang w:val="de-DE"/>
                    </w:rPr>
                  </w:pPr>
                  <w:r>
                    <w:rPr>
                      <w:rFonts w:hint="eastAsia" w:cs="Times New Roman"/>
                      <w:szCs w:val="18"/>
                      <w:lang w:val="de-DE"/>
                    </w:rPr>
                    <w:t>经通风柜、万向排气罩、集气罩收集后，</w:t>
                  </w:r>
                  <w:r>
                    <w:rPr>
                      <w:rFonts w:hint="eastAsia"/>
                      <w:lang w:bidi="ar"/>
                    </w:rPr>
                    <w:t>排入楼顶废气处理措施（活性炭纤维+碱液喷淋塔）处理后，通过2</w:t>
                  </w:r>
                  <w:r>
                    <w:rPr>
                      <w:lang w:bidi="ar"/>
                    </w:rPr>
                    <w:t>5</w:t>
                  </w:r>
                  <w:r>
                    <w:rPr>
                      <w:rFonts w:hint="eastAsia"/>
                      <w:lang w:bidi="ar"/>
                    </w:rPr>
                    <w:t>m高排气筒（DA</w:t>
                  </w:r>
                  <w:r>
                    <w:rPr>
                      <w:lang w:bidi="ar"/>
                    </w:rPr>
                    <w:t>001</w:t>
                  </w:r>
                  <w:r>
                    <w:rPr>
                      <w:rFonts w:hint="eastAsia"/>
                      <w:lang w:bidi="ar"/>
                    </w:rPr>
                    <w:t>、DA</w:t>
                  </w:r>
                  <w:r>
                    <w:rPr>
                      <w:lang w:bidi="ar"/>
                    </w:rPr>
                    <w:t>002</w:t>
                  </w:r>
                  <w:r>
                    <w:rPr>
                      <w:rFonts w:hint="eastAsia"/>
                      <w:lang w:bidi="ar"/>
                    </w:rPr>
                    <w:t>）排放。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28" w:type="pct"/>
                  <w:vMerge w:val="restart"/>
                  <w:vAlign w:val="center"/>
                </w:tcPr>
                <w:p>
                  <w:pPr>
                    <w:pStyle w:val="136"/>
                    <w:adjustRightInd w:val="0"/>
                    <w:snapToGrid w:val="0"/>
                    <w:rPr>
                      <w:rFonts w:cs="Times New Roman"/>
                      <w:szCs w:val="18"/>
                      <w:lang w:val="de-DE"/>
                    </w:rPr>
                  </w:pPr>
                  <w:r>
                    <w:rPr>
                      <w:rFonts w:cs="Times New Roman"/>
                      <w:szCs w:val="18"/>
                      <w:lang w:val="de-DE"/>
                    </w:rPr>
                    <w:t>废水</w:t>
                  </w:r>
                </w:p>
              </w:tc>
              <w:tc>
                <w:tcPr>
                  <w:tcW w:w="805" w:type="pct"/>
                  <w:vAlign w:val="center"/>
                </w:tcPr>
                <w:p>
                  <w:pPr>
                    <w:pStyle w:val="136"/>
                    <w:adjustRightInd w:val="0"/>
                    <w:snapToGrid w:val="0"/>
                    <w:rPr>
                      <w:rFonts w:cs="Times New Roman"/>
                      <w:szCs w:val="18"/>
                      <w:lang w:val="de-DE"/>
                    </w:rPr>
                  </w:pPr>
                  <w:r>
                    <w:rPr>
                      <w:rFonts w:hint="eastAsia" w:cs="Times New Roman"/>
                      <w:szCs w:val="18"/>
                      <w:lang w:val="de-DE"/>
                    </w:rPr>
                    <w:t>生活污水</w:t>
                  </w:r>
                </w:p>
              </w:tc>
              <w:tc>
                <w:tcPr>
                  <w:tcW w:w="1017" w:type="pct"/>
                  <w:vAlign w:val="center"/>
                </w:tcPr>
                <w:p>
                  <w:pPr>
                    <w:pStyle w:val="136"/>
                    <w:adjustRightInd w:val="0"/>
                    <w:snapToGrid w:val="0"/>
                    <w:rPr>
                      <w:rFonts w:cs="Times New Roman"/>
                      <w:szCs w:val="18"/>
                      <w:lang w:val="de-DE"/>
                    </w:rPr>
                  </w:pPr>
                  <w:r>
                    <w:rPr>
                      <w:rFonts w:hint="eastAsia"/>
                      <w:szCs w:val="18"/>
                      <w:lang w:val="de-DE"/>
                    </w:rPr>
                    <w:t>COD</w:t>
                  </w:r>
                  <w:r>
                    <w:rPr>
                      <w:rFonts w:hint="eastAsia"/>
                      <w:szCs w:val="18"/>
                      <w:vertAlign w:val="subscript"/>
                      <w:lang w:val="de-DE"/>
                    </w:rPr>
                    <w:t>Cr</w:t>
                  </w:r>
                  <w:r>
                    <w:rPr>
                      <w:rFonts w:hint="eastAsia"/>
                      <w:szCs w:val="18"/>
                    </w:rPr>
                    <w:t>、</w:t>
                  </w:r>
                  <w:r>
                    <w:rPr>
                      <w:rFonts w:hint="eastAsia"/>
                      <w:szCs w:val="18"/>
                      <w:lang w:val="de-DE"/>
                    </w:rPr>
                    <w:t>BOD</w:t>
                  </w:r>
                  <w:r>
                    <w:rPr>
                      <w:szCs w:val="18"/>
                      <w:vertAlign w:val="subscript"/>
                      <w:lang w:val="de-DE"/>
                    </w:rPr>
                    <w:t>5</w:t>
                  </w:r>
                  <w:r>
                    <w:rPr>
                      <w:rFonts w:hint="eastAsia"/>
                      <w:szCs w:val="18"/>
                    </w:rPr>
                    <w:t>、氨氮、</w:t>
                  </w:r>
                  <w:r>
                    <w:rPr>
                      <w:rFonts w:hint="eastAsia"/>
                      <w:szCs w:val="18"/>
                      <w:lang w:val="de-DE"/>
                    </w:rPr>
                    <w:t>SS、TP</w:t>
                  </w:r>
                </w:p>
              </w:tc>
              <w:tc>
                <w:tcPr>
                  <w:tcW w:w="2850" w:type="pct"/>
                  <w:vAlign w:val="center"/>
                </w:tcPr>
                <w:p>
                  <w:pPr>
                    <w:pStyle w:val="136"/>
                    <w:adjustRightInd w:val="0"/>
                    <w:snapToGrid w:val="0"/>
                    <w:jc w:val="both"/>
                  </w:pPr>
                  <w:r>
                    <w:rPr>
                      <w:rFonts w:hint="eastAsia"/>
                    </w:rPr>
                    <w:t>经</w:t>
                  </w:r>
                  <w:r>
                    <w:rPr>
                      <w:rStyle w:val="194"/>
                      <w:color w:val="auto"/>
                      <w:sz w:val="18"/>
                    </w:rPr>
                    <w:t>生活污水预处理池</w:t>
                  </w:r>
                  <w:r>
                    <w:rPr>
                      <w:rStyle w:val="194"/>
                      <w:rFonts w:hint="eastAsia"/>
                      <w:color w:val="auto"/>
                      <w:sz w:val="18"/>
                    </w:rPr>
                    <w:t>（处理规模</w:t>
                  </w:r>
                  <w:r>
                    <w:rPr>
                      <w:rStyle w:val="194"/>
                      <w:color w:val="auto"/>
                      <w:sz w:val="18"/>
                    </w:rPr>
                    <w:t>10m</w:t>
                  </w:r>
                  <w:r>
                    <w:rPr>
                      <w:rStyle w:val="194"/>
                      <w:color w:val="auto"/>
                      <w:sz w:val="18"/>
                      <w:vertAlign w:val="superscript"/>
                    </w:rPr>
                    <w:t>3</w:t>
                  </w:r>
                  <w:r>
                    <w:rPr>
                      <w:rStyle w:val="194"/>
                      <w:color w:val="auto"/>
                      <w:sz w:val="18"/>
                    </w:rPr>
                    <w:t>/d，</w:t>
                  </w:r>
                  <w:r>
                    <w:rPr>
                      <w:rStyle w:val="194"/>
                      <w:rFonts w:hint="eastAsia"/>
                      <w:color w:val="auto"/>
                      <w:sz w:val="18"/>
                    </w:rPr>
                    <w:t>位于厂区西侧）处理后，于厂区西</w:t>
                  </w:r>
                  <w:r>
                    <w:rPr>
                      <w:rStyle w:val="194"/>
                      <w:color w:val="auto"/>
                      <w:sz w:val="18"/>
                    </w:rPr>
                    <w:t>侧</w:t>
                  </w:r>
                  <w:r>
                    <w:rPr>
                      <w:rStyle w:val="194"/>
                      <w:rFonts w:hint="eastAsia"/>
                      <w:color w:val="auto"/>
                      <w:sz w:val="18"/>
                    </w:rPr>
                    <w:t>市政污水管网碰管，</w:t>
                  </w:r>
                  <w:r>
                    <w:rPr>
                      <w:rFonts w:hint="eastAsia"/>
                    </w:rPr>
                    <w:t>通过市政污水管网排入巴中经济开发区污水处理厂（</w:t>
                  </w:r>
                  <w:r>
                    <w:t>1</w:t>
                  </w:r>
                  <w:r>
                    <w:rPr>
                      <w:rFonts w:hint="eastAsia"/>
                    </w:rPr>
                    <w:t>期，1</w:t>
                  </w:r>
                  <w:r>
                    <w:t>.99</w:t>
                  </w:r>
                  <w:r>
                    <w:rPr>
                      <w:rFonts w:hint="eastAsia"/>
                    </w:rPr>
                    <w:t>万m</w:t>
                  </w:r>
                  <w:r>
                    <w:rPr>
                      <w:vertAlign w:val="superscript"/>
                    </w:rPr>
                    <w:t>3</w:t>
                  </w:r>
                  <w:r>
                    <w:t>/</w:t>
                  </w:r>
                  <w:r>
                    <w:rPr>
                      <w:rFonts w:hint="eastAsia"/>
                    </w:rPr>
                    <w:t>d）处理达《城镇污水处理厂污染物排放标准》（GB18918-2002）中一级A标准后排入巴河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28" w:type="pct"/>
                  <w:vMerge w:val="continue"/>
                  <w:vAlign w:val="center"/>
                </w:tcPr>
                <w:p>
                  <w:pPr>
                    <w:pStyle w:val="136"/>
                    <w:adjustRightInd w:val="0"/>
                    <w:snapToGrid w:val="0"/>
                    <w:rPr>
                      <w:rFonts w:cs="Times New Roman"/>
                      <w:szCs w:val="18"/>
                      <w:lang w:val="de-DE"/>
                    </w:rPr>
                  </w:pPr>
                </w:p>
              </w:tc>
              <w:tc>
                <w:tcPr>
                  <w:tcW w:w="805" w:type="pct"/>
                  <w:vAlign w:val="center"/>
                </w:tcPr>
                <w:p>
                  <w:pPr>
                    <w:pStyle w:val="136"/>
                    <w:adjustRightInd w:val="0"/>
                    <w:snapToGrid w:val="0"/>
                    <w:rPr>
                      <w:rFonts w:cs="Times New Roman"/>
                      <w:szCs w:val="18"/>
                      <w:lang w:val="de-DE"/>
                    </w:rPr>
                  </w:pPr>
                  <w:r>
                    <w:rPr>
                      <w:rFonts w:hint="eastAsia" w:cs="Times New Roman"/>
                      <w:szCs w:val="18"/>
                      <w:lang w:val="de-DE"/>
                    </w:rPr>
                    <w:t>实验室废水</w:t>
                  </w:r>
                </w:p>
              </w:tc>
              <w:tc>
                <w:tcPr>
                  <w:tcW w:w="1017" w:type="pct"/>
                  <w:vAlign w:val="center"/>
                </w:tcPr>
                <w:p>
                  <w:pPr>
                    <w:pStyle w:val="136"/>
                    <w:adjustRightInd w:val="0"/>
                    <w:snapToGrid w:val="0"/>
                    <w:rPr>
                      <w:rFonts w:cs="Times New Roman"/>
                      <w:szCs w:val="18"/>
                      <w:lang w:val="de-DE"/>
                    </w:rPr>
                  </w:pPr>
                  <w:r>
                    <w:rPr>
                      <w:rFonts w:hint="eastAsia"/>
                      <w:szCs w:val="18"/>
                      <w:lang w:val="de-DE"/>
                    </w:rPr>
                    <w:t>COD</w:t>
                  </w:r>
                  <w:r>
                    <w:rPr>
                      <w:rFonts w:hint="eastAsia"/>
                      <w:szCs w:val="18"/>
                      <w:vertAlign w:val="subscript"/>
                      <w:lang w:val="de-DE"/>
                    </w:rPr>
                    <w:t>Cr</w:t>
                  </w:r>
                  <w:r>
                    <w:rPr>
                      <w:rFonts w:hint="eastAsia"/>
                      <w:szCs w:val="18"/>
                    </w:rPr>
                    <w:t>、</w:t>
                  </w:r>
                  <w:r>
                    <w:rPr>
                      <w:rFonts w:hint="eastAsia"/>
                      <w:szCs w:val="18"/>
                      <w:lang w:val="de-DE"/>
                    </w:rPr>
                    <w:t>BOD</w:t>
                  </w:r>
                  <w:r>
                    <w:rPr>
                      <w:szCs w:val="18"/>
                      <w:vertAlign w:val="subscript"/>
                      <w:lang w:val="de-DE"/>
                    </w:rPr>
                    <w:t>5</w:t>
                  </w:r>
                  <w:r>
                    <w:rPr>
                      <w:rFonts w:hint="eastAsia"/>
                      <w:szCs w:val="18"/>
                    </w:rPr>
                    <w:t>、氨氮、</w:t>
                  </w:r>
                  <w:r>
                    <w:rPr>
                      <w:rFonts w:hint="eastAsia"/>
                      <w:szCs w:val="18"/>
                      <w:lang w:val="de-DE"/>
                    </w:rPr>
                    <w:t>SS、TP</w:t>
                  </w:r>
                </w:p>
              </w:tc>
              <w:tc>
                <w:tcPr>
                  <w:tcW w:w="2850" w:type="pct"/>
                  <w:vAlign w:val="center"/>
                </w:tcPr>
                <w:p>
                  <w:pPr>
                    <w:pStyle w:val="136"/>
                    <w:adjustRightInd w:val="0"/>
                    <w:snapToGrid w:val="0"/>
                    <w:jc w:val="both"/>
                    <w:rPr>
                      <w:rFonts w:cs="Times New Roman"/>
                      <w:szCs w:val="18"/>
                      <w:lang w:val="de-DE"/>
                    </w:rPr>
                  </w:pPr>
                  <w:r>
                    <w:rPr>
                      <w:rFonts w:hint="eastAsia"/>
                    </w:rPr>
                    <w:t>本项目在</w:t>
                  </w:r>
                  <w:r>
                    <w:t>1</w:t>
                  </w:r>
                  <w:r>
                    <w:rPr>
                      <w:rFonts w:hint="eastAsia"/>
                    </w:rPr>
                    <w:t>楼和4楼分别设置1台一体化废水处理设施，处理规模均为0</w:t>
                  </w:r>
                  <w:r>
                    <w:t>.3</w:t>
                  </w:r>
                  <w:r>
                    <w:rPr>
                      <w:rFonts w:hint="eastAsia"/>
                    </w:rPr>
                    <w:t>m</w:t>
                  </w:r>
                  <w:r>
                    <w:rPr>
                      <w:vertAlign w:val="superscript"/>
                    </w:rPr>
                    <w:t>3</w:t>
                  </w:r>
                  <w:r>
                    <w:t>/</w:t>
                  </w:r>
                  <w:r>
                    <w:rPr>
                      <w:rFonts w:hint="eastAsia"/>
                    </w:rPr>
                    <w:t>d（共0</w:t>
                  </w:r>
                  <w:r>
                    <w:t>.6</w:t>
                  </w:r>
                  <w:r>
                    <w:rPr>
                      <w:rFonts w:hint="eastAsia"/>
                    </w:rPr>
                    <w:t>m</w:t>
                  </w:r>
                  <w:r>
                    <w:rPr>
                      <w:vertAlign w:val="superscript"/>
                    </w:rPr>
                    <w:t>3</w:t>
                  </w:r>
                  <w:r>
                    <w:t>/</w:t>
                  </w:r>
                  <w:r>
                    <w:rPr>
                      <w:rFonts w:hint="eastAsia"/>
                    </w:rPr>
                    <w:t>d），采用“集水箱</w:t>
                  </w:r>
                  <w:r>
                    <w:rPr>
                      <w:rFonts w:hint="eastAsia"/>
                      <w:szCs w:val="18"/>
                    </w:rPr>
                    <w:t>+pH调节+混凝沉淀+光催化降解+复合过滤+紫外消毒</w:t>
                  </w:r>
                  <w:r>
                    <w:rPr>
                      <w:rFonts w:hint="eastAsia"/>
                    </w:rPr>
                    <w:t>”处理工艺，废水经处理达《污水综合排放标准》（</w:t>
                  </w:r>
                  <w:r>
                    <w:t>GB8978-1996</w:t>
                  </w:r>
                  <w:r>
                    <w:rPr>
                      <w:rFonts w:hint="eastAsia"/>
                    </w:rPr>
                    <w:t>）三级标准后，于厂区西</w:t>
                  </w:r>
                  <w:r>
                    <w:t>侧</w:t>
                  </w:r>
                  <w:r>
                    <w:rPr>
                      <w:rFonts w:hint="eastAsia"/>
                    </w:rPr>
                    <w:t>市政污水管网碰管</w:t>
                  </w:r>
                  <w:r>
                    <w:rPr>
                      <w:rStyle w:val="194"/>
                      <w:rFonts w:hint="eastAsia"/>
                      <w:color w:val="auto"/>
                    </w:rPr>
                    <w:t>，</w:t>
                  </w:r>
                  <w:r>
                    <w:rPr>
                      <w:rFonts w:hint="eastAsia"/>
                    </w:rPr>
                    <w:t>通过市政污水管网排入巴中经济开发区污水处理厂（</w:t>
                  </w:r>
                  <w:r>
                    <w:t>1</w:t>
                  </w:r>
                  <w:r>
                    <w:rPr>
                      <w:rFonts w:hint="eastAsia"/>
                    </w:rPr>
                    <w:t>期，1</w:t>
                  </w:r>
                  <w:r>
                    <w:t>.99</w:t>
                  </w:r>
                  <w:r>
                    <w:rPr>
                      <w:rFonts w:hint="eastAsia"/>
                    </w:rPr>
                    <w:t>万m</w:t>
                  </w:r>
                  <w:r>
                    <w:rPr>
                      <w:vertAlign w:val="superscript"/>
                    </w:rPr>
                    <w:t>3</w:t>
                  </w:r>
                  <w:r>
                    <w:t>/</w:t>
                  </w:r>
                  <w:r>
                    <w:rPr>
                      <w:rFonts w:hint="eastAsia"/>
                    </w:rPr>
                    <w:t>d）处理达《城镇污水处理厂污染物排放标准》（GB18918-2002）中一级A标准后排入巴河。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28" w:type="pct"/>
                  <w:vMerge w:val="restart"/>
                  <w:vAlign w:val="center"/>
                </w:tcPr>
                <w:p>
                  <w:pPr>
                    <w:pStyle w:val="136"/>
                    <w:adjustRightInd w:val="0"/>
                    <w:snapToGrid w:val="0"/>
                    <w:rPr>
                      <w:rFonts w:cs="Times New Roman"/>
                      <w:szCs w:val="18"/>
                      <w:lang w:val="de-DE"/>
                    </w:rPr>
                  </w:pPr>
                  <w:r>
                    <w:rPr>
                      <w:rFonts w:hint="eastAsia" w:cs="Times New Roman"/>
                      <w:szCs w:val="18"/>
                      <w:lang w:val="de-DE"/>
                    </w:rPr>
                    <w:t>危险废物</w:t>
                  </w:r>
                </w:p>
              </w:tc>
              <w:tc>
                <w:tcPr>
                  <w:tcW w:w="805" w:type="pct"/>
                  <w:vMerge w:val="restart"/>
                  <w:vAlign w:val="center"/>
                </w:tcPr>
                <w:p>
                  <w:pPr>
                    <w:pStyle w:val="136"/>
                    <w:adjustRightInd w:val="0"/>
                    <w:snapToGrid w:val="0"/>
                    <w:rPr>
                      <w:rFonts w:cs="Times New Roman"/>
                      <w:szCs w:val="18"/>
                      <w:lang w:val="de-DE"/>
                    </w:rPr>
                  </w:pPr>
                  <w:r>
                    <w:rPr>
                      <w:rFonts w:hint="eastAsia" w:cs="Times New Roman"/>
                      <w:szCs w:val="18"/>
                      <w:lang w:val="de-DE"/>
                    </w:rPr>
                    <w:t>实验室分析</w:t>
                  </w:r>
                </w:p>
              </w:tc>
              <w:tc>
                <w:tcPr>
                  <w:tcW w:w="1017" w:type="pct"/>
                  <w:vAlign w:val="center"/>
                </w:tcPr>
                <w:p>
                  <w:pPr>
                    <w:pStyle w:val="136"/>
                    <w:adjustRightInd w:val="0"/>
                    <w:snapToGrid w:val="0"/>
                    <w:rPr>
                      <w:rFonts w:cs="Times New Roman"/>
                      <w:szCs w:val="18"/>
                      <w:lang w:val="de-DE"/>
                    </w:rPr>
                  </w:pPr>
                  <w:r>
                    <w:rPr>
                      <w:rFonts w:hint="eastAsia" w:cs="Times New Roman"/>
                      <w:szCs w:val="18"/>
                      <w:lang w:val="de-DE"/>
                    </w:rPr>
                    <w:t>实验固废</w:t>
                  </w:r>
                </w:p>
              </w:tc>
              <w:tc>
                <w:tcPr>
                  <w:tcW w:w="2850" w:type="pct"/>
                  <w:vMerge w:val="restart"/>
                  <w:vAlign w:val="center"/>
                </w:tcPr>
                <w:p>
                  <w:pPr>
                    <w:pStyle w:val="136"/>
                    <w:adjustRightInd w:val="0"/>
                    <w:snapToGrid w:val="0"/>
                  </w:pPr>
                  <w:r>
                    <w:rPr>
                      <w:rFonts w:hint="eastAsia"/>
                      <w:lang w:val="de-DE"/>
                    </w:rPr>
                    <w:t>（废培养基需先进行高压蒸汽灭菌）收集暂存于5F危险废物暂存间内（3</w:t>
                  </w:r>
                  <w:r>
                    <w:rPr>
                      <w:lang w:val="de-DE"/>
                    </w:rPr>
                    <w:t>.96</w:t>
                  </w:r>
                  <w:r>
                    <w:rPr>
                      <w:rFonts w:hint="eastAsia"/>
                      <w:lang w:val="de-DE"/>
                    </w:rPr>
                    <w:t>m</w:t>
                  </w:r>
                  <w:r>
                    <w:rPr>
                      <w:vertAlign w:val="superscript"/>
                      <w:lang w:val="de-DE"/>
                    </w:rPr>
                    <w:t>2</w:t>
                  </w:r>
                  <w:r>
                    <w:rPr>
                      <w:rFonts w:hint="eastAsia"/>
                      <w:lang w:val="de-DE"/>
                    </w:rPr>
                    <w:t>），委托有危险废物处置资质单位定期清运处理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28" w:type="pct"/>
                  <w:vMerge w:val="continue"/>
                  <w:vAlign w:val="center"/>
                </w:tcPr>
                <w:p>
                  <w:pPr>
                    <w:pStyle w:val="136"/>
                    <w:adjustRightInd w:val="0"/>
                    <w:snapToGrid w:val="0"/>
                    <w:rPr>
                      <w:rFonts w:cs="Times New Roman"/>
                      <w:szCs w:val="18"/>
                      <w:lang w:val="de-DE"/>
                    </w:rPr>
                  </w:pPr>
                </w:p>
              </w:tc>
              <w:tc>
                <w:tcPr>
                  <w:tcW w:w="805" w:type="pct"/>
                  <w:vMerge w:val="continue"/>
                  <w:vAlign w:val="center"/>
                </w:tcPr>
                <w:p>
                  <w:pPr>
                    <w:pStyle w:val="136"/>
                    <w:adjustRightInd w:val="0"/>
                    <w:snapToGrid w:val="0"/>
                    <w:rPr>
                      <w:rFonts w:cs="Times New Roman"/>
                      <w:szCs w:val="18"/>
                      <w:lang w:val="de-DE"/>
                    </w:rPr>
                  </w:pPr>
                </w:p>
              </w:tc>
              <w:tc>
                <w:tcPr>
                  <w:tcW w:w="1017" w:type="pct"/>
                  <w:vAlign w:val="center"/>
                </w:tcPr>
                <w:p>
                  <w:pPr>
                    <w:pStyle w:val="136"/>
                    <w:adjustRightInd w:val="0"/>
                    <w:snapToGrid w:val="0"/>
                    <w:rPr>
                      <w:rFonts w:cs="Times New Roman"/>
                      <w:szCs w:val="18"/>
                      <w:lang w:val="de-DE"/>
                    </w:rPr>
                  </w:pPr>
                  <w:r>
                    <w:rPr>
                      <w:rFonts w:hint="eastAsia" w:cs="Times New Roman"/>
                      <w:szCs w:val="18"/>
                      <w:lang w:val="de-DE"/>
                    </w:rPr>
                    <w:t>实验废液</w:t>
                  </w:r>
                </w:p>
              </w:tc>
              <w:tc>
                <w:tcPr>
                  <w:tcW w:w="2850" w:type="pct"/>
                  <w:vMerge w:val="continue"/>
                  <w:vAlign w:val="center"/>
                </w:tcPr>
                <w:p>
                  <w:pPr>
                    <w:pStyle w:val="136"/>
                    <w:adjustRightInd w:val="0"/>
                    <w:snapToGrid w:val="0"/>
                    <w:rPr>
                      <w:rFonts w:cs="Times New Roman"/>
                      <w:szCs w:val="18"/>
                      <w:lang w:val="de-D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28" w:type="pct"/>
                  <w:vMerge w:val="continue"/>
                  <w:vAlign w:val="center"/>
                </w:tcPr>
                <w:p>
                  <w:pPr>
                    <w:pStyle w:val="136"/>
                    <w:adjustRightInd w:val="0"/>
                    <w:snapToGrid w:val="0"/>
                    <w:rPr>
                      <w:rFonts w:cs="Times New Roman"/>
                      <w:szCs w:val="18"/>
                      <w:lang w:val="de-DE"/>
                    </w:rPr>
                  </w:pPr>
                </w:p>
              </w:tc>
              <w:tc>
                <w:tcPr>
                  <w:tcW w:w="805" w:type="pct"/>
                  <w:vMerge w:val="continue"/>
                  <w:vAlign w:val="center"/>
                </w:tcPr>
                <w:p>
                  <w:pPr>
                    <w:pStyle w:val="136"/>
                    <w:adjustRightInd w:val="0"/>
                    <w:snapToGrid w:val="0"/>
                    <w:rPr>
                      <w:rFonts w:cs="Times New Roman"/>
                      <w:szCs w:val="18"/>
                      <w:lang w:val="de-DE"/>
                    </w:rPr>
                  </w:pPr>
                </w:p>
              </w:tc>
              <w:tc>
                <w:tcPr>
                  <w:tcW w:w="1017" w:type="pct"/>
                  <w:vAlign w:val="center"/>
                </w:tcPr>
                <w:p>
                  <w:pPr>
                    <w:pStyle w:val="136"/>
                    <w:adjustRightInd w:val="0"/>
                    <w:snapToGrid w:val="0"/>
                    <w:rPr>
                      <w:rFonts w:cs="Times New Roman"/>
                      <w:szCs w:val="18"/>
                      <w:lang w:val="de-DE"/>
                    </w:rPr>
                  </w:pPr>
                  <w:r>
                    <w:rPr>
                      <w:rFonts w:hint="eastAsia" w:cs="Times New Roman"/>
                      <w:szCs w:val="18"/>
                      <w:lang w:val="de-DE"/>
                    </w:rPr>
                    <w:t>仪器前三次清洗废水</w:t>
                  </w:r>
                </w:p>
              </w:tc>
              <w:tc>
                <w:tcPr>
                  <w:tcW w:w="2850" w:type="pct"/>
                  <w:vMerge w:val="continue"/>
                  <w:vAlign w:val="center"/>
                </w:tcPr>
                <w:p>
                  <w:pPr>
                    <w:pStyle w:val="136"/>
                    <w:adjustRightInd w:val="0"/>
                    <w:snapToGrid w:val="0"/>
                    <w:rPr>
                      <w:rFonts w:cs="Times New Roman"/>
                      <w:szCs w:val="18"/>
                      <w:lang w:val="de-D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28" w:type="pct"/>
                  <w:vMerge w:val="continue"/>
                  <w:vAlign w:val="center"/>
                </w:tcPr>
                <w:p>
                  <w:pPr>
                    <w:pStyle w:val="136"/>
                    <w:adjustRightInd w:val="0"/>
                    <w:snapToGrid w:val="0"/>
                    <w:rPr>
                      <w:rFonts w:cs="Times New Roman"/>
                      <w:szCs w:val="18"/>
                      <w:lang w:val="de-DE"/>
                    </w:rPr>
                  </w:pPr>
                </w:p>
              </w:tc>
              <w:tc>
                <w:tcPr>
                  <w:tcW w:w="805" w:type="pct"/>
                  <w:vMerge w:val="continue"/>
                  <w:vAlign w:val="center"/>
                </w:tcPr>
                <w:p>
                  <w:pPr>
                    <w:pStyle w:val="136"/>
                    <w:adjustRightInd w:val="0"/>
                    <w:snapToGrid w:val="0"/>
                    <w:rPr>
                      <w:rFonts w:cs="Times New Roman"/>
                      <w:szCs w:val="18"/>
                      <w:lang w:val="de-DE"/>
                    </w:rPr>
                  </w:pPr>
                </w:p>
              </w:tc>
              <w:tc>
                <w:tcPr>
                  <w:tcW w:w="1017" w:type="pct"/>
                  <w:vAlign w:val="center"/>
                </w:tcPr>
                <w:p>
                  <w:pPr>
                    <w:pStyle w:val="136"/>
                    <w:adjustRightInd w:val="0"/>
                    <w:snapToGrid w:val="0"/>
                    <w:rPr>
                      <w:rFonts w:cs="Times New Roman"/>
                      <w:szCs w:val="18"/>
                      <w:lang w:val="de-DE"/>
                    </w:rPr>
                  </w:pPr>
                  <w:r>
                    <w:rPr>
                      <w:rFonts w:hint="eastAsia" w:cs="Times New Roman"/>
                      <w:szCs w:val="18"/>
                      <w:lang w:val="de-DE"/>
                    </w:rPr>
                    <w:t>废试剂瓶</w:t>
                  </w:r>
                </w:p>
              </w:tc>
              <w:tc>
                <w:tcPr>
                  <w:tcW w:w="2850" w:type="pct"/>
                  <w:vMerge w:val="continue"/>
                  <w:vAlign w:val="center"/>
                </w:tcPr>
                <w:p>
                  <w:pPr>
                    <w:pStyle w:val="136"/>
                    <w:adjustRightInd w:val="0"/>
                    <w:snapToGrid w:val="0"/>
                    <w:rPr>
                      <w:rFonts w:cs="Times New Roman"/>
                      <w:szCs w:val="18"/>
                      <w:lang w:val="de-D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28" w:type="pct"/>
                  <w:vMerge w:val="continue"/>
                  <w:vAlign w:val="center"/>
                </w:tcPr>
                <w:p>
                  <w:pPr>
                    <w:pStyle w:val="136"/>
                    <w:adjustRightInd w:val="0"/>
                    <w:snapToGrid w:val="0"/>
                    <w:rPr>
                      <w:rFonts w:cs="Times New Roman"/>
                      <w:szCs w:val="18"/>
                      <w:lang w:val="de-DE"/>
                    </w:rPr>
                  </w:pPr>
                </w:p>
              </w:tc>
              <w:tc>
                <w:tcPr>
                  <w:tcW w:w="805" w:type="pct"/>
                  <w:vMerge w:val="continue"/>
                  <w:vAlign w:val="center"/>
                </w:tcPr>
                <w:p>
                  <w:pPr>
                    <w:pStyle w:val="136"/>
                    <w:adjustRightInd w:val="0"/>
                    <w:snapToGrid w:val="0"/>
                    <w:rPr>
                      <w:rFonts w:cs="Times New Roman"/>
                      <w:szCs w:val="18"/>
                      <w:lang w:val="de-DE"/>
                    </w:rPr>
                  </w:pPr>
                </w:p>
              </w:tc>
              <w:tc>
                <w:tcPr>
                  <w:tcW w:w="1017" w:type="pct"/>
                  <w:vAlign w:val="center"/>
                </w:tcPr>
                <w:p>
                  <w:pPr>
                    <w:pStyle w:val="136"/>
                    <w:adjustRightInd w:val="0"/>
                    <w:snapToGrid w:val="0"/>
                    <w:rPr>
                      <w:rFonts w:cs="Times New Roman"/>
                      <w:szCs w:val="18"/>
                      <w:lang w:val="de-DE"/>
                    </w:rPr>
                  </w:pPr>
                  <w:r>
                    <w:rPr>
                      <w:rFonts w:hint="eastAsia" w:cs="Times New Roman"/>
                      <w:szCs w:val="18"/>
                      <w:lang w:val="de-DE"/>
                    </w:rPr>
                    <w:t>废紫外灯管</w:t>
                  </w:r>
                </w:p>
              </w:tc>
              <w:tc>
                <w:tcPr>
                  <w:tcW w:w="2850" w:type="pct"/>
                  <w:vMerge w:val="continue"/>
                  <w:vAlign w:val="center"/>
                </w:tcPr>
                <w:p>
                  <w:pPr>
                    <w:pStyle w:val="136"/>
                    <w:adjustRightInd w:val="0"/>
                    <w:snapToGrid w:val="0"/>
                    <w:rPr>
                      <w:rFonts w:cs="Times New Roman"/>
                      <w:szCs w:val="18"/>
                      <w:lang w:val="de-D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28" w:type="pct"/>
                  <w:vMerge w:val="continue"/>
                  <w:vAlign w:val="center"/>
                </w:tcPr>
                <w:p>
                  <w:pPr>
                    <w:pStyle w:val="136"/>
                    <w:adjustRightInd w:val="0"/>
                    <w:snapToGrid w:val="0"/>
                    <w:rPr>
                      <w:rFonts w:cs="Times New Roman"/>
                      <w:szCs w:val="18"/>
                      <w:lang w:val="de-DE"/>
                    </w:rPr>
                  </w:pPr>
                </w:p>
              </w:tc>
              <w:tc>
                <w:tcPr>
                  <w:tcW w:w="805" w:type="pct"/>
                  <w:vMerge w:val="continue"/>
                  <w:vAlign w:val="center"/>
                </w:tcPr>
                <w:p>
                  <w:pPr>
                    <w:pStyle w:val="136"/>
                    <w:adjustRightInd w:val="0"/>
                    <w:snapToGrid w:val="0"/>
                    <w:rPr>
                      <w:rFonts w:cs="Times New Roman"/>
                      <w:szCs w:val="18"/>
                      <w:lang w:val="de-DE"/>
                    </w:rPr>
                  </w:pPr>
                </w:p>
              </w:tc>
              <w:tc>
                <w:tcPr>
                  <w:tcW w:w="1017" w:type="pct"/>
                  <w:vAlign w:val="center"/>
                </w:tcPr>
                <w:p>
                  <w:pPr>
                    <w:pStyle w:val="136"/>
                    <w:adjustRightInd w:val="0"/>
                    <w:snapToGrid w:val="0"/>
                    <w:rPr>
                      <w:rFonts w:cs="Times New Roman"/>
                      <w:szCs w:val="18"/>
                      <w:lang w:val="de-DE"/>
                    </w:rPr>
                  </w:pPr>
                  <w:r>
                    <w:rPr>
                      <w:rFonts w:hint="eastAsia" w:cs="Times New Roman"/>
                      <w:szCs w:val="18"/>
                      <w:lang w:val="de-DE"/>
                    </w:rPr>
                    <w:t>废培养基</w:t>
                  </w:r>
                </w:p>
              </w:tc>
              <w:tc>
                <w:tcPr>
                  <w:tcW w:w="2850" w:type="pct"/>
                  <w:vMerge w:val="continue"/>
                  <w:vAlign w:val="center"/>
                </w:tcPr>
                <w:p>
                  <w:pPr>
                    <w:pStyle w:val="136"/>
                    <w:adjustRightInd w:val="0"/>
                    <w:snapToGrid w:val="0"/>
                    <w:rPr>
                      <w:rFonts w:cs="Times New Roman"/>
                      <w:szCs w:val="18"/>
                      <w:lang w:val="de-D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28" w:type="pct"/>
                  <w:vMerge w:val="continue"/>
                  <w:vAlign w:val="center"/>
                </w:tcPr>
                <w:p>
                  <w:pPr>
                    <w:pStyle w:val="136"/>
                    <w:adjustRightInd w:val="0"/>
                    <w:snapToGrid w:val="0"/>
                    <w:rPr>
                      <w:rFonts w:cs="Times New Roman"/>
                      <w:szCs w:val="18"/>
                      <w:lang w:val="de-DE"/>
                    </w:rPr>
                  </w:pPr>
                </w:p>
              </w:tc>
              <w:tc>
                <w:tcPr>
                  <w:tcW w:w="805" w:type="pct"/>
                  <w:vAlign w:val="center"/>
                </w:tcPr>
                <w:p>
                  <w:pPr>
                    <w:pStyle w:val="136"/>
                    <w:adjustRightInd w:val="0"/>
                    <w:snapToGrid w:val="0"/>
                    <w:rPr>
                      <w:rFonts w:cs="Times New Roman"/>
                      <w:szCs w:val="18"/>
                      <w:lang w:val="de-DE"/>
                    </w:rPr>
                  </w:pPr>
                  <w:r>
                    <w:rPr>
                      <w:rFonts w:hint="eastAsia" w:cs="Times New Roman"/>
                      <w:szCs w:val="18"/>
                      <w:lang w:val="de-DE"/>
                    </w:rPr>
                    <w:t>废气处理</w:t>
                  </w:r>
                </w:p>
              </w:tc>
              <w:tc>
                <w:tcPr>
                  <w:tcW w:w="1017" w:type="pct"/>
                  <w:vAlign w:val="center"/>
                </w:tcPr>
                <w:p>
                  <w:pPr>
                    <w:pStyle w:val="136"/>
                    <w:adjustRightInd w:val="0"/>
                    <w:snapToGrid w:val="0"/>
                    <w:rPr>
                      <w:rFonts w:cs="Times New Roman"/>
                      <w:szCs w:val="18"/>
                      <w:lang w:val="de-DE"/>
                    </w:rPr>
                  </w:pPr>
                  <w:r>
                    <w:rPr>
                      <w:rFonts w:hint="eastAsia" w:cs="Times New Roman"/>
                      <w:szCs w:val="18"/>
                      <w:lang w:val="de-DE"/>
                    </w:rPr>
                    <w:t>废活性炭</w:t>
                  </w:r>
                </w:p>
              </w:tc>
              <w:tc>
                <w:tcPr>
                  <w:tcW w:w="2850" w:type="pct"/>
                  <w:vMerge w:val="continue"/>
                  <w:vAlign w:val="center"/>
                </w:tcPr>
                <w:p>
                  <w:pPr>
                    <w:pStyle w:val="136"/>
                    <w:adjustRightInd w:val="0"/>
                    <w:snapToGrid w:val="0"/>
                    <w:rPr>
                      <w:rFonts w:cs="Times New Roman"/>
                      <w:szCs w:val="18"/>
                      <w:lang w:val="de-D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28" w:type="pct"/>
                  <w:vMerge w:val="restart"/>
                  <w:vAlign w:val="center"/>
                </w:tcPr>
                <w:p>
                  <w:pPr>
                    <w:pStyle w:val="136"/>
                    <w:adjustRightInd w:val="0"/>
                    <w:snapToGrid w:val="0"/>
                    <w:rPr>
                      <w:rFonts w:cs="Times New Roman"/>
                      <w:szCs w:val="18"/>
                      <w:lang w:val="de-DE"/>
                    </w:rPr>
                  </w:pPr>
                  <w:r>
                    <w:rPr>
                      <w:rFonts w:hint="eastAsia" w:cs="Times New Roman"/>
                      <w:szCs w:val="18"/>
                      <w:lang w:val="de-DE"/>
                    </w:rPr>
                    <w:t>一般工业固废</w:t>
                  </w:r>
                </w:p>
              </w:tc>
              <w:tc>
                <w:tcPr>
                  <w:tcW w:w="805" w:type="pct"/>
                  <w:vAlign w:val="center"/>
                </w:tcPr>
                <w:p>
                  <w:pPr>
                    <w:pStyle w:val="136"/>
                    <w:adjustRightInd w:val="0"/>
                    <w:snapToGrid w:val="0"/>
                    <w:rPr>
                      <w:rFonts w:cs="Times New Roman"/>
                      <w:szCs w:val="18"/>
                      <w:lang w:val="de-DE"/>
                    </w:rPr>
                  </w:pPr>
                  <w:r>
                    <w:rPr>
                      <w:rFonts w:hint="eastAsia" w:cs="Times New Roman"/>
                      <w:szCs w:val="18"/>
                      <w:lang w:val="de-DE"/>
                    </w:rPr>
                    <w:t>纯水制备</w:t>
                  </w:r>
                </w:p>
              </w:tc>
              <w:tc>
                <w:tcPr>
                  <w:tcW w:w="1017" w:type="pct"/>
                  <w:vAlign w:val="center"/>
                </w:tcPr>
                <w:p>
                  <w:pPr>
                    <w:pStyle w:val="136"/>
                    <w:adjustRightInd w:val="0"/>
                    <w:snapToGrid w:val="0"/>
                    <w:rPr>
                      <w:rFonts w:cs="Times New Roman"/>
                      <w:szCs w:val="18"/>
                      <w:lang w:val="de-DE"/>
                    </w:rPr>
                  </w:pPr>
                  <w:r>
                    <w:rPr>
                      <w:rFonts w:hint="eastAsia" w:cs="Times New Roman"/>
                      <w:szCs w:val="18"/>
                      <w:lang w:val="de-DE"/>
                    </w:rPr>
                    <w:t>纯水机废滤芯</w:t>
                  </w:r>
                </w:p>
              </w:tc>
              <w:tc>
                <w:tcPr>
                  <w:tcW w:w="2850" w:type="pct"/>
                  <w:vAlign w:val="center"/>
                </w:tcPr>
                <w:p>
                  <w:pPr>
                    <w:pStyle w:val="136"/>
                    <w:adjustRightInd w:val="0"/>
                    <w:snapToGrid w:val="0"/>
                    <w:rPr>
                      <w:rFonts w:cs="Times New Roman"/>
                      <w:szCs w:val="18"/>
                      <w:lang w:val="de-DE"/>
                    </w:rPr>
                  </w:pPr>
                  <w:r>
                    <w:rPr>
                      <w:rFonts w:hint="eastAsia" w:cs="Times New Roman"/>
                      <w:szCs w:val="18"/>
                      <w:lang w:val="de-DE"/>
                    </w:rPr>
                    <w:t>厂家回收处理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28" w:type="pct"/>
                  <w:vMerge w:val="continue"/>
                  <w:vAlign w:val="center"/>
                </w:tcPr>
                <w:p>
                  <w:pPr>
                    <w:pStyle w:val="136"/>
                    <w:adjustRightInd w:val="0"/>
                    <w:snapToGrid w:val="0"/>
                    <w:rPr>
                      <w:rFonts w:cs="Times New Roman"/>
                      <w:szCs w:val="18"/>
                      <w:lang w:val="de-DE"/>
                    </w:rPr>
                  </w:pPr>
                </w:p>
              </w:tc>
              <w:tc>
                <w:tcPr>
                  <w:tcW w:w="805" w:type="pct"/>
                  <w:vAlign w:val="center"/>
                </w:tcPr>
                <w:p>
                  <w:pPr>
                    <w:pStyle w:val="136"/>
                    <w:adjustRightInd w:val="0"/>
                    <w:snapToGrid w:val="0"/>
                    <w:rPr>
                      <w:rFonts w:cs="Times New Roman"/>
                      <w:szCs w:val="18"/>
                      <w:lang w:val="de-DE"/>
                    </w:rPr>
                  </w:pPr>
                  <w:r>
                    <w:rPr>
                      <w:rFonts w:hint="eastAsia" w:cs="Times New Roman"/>
                      <w:szCs w:val="18"/>
                      <w:lang w:val="de-DE"/>
                    </w:rPr>
                    <w:t>留样</w:t>
                  </w:r>
                </w:p>
              </w:tc>
              <w:tc>
                <w:tcPr>
                  <w:tcW w:w="1017" w:type="pct"/>
                  <w:vAlign w:val="center"/>
                </w:tcPr>
                <w:p>
                  <w:pPr>
                    <w:pStyle w:val="136"/>
                    <w:adjustRightInd w:val="0"/>
                    <w:snapToGrid w:val="0"/>
                    <w:rPr>
                      <w:rFonts w:cs="Times New Roman"/>
                      <w:szCs w:val="18"/>
                      <w:lang w:val="de-DE"/>
                    </w:rPr>
                  </w:pPr>
                  <w:r>
                    <w:rPr>
                      <w:rFonts w:hint="eastAsia" w:cs="Times New Roman"/>
                      <w:szCs w:val="18"/>
                      <w:lang w:val="de-DE"/>
                    </w:rPr>
                    <w:t>过期样品</w:t>
                  </w:r>
                </w:p>
              </w:tc>
              <w:tc>
                <w:tcPr>
                  <w:tcW w:w="2850" w:type="pct"/>
                  <w:vAlign w:val="center"/>
                </w:tcPr>
                <w:p>
                  <w:pPr>
                    <w:pStyle w:val="136"/>
                    <w:adjustRightInd w:val="0"/>
                    <w:snapToGrid w:val="0"/>
                    <w:rPr>
                      <w:rFonts w:cs="Times New Roman"/>
                      <w:szCs w:val="18"/>
                      <w:lang w:val="de-DE"/>
                    </w:rPr>
                  </w:pPr>
                  <w:r>
                    <w:rPr>
                      <w:rFonts w:hint="eastAsia" w:cs="Times New Roman"/>
                      <w:szCs w:val="18"/>
                      <w:lang w:val="de-DE"/>
                    </w:rPr>
                    <w:t>排入实验室废水处理装置处理后排放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28" w:type="pct"/>
                  <w:vMerge w:val="continue"/>
                  <w:vAlign w:val="center"/>
                </w:tcPr>
                <w:p>
                  <w:pPr>
                    <w:pStyle w:val="136"/>
                    <w:adjustRightInd w:val="0"/>
                    <w:snapToGrid w:val="0"/>
                    <w:rPr>
                      <w:rFonts w:cs="Times New Roman"/>
                      <w:szCs w:val="18"/>
                      <w:lang w:val="de-DE"/>
                    </w:rPr>
                  </w:pPr>
                </w:p>
              </w:tc>
              <w:tc>
                <w:tcPr>
                  <w:tcW w:w="805" w:type="pct"/>
                  <w:vAlign w:val="center"/>
                </w:tcPr>
                <w:p>
                  <w:pPr>
                    <w:pStyle w:val="136"/>
                    <w:adjustRightInd w:val="0"/>
                    <w:snapToGrid w:val="0"/>
                    <w:rPr>
                      <w:rFonts w:cs="Times New Roman"/>
                      <w:szCs w:val="18"/>
                      <w:lang w:val="de-DE"/>
                    </w:rPr>
                  </w:pPr>
                  <w:r>
                    <w:rPr>
                      <w:rFonts w:hint="eastAsia" w:cs="Times New Roman"/>
                      <w:szCs w:val="18"/>
                      <w:lang w:val="de-DE"/>
                    </w:rPr>
                    <w:t>耗材使用</w:t>
                  </w:r>
                </w:p>
              </w:tc>
              <w:tc>
                <w:tcPr>
                  <w:tcW w:w="1017" w:type="pct"/>
                  <w:vAlign w:val="center"/>
                </w:tcPr>
                <w:p>
                  <w:pPr>
                    <w:pStyle w:val="136"/>
                    <w:adjustRightInd w:val="0"/>
                    <w:snapToGrid w:val="0"/>
                    <w:rPr>
                      <w:rFonts w:cs="Times New Roman"/>
                      <w:szCs w:val="18"/>
                      <w:lang w:val="de-DE"/>
                    </w:rPr>
                  </w:pPr>
                  <w:r>
                    <w:rPr>
                      <w:rFonts w:hint="eastAsia"/>
                    </w:rPr>
                    <w:t>未沾染化学品</w:t>
                  </w:r>
                  <w:r>
                    <w:t>废包材</w:t>
                  </w:r>
                </w:p>
              </w:tc>
              <w:tc>
                <w:tcPr>
                  <w:tcW w:w="2850" w:type="pct"/>
                  <w:vAlign w:val="center"/>
                </w:tcPr>
                <w:p>
                  <w:pPr>
                    <w:pStyle w:val="136"/>
                    <w:adjustRightInd w:val="0"/>
                    <w:snapToGrid w:val="0"/>
                    <w:rPr>
                      <w:rFonts w:cs="Times New Roman"/>
                      <w:szCs w:val="18"/>
                      <w:lang w:val="de-DE"/>
                    </w:rPr>
                  </w:pPr>
                  <w:r>
                    <w:rPr>
                      <w:rFonts w:hint="eastAsia" w:cs="Times New Roman"/>
                      <w:szCs w:val="18"/>
                      <w:lang w:val="de-DE"/>
                    </w:rPr>
                    <w:t>分类收集后外售废品收购站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1133" w:type="pct"/>
                  <w:gridSpan w:val="2"/>
                  <w:vAlign w:val="center"/>
                </w:tcPr>
                <w:p>
                  <w:pPr>
                    <w:pStyle w:val="136"/>
                    <w:adjustRightInd w:val="0"/>
                    <w:snapToGrid w:val="0"/>
                    <w:rPr>
                      <w:rFonts w:cs="Times New Roman"/>
                      <w:szCs w:val="18"/>
                      <w:lang w:val="de-DE"/>
                    </w:rPr>
                  </w:pPr>
                  <w:r>
                    <w:rPr>
                      <w:rFonts w:hint="eastAsia" w:cs="Times New Roman"/>
                      <w:szCs w:val="18"/>
                      <w:lang w:val="de-DE"/>
                    </w:rPr>
                    <w:t>员工生活</w:t>
                  </w:r>
                </w:p>
              </w:tc>
              <w:tc>
                <w:tcPr>
                  <w:tcW w:w="1017" w:type="pct"/>
                  <w:vAlign w:val="center"/>
                </w:tcPr>
                <w:p>
                  <w:pPr>
                    <w:pStyle w:val="136"/>
                    <w:adjustRightInd w:val="0"/>
                    <w:snapToGrid w:val="0"/>
                    <w:rPr>
                      <w:rFonts w:cs="Times New Roman"/>
                      <w:szCs w:val="18"/>
                      <w:lang w:val="de-DE"/>
                    </w:rPr>
                  </w:pPr>
                  <w:r>
                    <w:rPr>
                      <w:rFonts w:hint="eastAsia" w:cs="Times New Roman"/>
                      <w:szCs w:val="18"/>
                      <w:lang w:val="de-DE"/>
                    </w:rPr>
                    <w:t>生活垃圾</w:t>
                  </w:r>
                </w:p>
              </w:tc>
              <w:tc>
                <w:tcPr>
                  <w:tcW w:w="2850" w:type="pct"/>
                  <w:vAlign w:val="center"/>
                </w:tcPr>
                <w:p>
                  <w:pPr>
                    <w:pStyle w:val="136"/>
                    <w:adjustRightInd w:val="0"/>
                    <w:snapToGrid w:val="0"/>
                    <w:rPr>
                      <w:rFonts w:cs="Times New Roman"/>
                      <w:szCs w:val="18"/>
                      <w:lang w:val="de-DE"/>
                    </w:rPr>
                  </w:pPr>
                  <w:r>
                    <w:rPr>
                      <w:rFonts w:hint="eastAsia" w:cs="Times New Roman"/>
                      <w:szCs w:val="18"/>
                      <w:lang w:val="de-DE"/>
                    </w:rPr>
                    <w:t>收集后送园区垃圾收集点，由环卫部门清运处理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28" w:type="pct"/>
                  <w:vMerge w:val="restart"/>
                  <w:vAlign w:val="center"/>
                </w:tcPr>
                <w:p>
                  <w:pPr>
                    <w:pStyle w:val="136"/>
                    <w:adjustRightInd w:val="0"/>
                    <w:snapToGrid w:val="0"/>
                    <w:rPr>
                      <w:rFonts w:cs="Times New Roman"/>
                      <w:szCs w:val="18"/>
                      <w:lang w:val="de-DE"/>
                    </w:rPr>
                  </w:pPr>
                  <w:r>
                    <w:rPr>
                      <w:rFonts w:cs="Times New Roman"/>
                      <w:szCs w:val="18"/>
                      <w:lang w:val="de-DE"/>
                    </w:rPr>
                    <w:t>噪声</w:t>
                  </w:r>
                </w:p>
              </w:tc>
              <w:tc>
                <w:tcPr>
                  <w:tcW w:w="805" w:type="pct"/>
                  <w:vAlign w:val="center"/>
                </w:tcPr>
                <w:p>
                  <w:pPr>
                    <w:pStyle w:val="136"/>
                    <w:adjustRightInd w:val="0"/>
                    <w:snapToGrid w:val="0"/>
                    <w:rPr>
                      <w:rFonts w:cs="Times New Roman"/>
                      <w:szCs w:val="18"/>
                      <w:lang w:val="de-DE"/>
                    </w:rPr>
                  </w:pPr>
                  <w:r>
                    <w:rPr>
                      <w:rFonts w:hint="eastAsia" w:cs="Times New Roman"/>
                      <w:szCs w:val="18"/>
                      <w:lang w:val="de-DE"/>
                    </w:rPr>
                    <w:t>离心机</w:t>
                  </w:r>
                </w:p>
              </w:tc>
              <w:tc>
                <w:tcPr>
                  <w:tcW w:w="1017" w:type="pct"/>
                  <w:vAlign w:val="center"/>
                </w:tcPr>
                <w:p>
                  <w:pPr>
                    <w:pStyle w:val="136"/>
                    <w:adjustRightInd w:val="0"/>
                    <w:snapToGrid w:val="0"/>
                    <w:rPr>
                      <w:rFonts w:cs="Times New Roman"/>
                      <w:szCs w:val="18"/>
                      <w:lang w:val="de-DE"/>
                    </w:rPr>
                  </w:pPr>
                  <w:r>
                    <w:rPr>
                      <w:rFonts w:hint="eastAsia" w:cs="Times New Roman"/>
                      <w:szCs w:val="18"/>
                      <w:lang w:val="de-DE"/>
                    </w:rPr>
                    <w:t>75~8</w:t>
                  </w:r>
                  <w:r>
                    <w:rPr>
                      <w:rFonts w:cs="Times New Roman"/>
                      <w:szCs w:val="18"/>
                      <w:lang w:val="de-DE"/>
                    </w:rPr>
                    <w:t>5</w:t>
                  </w:r>
                  <w:r>
                    <w:rPr>
                      <w:rFonts w:hint="eastAsia" w:cs="Times New Roman"/>
                      <w:szCs w:val="18"/>
                      <w:lang w:val="de-DE"/>
                    </w:rPr>
                    <w:t>dB（A）</w:t>
                  </w:r>
                </w:p>
              </w:tc>
              <w:tc>
                <w:tcPr>
                  <w:tcW w:w="2850" w:type="pct"/>
                  <w:vMerge w:val="restart"/>
                  <w:vAlign w:val="center"/>
                </w:tcPr>
                <w:p>
                  <w:pPr>
                    <w:pStyle w:val="136"/>
                    <w:adjustRightInd w:val="0"/>
                    <w:snapToGrid w:val="0"/>
                    <w:rPr>
                      <w:rFonts w:cs="Times New Roman"/>
                      <w:szCs w:val="18"/>
                      <w:lang w:val="de-DE"/>
                    </w:rPr>
                  </w:pPr>
                  <w:r>
                    <w:rPr>
                      <w:rFonts w:hint="eastAsia" w:cs="Times New Roman"/>
                      <w:szCs w:val="18"/>
                      <w:lang w:val="de-DE"/>
                    </w:rPr>
                    <w:t>厂房隔声，安装减震基础、柔性接头、消声器等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28" w:type="pct"/>
                  <w:vMerge w:val="continue"/>
                  <w:vAlign w:val="center"/>
                </w:tcPr>
                <w:p>
                  <w:pPr>
                    <w:pStyle w:val="136"/>
                    <w:adjustRightInd w:val="0"/>
                    <w:snapToGrid w:val="0"/>
                    <w:rPr>
                      <w:rFonts w:cs="Times New Roman"/>
                      <w:szCs w:val="18"/>
                      <w:lang w:val="de-DE"/>
                    </w:rPr>
                  </w:pPr>
                </w:p>
              </w:tc>
              <w:tc>
                <w:tcPr>
                  <w:tcW w:w="805" w:type="pct"/>
                  <w:vAlign w:val="center"/>
                </w:tcPr>
                <w:p>
                  <w:pPr>
                    <w:pStyle w:val="136"/>
                    <w:adjustRightInd w:val="0"/>
                    <w:snapToGrid w:val="0"/>
                    <w:rPr>
                      <w:rFonts w:cs="Times New Roman"/>
                      <w:szCs w:val="18"/>
                      <w:lang w:val="de-DE"/>
                    </w:rPr>
                  </w:pPr>
                  <w:r>
                    <w:rPr>
                      <w:rFonts w:hint="eastAsia" w:cs="Times New Roman"/>
                      <w:szCs w:val="18"/>
                      <w:lang w:val="de-DE"/>
                    </w:rPr>
                    <w:t>空调、风机</w:t>
                  </w:r>
                </w:p>
              </w:tc>
              <w:tc>
                <w:tcPr>
                  <w:tcW w:w="1017" w:type="pct"/>
                  <w:vAlign w:val="center"/>
                </w:tcPr>
                <w:p>
                  <w:pPr>
                    <w:pStyle w:val="136"/>
                    <w:adjustRightInd w:val="0"/>
                    <w:snapToGrid w:val="0"/>
                    <w:rPr>
                      <w:rFonts w:cs="Times New Roman"/>
                      <w:szCs w:val="18"/>
                      <w:lang w:val="de-DE"/>
                    </w:rPr>
                  </w:pPr>
                  <w:r>
                    <w:rPr>
                      <w:rFonts w:hint="eastAsia" w:cs="Times New Roman"/>
                      <w:szCs w:val="18"/>
                      <w:lang w:val="de-DE"/>
                    </w:rPr>
                    <w:t>90~10</w:t>
                  </w:r>
                  <w:r>
                    <w:rPr>
                      <w:rFonts w:cs="Times New Roman"/>
                      <w:szCs w:val="18"/>
                      <w:lang w:val="de-DE"/>
                    </w:rPr>
                    <w:t>0</w:t>
                  </w:r>
                  <w:r>
                    <w:rPr>
                      <w:rFonts w:hint="eastAsia" w:cs="Times New Roman"/>
                      <w:szCs w:val="18"/>
                      <w:lang w:val="de-DE"/>
                    </w:rPr>
                    <w:t>dB（A）</w:t>
                  </w:r>
                </w:p>
              </w:tc>
              <w:tc>
                <w:tcPr>
                  <w:tcW w:w="2850" w:type="pct"/>
                  <w:vMerge w:val="continue"/>
                  <w:vAlign w:val="center"/>
                </w:tcPr>
                <w:p>
                  <w:pPr>
                    <w:pStyle w:val="136"/>
                    <w:adjustRightInd w:val="0"/>
                    <w:snapToGrid w:val="0"/>
                    <w:rPr>
                      <w:rFonts w:cs="Times New Roman"/>
                      <w:szCs w:val="18"/>
                      <w:lang w:val="de-DE"/>
                    </w:rPr>
                  </w:pPr>
                </w:p>
              </w:tc>
            </w:tr>
          </w:tbl>
          <w:p>
            <w:pPr>
              <w:ind w:firstLine="4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74" w:type="dxa"/>
            <w:vAlign w:val="center"/>
          </w:tcPr>
          <w:p>
            <w:pPr>
              <w:pStyle w:val="29"/>
              <w:adjustRightInd w:val="0"/>
              <w:snapToGrid w:val="0"/>
              <w:spacing w:before="0" w:beforeAutospacing="0" w:after="0" w:afterAutospacing="0" w:line="440" w:lineRule="exact"/>
              <w:ind w:firstLine="0" w:firstLineChars="0"/>
              <w:jc w:val="center"/>
              <w:rPr>
                <w:rFonts w:ascii="Times New Roman" w:hAnsi="Times New Roman"/>
                <w:sz w:val="21"/>
                <w:szCs w:val="21"/>
              </w:rPr>
            </w:pPr>
            <w:r>
              <w:rPr>
                <w:rFonts w:ascii="Times New Roman" w:hAnsi="Times New Roman"/>
                <w:bCs/>
                <w:kern w:val="2"/>
                <w:sz w:val="21"/>
                <w:szCs w:val="21"/>
              </w:rPr>
              <w:t>与项目有关的原有环境污染问题</w:t>
            </w:r>
          </w:p>
        </w:tc>
        <w:tc>
          <w:tcPr>
            <w:tcW w:w="8119" w:type="dxa"/>
            <w:vAlign w:val="center"/>
          </w:tcPr>
          <w:p>
            <w:pPr>
              <w:ind w:firstLine="480"/>
            </w:pPr>
            <w:r>
              <w:rPr>
                <w:rFonts w:hint="eastAsia"/>
              </w:rPr>
              <w:t>本项目在四川省巴中水文水资源勘测中心（4F、5F）预留实验室区域建设，不涉及与项目有关的原有环境污染问题。四川省巴中水文水资源勘测中心办公楼目前正在建设中，施工现场情况如下图所示：</w:t>
            </w:r>
          </w:p>
          <w:p>
            <w:pPr>
              <w:pStyle w:val="181"/>
            </w:pPr>
            <w:r>
              <w:drawing>
                <wp:anchor distT="0" distB="0" distL="114300" distR="114300" simplePos="0" relativeHeight="251661312" behindDoc="0" locked="0" layoutInCell="1" allowOverlap="1">
                  <wp:simplePos x="0" y="0"/>
                  <wp:positionH relativeFrom="column">
                    <wp:posOffset>3166110</wp:posOffset>
                  </wp:positionH>
                  <wp:positionV relativeFrom="paragraph">
                    <wp:posOffset>24765</wp:posOffset>
                  </wp:positionV>
                  <wp:extent cx="1941195" cy="2876550"/>
                  <wp:effectExtent l="0" t="0" r="1905"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41195" cy="2876550"/>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138430</wp:posOffset>
                  </wp:positionH>
                  <wp:positionV relativeFrom="paragraph">
                    <wp:posOffset>392430</wp:posOffset>
                  </wp:positionV>
                  <wp:extent cx="2876550" cy="1941830"/>
                  <wp:effectExtent l="0" t="0" r="0" b="127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76550" cy="1941830"/>
                          </a:xfrm>
                          <a:prstGeom prst="rect">
                            <a:avLst/>
                          </a:prstGeom>
                          <a:noFill/>
                          <a:ln>
                            <a:noFill/>
                          </a:ln>
                        </pic:spPr>
                      </pic:pic>
                    </a:graphicData>
                  </a:graphic>
                </wp:anchor>
              </w:drawing>
            </w:r>
          </w:p>
        </w:tc>
      </w:tr>
    </w:tbl>
    <w:p>
      <w:pPr>
        <w:adjustRightInd w:val="0"/>
        <w:snapToGrid w:val="0"/>
        <w:spacing w:line="288" w:lineRule="auto"/>
        <w:ind w:firstLine="480"/>
        <w:jc w:val="center"/>
        <w:sectPr>
          <w:pgSz w:w="11906" w:h="16838"/>
          <w:pgMar w:top="1440" w:right="1797" w:bottom="1440" w:left="1797" w:header="851" w:footer="958" w:gutter="0"/>
          <w:pgNumType w:fmt="numberInDash"/>
          <w:cols w:space="720" w:num="1"/>
          <w:docGrid w:linePitch="312" w:charSpace="0"/>
        </w:sectPr>
      </w:pPr>
    </w:p>
    <w:p>
      <w:pPr>
        <w:pStyle w:val="29"/>
        <w:spacing w:before="0" w:beforeAutospacing="0" w:after="0" w:afterAutospacing="0" w:line="240" w:lineRule="auto"/>
        <w:ind w:firstLine="0" w:firstLineChars="0"/>
        <w:outlineLvl w:val="0"/>
        <w:rPr>
          <w:rFonts w:cs="宋体"/>
          <w:b/>
          <w:bCs/>
          <w:snapToGrid w:val="0"/>
          <w:sz w:val="30"/>
          <w:szCs w:val="30"/>
        </w:rPr>
      </w:pPr>
      <w:bookmarkStart w:id="5" w:name="_Toc108119958"/>
      <w:bookmarkStart w:id="6" w:name="_Toc108119959"/>
      <w:r>
        <w:rPr>
          <w:rFonts w:cs="宋体"/>
          <w:b/>
          <w:bCs/>
          <w:snapToGrid w:val="0"/>
          <w:sz w:val="30"/>
          <w:szCs w:val="30"/>
        </w:rPr>
        <w:t>三、区域环境质量现状、环境保护目标及评价标准</w:t>
      </w:r>
      <w:bookmarkEnd w:id="5"/>
    </w:p>
    <w:tbl>
      <w:tblPr>
        <w:tblStyle w:val="34"/>
        <w:tblW w:w="843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94"/>
        <w:gridCol w:w="81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94" w:type="dxa"/>
            <w:vAlign w:val="center"/>
          </w:tcPr>
          <w:p>
            <w:pPr>
              <w:adjustRightInd w:val="0"/>
              <w:snapToGrid w:val="0"/>
              <w:ind w:firstLine="0" w:firstLineChars="0"/>
              <w:jc w:val="center"/>
              <w:rPr>
                <w:kern w:val="0"/>
                <w:szCs w:val="21"/>
              </w:rPr>
            </w:pPr>
            <w:r>
              <w:rPr>
                <w:kern w:val="0"/>
                <w:szCs w:val="21"/>
              </w:rPr>
              <w:t>区域环境质量现状</w:t>
            </w:r>
          </w:p>
        </w:tc>
        <w:tc>
          <w:tcPr>
            <w:tcW w:w="8137" w:type="dxa"/>
            <w:vAlign w:val="center"/>
          </w:tcPr>
          <w:p>
            <w:pPr>
              <w:pStyle w:val="158"/>
              <w:adjustRightInd w:val="0"/>
              <w:snapToGrid w:val="0"/>
            </w:pPr>
            <w:r>
              <w:t>1、大气环境质量</w:t>
            </w:r>
          </w:p>
          <w:p>
            <w:pPr>
              <w:adjustRightInd w:val="0"/>
              <w:snapToGrid w:val="0"/>
              <w:ind w:firstLine="480"/>
            </w:pPr>
            <w:r>
              <w:t>（1）</w:t>
            </w:r>
            <w:r>
              <w:rPr>
                <w:rFonts w:hint="eastAsia"/>
              </w:rPr>
              <w:t>区域环境空气达标判定</w:t>
            </w:r>
          </w:p>
          <w:p>
            <w:pPr>
              <w:adjustRightInd w:val="0"/>
              <w:snapToGrid w:val="0"/>
              <w:ind w:firstLine="480"/>
            </w:pPr>
            <w:r>
              <w:t>本项目位于</w:t>
            </w:r>
            <w:r>
              <w:rPr>
                <w:rFonts w:hint="eastAsia"/>
              </w:rPr>
              <w:t>四川巴中经济开发区时新街道宝峰社区</w:t>
            </w:r>
            <w:r>
              <w:t>，为反映项目建设区域环境空气质量现状，本次评价选用《</w:t>
            </w:r>
            <w:r>
              <w:rPr>
                <w:rFonts w:hint="eastAsia"/>
              </w:rPr>
              <w:t>2</w:t>
            </w:r>
            <w:r>
              <w:rPr>
                <w:rFonts w:hint="eastAsia"/>
                <w:lang w:val="zh-CN"/>
              </w:rPr>
              <w:t>022年</w:t>
            </w:r>
            <w:r>
              <w:rPr>
                <w:rFonts w:hint="eastAsia"/>
              </w:rPr>
              <w:t>巴中市生态环境状况公报</w:t>
            </w:r>
            <w:r>
              <w:t>》中关于2022年度的环境空气质量统计数据进行达标判断</w:t>
            </w:r>
            <w:r>
              <w:rPr>
                <w:rFonts w:hint="eastAsia"/>
              </w:rPr>
              <w:t>。</w:t>
            </w:r>
          </w:p>
          <w:p>
            <w:pPr>
              <w:ind w:firstLine="480"/>
            </w:pPr>
            <w:r>
              <w:rPr>
                <w:rFonts w:hint="eastAsia"/>
                <w:lang w:val="zh-CN"/>
              </w:rPr>
              <w:t>根据</w:t>
            </w:r>
            <w:r>
              <w:t>《</w:t>
            </w:r>
            <w:r>
              <w:rPr>
                <w:rFonts w:hint="eastAsia"/>
              </w:rPr>
              <w:t>2</w:t>
            </w:r>
            <w:r>
              <w:rPr>
                <w:rFonts w:hint="eastAsia"/>
                <w:lang w:val="zh-CN"/>
              </w:rPr>
              <w:t>022年</w:t>
            </w:r>
            <w:r>
              <w:rPr>
                <w:rFonts w:hint="eastAsia"/>
              </w:rPr>
              <w:t>巴中市生态环境状况公报</w:t>
            </w:r>
            <w:r>
              <w:t>》</w:t>
            </w:r>
            <w:r>
              <w:rPr>
                <w:lang w:val="zh-CN"/>
              </w:rPr>
              <w:t>，</w:t>
            </w:r>
            <w:r>
              <w:rPr>
                <w:rFonts w:hint="eastAsia"/>
                <w:lang w:val="zh-CN"/>
              </w:rPr>
              <w:t>巴中</w:t>
            </w:r>
            <w:r>
              <w:rPr>
                <w:lang w:val="zh-CN"/>
              </w:rPr>
              <w:t>市城区环境空气质量优良率为96.4%，全年有效监测天数365天，优良天数352天，轻度污染13天, 空气质量综合指数为3.09。</w:t>
            </w:r>
            <w:r>
              <w:rPr>
                <w:rFonts w:hint="eastAsia"/>
                <w:lang w:val="zh-CN"/>
              </w:rPr>
              <w:t>具体如下：</w:t>
            </w:r>
          </w:p>
          <w:p>
            <w:pPr>
              <w:pStyle w:val="157"/>
            </w:pPr>
            <w:r>
              <w:rPr>
                <w:rFonts w:hint="eastAsia"/>
              </w:rPr>
              <w:t>表3</w:t>
            </w:r>
            <w:r>
              <w:t xml:space="preserve">-1  </w:t>
            </w:r>
            <w:r>
              <w:rPr>
                <w:rFonts w:hint="eastAsia"/>
              </w:rPr>
              <w:t xml:space="preserve">区域环境空气达标判定表 </w:t>
            </w:r>
            <w:r>
              <w:t xml:space="preserve"> </w:t>
            </w:r>
            <w:r>
              <w:rPr>
                <w:rFonts w:eastAsia="宋体"/>
              </w:rPr>
              <w:t>单位：ug/m</w:t>
            </w:r>
            <w:r>
              <w:rPr>
                <w:rFonts w:eastAsia="宋体"/>
                <w:vertAlign w:val="superscript"/>
              </w:rPr>
              <w:t>3</w:t>
            </w:r>
            <w:r>
              <w:rPr>
                <w:rFonts w:eastAsia="宋体"/>
              </w:rPr>
              <w:t>，CO：mg/m</w:t>
            </w:r>
            <w:r>
              <w:rPr>
                <w:rFonts w:eastAsia="宋体"/>
                <w:vertAlign w:val="superscript"/>
              </w:rPr>
              <w:t>3</w:t>
            </w:r>
          </w:p>
          <w:tbl>
            <w:tblPr>
              <w:tblStyle w:val="19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41"/>
              <w:gridCol w:w="2822"/>
              <w:gridCol w:w="1075"/>
              <w:gridCol w:w="838"/>
              <w:gridCol w:w="1447"/>
              <w:gridCol w:w="9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79" w:type="pct"/>
                  <w:vAlign w:val="center"/>
                </w:tcPr>
                <w:p>
                  <w:pPr>
                    <w:pStyle w:val="136"/>
                    <w:adjustRightInd w:val="0"/>
                    <w:snapToGrid w:val="0"/>
                    <w:rPr>
                      <w:rFonts w:cs="Times New Roman"/>
                      <w:b/>
                    </w:rPr>
                  </w:pPr>
                  <w:r>
                    <w:rPr>
                      <w:rFonts w:cs="Times New Roman"/>
                      <w:b/>
                    </w:rPr>
                    <w:t>污染物</w:t>
                  </w:r>
                </w:p>
              </w:tc>
              <w:tc>
                <w:tcPr>
                  <w:tcW w:w="1737" w:type="pct"/>
                  <w:vAlign w:val="center"/>
                </w:tcPr>
                <w:p>
                  <w:pPr>
                    <w:pStyle w:val="136"/>
                    <w:adjustRightInd w:val="0"/>
                    <w:snapToGrid w:val="0"/>
                    <w:rPr>
                      <w:rFonts w:cs="Times New Roman"/>
                      <w:b/>
                    </w:rPr>
                  </w:pPr>
                  <w:r>
                    <w:rPr>
                      <w:rFonts w:cs="Times New Roman"/>
                      <w:b/>
                    </w:rPr>
                    <w:t>年评价指标</w:t>
                  </w:r>
                </w:p>
              </w:tc>
              <w:tc>
                <w:tcPr>
                  <w:tcW w:w="662" w:type="pct"/>
                  <w:vAlign w:val="center"/>
                </w:tcPr>
                <w:p>
                  <w:pPr>
                    <w:pStyle w:val="136"/>
                    <w:adjustRightInd w:val="0"/>
                    <w:snapToGrid w:val="0"/>
                    <w:rPr>
                      <w:rFonts w:cs="Times New Roman"/>
                      <w:b/>
                    </w:rPr>
                  </w:pPr>
                  <w:r>
                    <w:rPr>
                      <w:rFonts w:cs="Times New Roman"/>
                      <w:b/>
                    </w:rPr>
                    <w:t>现状浓度</w:t>
                  </w:r>
                </w:p>
              </w:tc>
              <w:tc>
                <w:tcPr>
                  <w:tcW w:w="516" w:type="pct"/>
                  <w:vAlign w:val="center"/>
                </w:tcPr>
                <w:p>
                  <w:pPr>
                    <w:pStyle w:val="136"/>
                    <w:adjustRightInd w:val="0"/>
                    <w:snapToGrid w:val="0"/>
                    <w:rPr>
                      <w:rFonts w:cs="Times New Roman"/>
                      <w:b/>
                    </w:rPr>
                  </w:pPr>
                  <w:r>
                    <w:rPr>
                      <w:rFonts w:cs="Times New Roman"/>
                      <w:b/>
                    </w:rPr>
                    <w:t>标准值</w:t>
                  </w:r>
                </w:p>
              </w:tc>
              <w:tc>
                <w:tcPr>
                  <w:tcW w:w="891" w:type="pct"/>
                  <w:vAlign w:val="center"/>
                </w:tcPr>
                <w:p>
                  <w:pPr>
                    <w:pStyle w:val="136"/>
                    <w:adjustRightInd w:val="0"/>
                    <w:snapToGrid w:val="0"/>
                    <w:rPr>
                      <w:rFonts w:cs="Times New Roman"/>
                      <w:b/>
                    </w:rPr>
                  </w:pPr>
                  <w:r>
                    <w:rPr>
                      <w:rFonts w:cs="Times New Roman"/>
                      <w:b/>
                    </w:rPr>
                    <w:t>占标率（%）</w:t>
                  </w:r>
                </w:p>
              </w:tc>
              <w:tc>
                <w:tcPr>
                  <w:tcW w:w="616" w:type="pct"/>
                  <w:vAlign w:val="center"/>
                </w:tcPr>
                <w:p>
                  <w:pPr>
                    <w:pStyle w:val="136"/>
                    <w:adjustRightInd w:val="0"/>
                    <w:snapToGrid w:val="0"/>
                    <w:rPr>
                      <w:rFonts w:cs="Times New Roman"/>
                      <w:b/>
                    </w:rPr>
                  </w:pPr>
                  <w:r>
                    <w:rPr>
                      <w:rFonts w:cs="Times New Roman"/>
                      <w:b/>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79" w:type="pct"/>
                  <w:vAlign w:val="center"/>
                </w:tcPr>
                <w:p>
                  <w:pPr>
                    <w:pStyle w:val="136"/>
                    <w:adjustRightInd w:val="0"/>
                    <w:snapToGrid w:val="0"/>
                    <w:rPr>
                      <w:rFonts w:cs="Times New Roman"/>
                    </w:rPr>
                  </w:pPr>
                  <w:r>
                    <w:rPr>
                      <w:rFonts w:cs="Times New Roman"/>
                    </w:rPr>
                    <w:t>SO</w:t>
                  </w:r>
                  <w:r>
                    <w:rPr>
                      <w:rFonts w:cs="Times New Roman"/>
                      <w:vertAlign w:val="subscript"/>
                    </w:rPr>
                    <w:t>2</w:t>
                  </w:r>
                </w:p>
              </w:tc>
              <w:tc>
                <w:tcPr>
                  <w:tcW w:w="1737" w:type="pct"/>
                  <w:vAlign w:val="center"/>
                </w:tcPr>
                <w:p>
                  <w:pPr>
                    <w:pStyle w:val="136"/>
                    <w:adjustRightInd w:val="0"/>
                    <w:snapToGrid w:val="0"/>
                    <w:rPr>
                      <w:rFonts w:cs="Times New Roman"/>
                    </w:rPr>
                  </w:pPr>
                  <w:r>
                    <w:rPr>
                      <w:rFonts w:cs="Times New Roman"/>
                    </w:rPr>
                    <w:t>年平均质量浓度</w:t>
                  </w:r>
                </w:p>
              </w:tc>
              <w:tc>
                <w:tcPr>
                  <w:tcW w:w="662" w:type="pct"/>
                  <w:vAlign w:val="center"/>
                </w:tcPr>
                <w:p>
                  <w:pPr>
                    <w:pStyle w:val="136"/>
                    <w:adjustRightInd w:val="0"/>
                    <w:snapToGrid w:val="0"/>
                    <w:rPr>
                      <w:rFonts w:cs="Times New Roman"/>
                      <w:szCs w:val="21"/>
                    </w:rPr>
                  </w:pPr>
                  <w:r>
                    <w:rPr>
                      <w:rFonts w:hint="eastAsia" w:cs="Times New Roman"/>
                      <w:szCs w:val="21"/>
                    </w:rPr>
                    <w:t>4</w:t>
                  </w:r>
                  <w:r>
                    <w:rPr>
                      <w:rFonts w:cs="Times New Roman"/>
                      <w:szCs w:val="21"/>
                    </w:rPr>
                    <w:t>.5</w:t>
                  </w:r>
                </w:p>
              </w:tc>
              <w:tc>
                <w:tcPr>
                  <w:tcW w:w="516" w:type="pct"/>
                  <w:vAlign w:val="center"/>
                </w:tcPr>
                <w:p>
                  <w:pPr>
                    <w:pStyle w:val="136"/>
                    <w:adjustRightInd w:val="0"/>
                    <w:snapToGrid w:val="0"/>
                    <w:rPr>
                      <w:rFonts w:cs="Times New Roman"/>
                      <w:szCs w:val="21"/>
                    </w:rPr>
                  </w:pPr>
                  <w:r>
                    <w:rPr>
                      <w:rFonts w:cs="Times New Roman"/>
                      <w:szCs w:val="21"/>
                    </w:rPr>
                    <w:t>60</w:t>
                  </w:r>
                </w:p>
              </w:tc>
              <w:tc>
                <w:tcPr>
                  <w:tcW w:w="891" w:type="pct"/>
                  <w:vAlign w:val="center"/>
                </w:tcPr>
                <w:p>
                  <w:pPr>
                    <w:pStyle w:val="136"/>
                    <w:adjustRightInd w:val="0"/>
                    <w:snapToGrid w:val="0"/>
                    <w:rPr>
                      <w:rFonts w:cs="Times New Roman"/>
                      <w:szCs w:val="21"/>
                    </w:rPr>
                  </w:pPr>
                  <w:r>
                    <w:rPr>
                      <w:rFonts w:hint="eastAsia" w:cs="Times New Roman"/>
                      <w:szCs w:val="21"/>
                    </w:rPr>
                    <w:t>7</w:t>
                  </w:r>
                  <w:r>
                    <w:rPr>
                      <w:rFonts w:cs="Times New Roman"/>
                      <w:szCs w:val="21"/>
                    </w:rPr>
                    <w:t>.5</w:t>
                  </w:r>
                </w:p>
              </w:tc>
              <w:tc>
                <w:tcPr>
                  <w:tcW w:w="616" w:type="pct"/>
                  <w:vAlign w:val="center"/>
                </w:tcPr>
                <w:p>
                  <w:pPr>
                    <w:pStyle w:val="136"/>
                    <w:adjustRightInd w:val="0"/>
                    <w:snapToGrid w:val="0"/>
                    <w:rPr>
                      <w:rFonts w:cs="Times New Roman"/>
                    </w:rPr>
                  </w:pPr>
                  <w:r>
                    <w:rPr>
                      <w:rFonts w:cs="Times New Roma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79" w:type="pct"/>
                  <w:vAlign w:val="center"/>
                </w:tcPr>
                <w:p>
                  <w:pPr>
                    <w:pStyle w:val="136"/>
                    <w:adjustRightInd w:val="0"/>
                    <w:snapToGrid w:val="0"/>
                    <w:rPr>
                      <w:rFonts w:cs="Times New Roman"/>
                    </w:rPr>
                  </w:pPr>
                  <w:r>
                    <w:rPr>
                      <w:rFonts w:cs="Times New Roman"/>
                    </w:rPr>
                    <w:t>NO</w:t>
                  </w:r>
                  <w:r>
                    <w:rPr>
                      <w:rFonts w:cs="Times New Roman"/>
                      <w:vertAlign w:val="subscript"/>
                    </w:rPr>
                    <w:t>2</w:t>
                  </w:r>
                </w:p>
              </w:tc>
              <w:tc>
                <w:tcPr>
                  <w:tcW w:w="1737" w:type="pct"/>
                  <w:vAlign w:val="center"/>
                </w:tcPr>
                <w:p>
                  <w:pPr>
                    <w:pStyle w:val="136"/>
                    <w:adjustRightInd w:val="0"/>
                    <w:snapToGrid w:val="0"/>
                    <w:rPr>
                      <w:rFonts w:cs="Times New Roman"/>
                    </w:rPr>
                  </w:pPr>
                  <w:r>
                    <w:rPr>
                      <w:rFonts w:cs="Times New Roman"/>
                    </w:rPr>
                    <w:t>年平均质量浓度</w:t>
                  </w:r>
                </w:p>
              </w:tc>
              <w:tc>
                <w:tcPr>
                  <w:tcW w:w="662" w:type="pct"/>
                  <w:vAlign w:val="center"/>
                </w:tcPr>
                <w:p>
                  <w:pPr>
                    <w:pStyle w:val="136"/>
                    <w:adjustRightInd w:val="0"/>
                    <w:snapToGrid w:val="0"/>
                    <w:rPr>
                      <w:rFonts w:cs="Times New Roman"/>
                      <w:szCs w:val="21"/>
                    </w:rPr>
                  </w:pPr>
                  <w:r>
                    <w:rPr>
                      <w:rFonts w:hint="eastAsia" w:cs="Times New Roman"/>
                      <w:szCs w:val="21"/>
                    </w:rPr>
                    <w:t>2</w:t>
                  </w:r>
                  <w:r>
                    <w:rPr>
                      <w:rFonts w:cs="Times New Roman"/>
                      <w:szCs w:val="21"/>
                    </w:rPr>
                    <w:t>3.6</w:t>
                  </w:r>
                </w:p>
              </w:tc>
              <w:tc>
                <w:tcPr>
                  <w:tcW w:w="516" w:type="pct"/>
                  <w:vAlign w:val="center"/>
                </w:tcPr>
                <w:p>
                  <w:pPr>
                    <w:pStyle w:val="136"/>
                    <w:adjustRightInd w:val="0"/>
                    <w:snapToGrid w:val="0"/>
                    <w:rPr>
                      <w:rFonts w:cs="Times New Roman"/>
                      <w:szCs w:val="21"/>
                    </w:rPr>
                  </w:pPr>
                  <w:r>
                    <w:rPr>
                      <w:rFonts w:cs="Times New Roman"/>
                      <w:szCs w:val="21"/>
                    </w:rPr>
                    <w:t>40</w:t>
                  </w:r>
                </w:p>
              </w:tc>
              <w:tc>
                <w:tcPr>
                  <w:tcW w:w="891" w:type="pct"/>
                  <w:vAlign w:val="center"/>
                </w:tcPr>
                <w:p>
                  <w:pPr>
                    <w:pStyle w:val="136"/>
                    <w:adjustRightInd w:val="0"/>
                    <w:snapToGrid w:val="0"/>
                    <w:rPr>
                      <w:rFonts w:cs="Times New Roman"/>
                      <w:szCs w:val="21"/>
                    </w:rPr>
                  </w:pPr>
                  <w:r>
                    <w:rPr>
                      <w:rFonts w:hint="eastAsia" w:cs="Times New Roman"/>
                      <w:szCs w:val="21"/>
                    </w:rPr>
                    <w:t>5</w:t>
                  </w:r>
                  <w:r>
                    <w:rPr>
                      <w:rFonts w:cs="Times New Roman"/>
                      <w:szCs w:val="21"/>
                    </w:rPr>
                    <w:t>9.0</w:t>
                  </w:r>
                </w:p>
              </w:tc>
              <w:tc>
                <w:tcPr>
                  <w:tcW w:w="616" w:type="pct"/>
                  <w:vAlign w:val="center"/>
                </w:tcPr>
                <w:p>
                  <w:pPr>
                    <w:pStyle w:val="136"/>
                    <w:adjustRightInd w:val="0"/>
                    <w:snapToGrid w:val="0"/>
                    <w:rPr>
                      <w:rFonts w:cs="Times New Roman"/>
                    </w:rPr>
                  </w:pPr>
                  <w:r>
                    <w:rPr>
                      <w:rFonts w:cs="Times New Roma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79" w:type="pct"/>
                  <w:vAlign w:val="center"/>
                </w:tcPr>
                <w:p>
                  <w:pPr>
                    <w:pStyle w:val="136"/>
                    <w:adjustRightInd w:val="0"/>
                    <w:snapToGrid w:val="0"/>
                    <w:rPr>
                      <w:rFonts w:cs="Times New Roman"/>
                    </w:rPr>
                  </w:pPr>
                  <w:r>
                    <w:rPr>
                      <w:rFonts w:cs="Times New Roman"/>
                    </w:rPr>
                    <w:t>PM</w:t>
                  </w:r>
                  <w:r>
                    <w:rPr>
                      <w:rFonts w:cs="Times New Roman"/>
                      <w:vertAlign w:val="subscript"/>
                    </w:rPr>
                    <w:t>10</w:t>
                  </w:r>
                </w:p>
              </w:tc>
              <w:tc>
                <w:tcPr>
                  <w:tcW w:w="1737" w:type="pct"/>
                  <w:vAlign w:val="center"/>
                </w:tcPr>
                <w:p>
                  <w:pPr>
                    <w:pStyle w:val="136"/>
                    <w:adjustRightInd w:val="0"/>
                    <w:snapToGrid w:val="0"/>
                    <w:rPr>
                      <w:rFonts w:cs="Times New Roman"/>
                    </w:rPr>
                  </w:pPr>
                  <w:r>
                    <w:rPr>
                      <w:rFonts w:cs="Times New Roman"/>
                    </w:rPr>
                    <w:t>年平均质量浓度</w:t>
                  </w:r>
                </w:p>
              </w:tc>
              <w:tc>
                <w:tcPr>
                  <w:tcW w:w="662" w:type="pct"/>
                  <w:vAlign w:val="center"/>
                </w:tcPr>
                <w:p>
                  <w:pPr>
                    <w:pStyle w:val="136"/>
                    <w:adjustRightInd w:val="0"/>
                    <w:snapToGrid w:val="0"/>
                    <w:rPr>
                      <w:rFonts w:cs="Times New Roman"/>
                      <w:szCs w:val="21"/>
                    </w:rPr>
                  </w:pPr>
                  <w:r>
                    <w:rPr>
                      <w:rFonts w:hint="eastAsia" w:cs="Times New Roman"/>
                      <w:szCs w:val="21"/>
                    </w:rPr>
                    <w:t>4</w:t>
                  </w:r>
                  <w:r>
                    <w:rPr>
                      <w:rFonts w:cs="Times New Roman"/>
                      <w:szCs w:val="21"/>
                    </w:rPr>
                    <w:t>2.5</w:t>
                  </w:r>
                </w:p>
              </w:tc>
              <w:tc>
                <w:tcPr>
                  <w:tcW w:w="516" w:type="pct"/>
                  <w:vAlign w:val="center"/>
                </w:tcPr>
                <w:p>
                  <w:pPr>
                    <w:pStyle w:val="136"/>
                    <w:adjustRightInd w:val="0"/>
                    <w:snapToGrid w:val="0"/>
                    <w:rPr>
                      <w:rFonts w:cs="Times New Roman"/>
                      <w:szCs w:val="21"/>
                    </w:rPr>
                  </w:pPr>
                  <w:r>
                    <w:rPr>
                      <w:rFonts w:cs="Times New Roman"/>
                      <w:szCs w:val="21"/>
                    </w:rPr>
                    <w:t>70</w:t>
                  </w:r>
                </w:p>
              </w:tc>
              <w:tc>
                <w:tcPr>
                  <w:tcW w:w="891" w:type="pct"/>
                  <w:vAlign w:val="center"/>
                </w:tcPr>
                <w:p>
                  <w:pPr>
                    <w:pStyle w:val="136"/>
                    <w:adjustRightInd w:val="0"/>
                    <w:snapToGrid w:val="0"/>
                    <w:rPr>
                      <w:rFonts w:cs="Times New Roman"/>
                      <w:szCs w:val="21"/>
                    </w:rPr>
                  </w:pPr>
                  <w:r>
                    <w:rPr>
                      <w:rFonts w:hint="eastAsia" w:cs="Times New Roman"/>
                      <w:szCs w:val="21"/>
                    </w:rPr>
                    <w:t>6</w:t>
                  </w:r>
                  <w:r>
                    <w:rPr>
                      <w:rFonts w:cs="Times New Roman"/>
                      <w:szCs w:val="21"/>
                    </w:rPr>
                    <w:t>0.7</w:t>
                  </w:r>
                </w:p>
              </w:tc>
              <w:tc>
                <w:tcPr>
                  <w:tcW w:w="616" w:type="pct"/>
                  <w:vAlign w:val="center"/>
                </w:tcPr>
                <w:p>
                  <w:pPr>
                    <w:pStyle w:val="136"/>
                    <w:adjustRightInd w:val="0"/>
                    <w:snapToGrid w:val="0"/>
                    <w:rPr>
                      <w:rFonts w:cs="Times New Roman"/>
                    </w:rPr>
                  </w:pPr>
                  <w:r>
                    <w:rPr>
                      <w:rFonts w:cs="Times New Roma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79" w:type="pct"/>
                  <w:vAlign w:val="center"/>
                </w:tcPr>
                <w:p>
                  <w:pPr>
                    <w:pStyle w:val="136"/>
                    <w:adjustRightInd w:val="0"/>
                    <w:snapToGrid w:val="0"/>
                    <w:rPr>
                      <w:rFonts w:cs="Times New Roman"/>
                    </w:rPr>
                  </w:pPr>
                  <w:r>
                    <w:rPr>
                      <w:rFonts w:cs="Times New Roman"/>
                    </w:rPr>
                    <w:t>PM</w:t>
                  </w:r>
                  <w:r>
                    <w:rPr>
                      <w:rFonts w:cs="Times New Roman"/>
                      <w:vertAlign w:val="subscript"/>
                    </w:rPr>
                    <w:t>2.5</w:t>
                  </w:r>
                </w:p>
              </w:tc>
              <w:tc>
                <w:tcPr>
                  <w:tcW w:w="1737" w:type="pct"/>
                  <w:vAlign w:val="center"/>
                </w:tcPr>
                <w:p>
                  <w:pPr>
                    <w:pStyle w:val="136"/>
                    <w:adjustRightInd w:val="0"/>
                    <w:snapToGrid w:val="0"/>
                    <w:rPr>
                      <w:rFonts w:cs="Times New Roman"/>
                    </w:rPr>
                  </w:pPr>
                  <w:r>
                    <w:rPr>
                      <w:rFonts w:cs="Times New Roman"/>
                    </w:rPr>
                    <w:t>年平均质量浓度</w:t>
                  </w:r>
                </w:p>
              </w:tc>
              <w:tc>
                <w:tcPr>
                  <w:tcW w:w="662" w:type="pct"/>
                  <w:vAlign w:val="center"/>
                </w:tcPr>
                <w:p>
                  <w:pPr>
                    <w:pStyle w:val="136"/>
                    <w:adjustRightInd w:val="0"/>
                    <w:snapToGrid w:val="0"/>
                    <w:rPr>
                      <w:rFonts w:cs="Times New Roman"/>
                      <w:szCs w:val="21"/>
                    </w:rPr>
                  </w:pPr>
                  <w:r>
                    <w:rPr>
                      <w:rFonts w:hint="eastAsia" w:cs="Times New Roman"/>
                      <w:szCs w:val="21"/>
                    </w:rPr>
                    <w:t>2</w:t>
                  </w:r>
                  <w:r>
                    <w:rPr>
                      <w:rFonts w:cs="Times New Roman"/>
                      <w:szCs w:val="21"/>
                    </w:rPr>
                    <w:t>8.0</w:t>
                  </w:r>
                </w:p>
              </w:tc>
              <w:tc>
                <w:tcPr>
                  <w:tcW w:w="516" w:type="pct"/>
                  <w:vAlign w:val="center"/>
                </w:tcPr>
                <w:p>
                  <w:pPr>
                    <w:pStyle w:val="136"/>
                    <w:adjustRightInd w:val="0"/>
                    <w:snapToGrid w:val="0"/>
                    <w:rPr>
                      <w:rFonts w:cs="Times New Roman"/>
                      <w:szCs w:val="21"/>
                    </w:rPr>
                  </w:pPr>
                  <w:r>
                    <w:rPr>
                      <w:rFonts w:cs="Times New Roman"/>
                      <w:szCs w:val="21"/>
                    </w:rPr>
                    <w:t>35</w:t>
                  </w:r>
                </w:p>
              </w:tc>
              <w:tc>
                <w:tcPr>
                  <w:tcW w:w="891" w:type="pct"/>
                  <w:vAlign w:val="center"/>
                </w:tcPr>
                <w:p>
                  <w:pPr>
                    <w:pStyle w:val="136"/>
                    <w:adjustRightInd w:val="0"/>
                    <w:snapToGrid w:val="0"/>
                    <w:rPr>
                      <w:rFonts w:cs="Times New Roman"/>
                      <w:szCs w:val="21"/>
                    </w:rPr>
                  </w:pPr>
                  <w:r>
                    <w:rPr>
                      <w:rFonts w:hint="eastAsia" w:cs="Times New Roman"/>
                      <w:szCs w:val="21"/>
                    </w:rPr>
                    <w:t>8</w:t>
                  </w:r>
                  <w:r>
                    <w:rPr>
                      <w:rFonts w:cs="Times New Roman"/>
                      <w:szCs w:val="21"/>
                    </w:rPr>
                    <w:t>0.0</w:t>
                  </w:r>
                </w:p>
              </w:tc>
              <w:tc>
                <w:tcPr>
                  <w:tcW w:w="616" w:type="pct"/>
                  <w:vAlign w:val="center"/>
                </w:tcPr>
                <w:p>
                  <w:pPr>
                    <w:pStyle w:val="136"/>
                    <w:adjustRightInd w:val="0"/>
                    <w:snapToGrid w:val="0"/>
                    <w:rPr>
                      <w:rFonts w:cs="Times New Roman"/>
                      <w:bCs/>
                    </w:rPr>
                  </w:pPr>
                  <w:r>
                    <w:rPr>
                      <w:rFonts w:cs="Times New Roman"/>
                      <w:bC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79" w:type="pct"/>
                  <w:vAlign w:val="center"/>
                </w:tcPr>
                <w:p>
                  <w:pPr>
                    <w:pStyle w:val="136"/>
                    <w:adjustRightInd w:val="0"/>
                    <w:snapToGrid w:val="0"/>
                    <w:rPr>
                      <w:rFonts w:cs="Times New Roman"/>
                    </w:rPr>
                  </w:pPr>
                  <w:r>
                    <w:rPr>
                      <w:rFonts w:cs="Times New Roman"/>
                    </w:rPr>
                    <w:t>CO</w:t>
                  </w:r>
                </w:p>
              </w:tc>
              <w:tc>
                <w:tcPr>
                  <w:tcW w:w="1737" w:type="pct"/>
                  <w:vAlign w:val="center"/>
                </w:tcPr>
                <w:p>
                  <w:pPr>
                    <w:pStyle w:val="136"/>
                    <w:adjustRightInd w:val="0"/>
                    <w:snapToGrid w:val="0"/>
                    <w:rPr>
                      <w:rFonts w:cs="Times New Roman"/>
                    </w:rPr>
                  </w:pPr>
                  <w:r>
                    <w:rPr>
                      <w:rFonts w:cs="Times New Roman"/>
                    </w:rPr>
                    <w:t>第95百位数24h评价质量浓度</w:t>
                  </w:r>
                </w:p>
              </w:tc>
              <w:tc>
                <w:tcPr>
                  <w:tcW w:w="662" w:type="pct"/>
                  <w:vAlign w:val="center"/>
                </w:tcPr>
                <w:p>
                  <w:pPr>
                    <w:pStyle w:val="136"/>
                    <w:adjustRightInd w:val="0"/>
                    <w:snapToGrid w:val="0"/>
                    <w:rPr>
                      <w:rFonts w:cs="Times New Roman"/>
                      <w:szCs w:val="21"/>
                    </w:rPr>
                  </w:pPr>
                  <w:r>
                    <w:rPr>
                      <w:rFonts w:hint="eastAsia" w:cs="Times New Roman"/>
                      <w:szCs w:val="21"/>
                    </w:rPr>
                    <w:t>1</w:t>
                  </w:r>
                  <w:r>
                    <w:rPr>
                      <w:rFonts w:cs="Times New Roman"/>
                      <w:szCs w:val="21"/>
                    </w:rPr>
                    <w:t>.0</w:t>
                  </w:r>
                </w:p>
              </w:tc>
              <w:tc>
                <w:tcPr>
                  <w:tcW w:w="516" w:type="pct"/>
                  <w:vAlign w:val="center"/>
                </w:tcPr>
                <w:p>
                  <w:pPr>
                    <w:pStyle w:val="136"/>
                    <w:adjustRightInd w:val="0"/>
                    <w:snapToGrid w:val="0"/>
                    <w:rPr>
                      <w:rFonts w:cs="Times New Roman"/>
                      <w:szCs w:val="21"/>
                    </w:rPr>
                  </w:pPr>
                  <w:r>
                    <w:rPr>
                      <w:rFonts w:cs="Times New Roman"/>
                      <w:szCs w:val="21"/>
                    </w:rPr>
                    <w:t>4.0</w:t>
                  </w:r>
                </w:p>
              </w:tc>
              <w:tc>
                <w:tcPr>
                  <w:tcW w:w="891" w:type="pct"/>
                  <w:vAlign w:val="center"/>
                </w:tcPr>
                <w:p>
                  <w:pPr>
                    <w:pStyle w:val="136"/>
                    <w:adjustRightInd w:val="0"/>
                    <w:snapToGrid w:val="0"/>
                    <w:rPr>
                      <w:rFonts w:cs="Times New Roman"/>
                      <w:szCs w:val="21"/>
                    </w:rPr>
                  </w:pPr>
                  <w:r>
                    <w:rPr>
                      <w:rFonts w:hint="eastAsia" w:cs="Times New Roman"/>
                      <w:szCs w:val="21"/>
                    </w:rPr>
                    <w:t>2</w:t>
                  </w:r>
                  <w:r>
                    <w:rPr>
                      <w:rFonts w:cs="Times New Roman"/>
                      <w:szCs w:val="21"/>
                    </w:rPr>
                    <w:t>5.0</w:t>
                  </w:r>
                </w:p>
              </w:tc>
              <w:tc>
                <w:tcPr>
                  <w:tcW w:w="616" w:type="pct"/>
                  <w:vAlign w:val="center"/>
                </w:tcPr>
                <w:p>
                  <w:pPr>
                    <w:pStyle w:val="136"/>
                    <w:adjustRightInd w:val="0"/>
                    <w:snapToGrid w:val="0"/>
                    <w:rPr>
                      <w:rFonts w:cs="Times New Roman"/>
                    </w:rPr>
                  </w:pPr>
                  <w:r>
                    <w:rPr>
                      <w:rFonts w:cs="Times New Roma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79" w:type="pct"/>
                  <w:vAlign w:val="center"/>
                </w:tcPr>
                <w:p>
                  <w:pPr>
                    <w:pStyle w:val="136"/>
                    <w:adjustRightInd w:val="0"/>
                    <w:snapToGrid w:val="0"/>
                    <w:rPr>
                      <w:rFonts w:cs="Times New Roman"/>
                    </w:rPr>
                  </w:pPr>
                  <w:r>
                    <w:rPr>
                      <w:rFonts w:cs="Times New Roman"/>
                    </w:rPr>
                    <w:t>O</w:t>
                  </w:r>
                  <w:r>
                    <w:rPr>
                      <w:rFonts w:cs="Times New Roman"/>
                      <w:vertAlign w:val="subscript"/>
                    </w:rPr>
                    <w:t>3</w:t>
                  </w:r>
                </w:p>
              </w:tc>
              <w:tc>
                <w:tcPr>
                  <w:tcW w:w="1737" w:type="pct"/>
                  <w:vAlign w:val="center"/>
                </w:tcPr>
                <w:p>
                  <w:pPr>
                    <w:pStyle w:val="136"/>
                    <w:adjustRightInd w:val="0"/>
                    <w:snapToGrid w:val="0"/>
                    <w:rPr>
                      <w:rFonts w:cs="Times New Roman"/>
                    </w:rPr>
                  </w:pPr>
                  <w:r>
                    <w:rPr>
                      <w:rFonts w:cs="Times New Roman"/>
                    </w:rPr>
                    <w:t>第90百分位8h评价质量浓度</w:t>
                  </w:r>
                </w:p>
              </w:tc>
              <w:tc>
                <w:tcPr>
                  <w:tcW w:w="662" w:type="pct"/>
                  <w:vAlign w:val="center"/>
                </w:tcPr>
                <w:p>
                  <w:pPr>
                    <w:pStyle w:val="136"/>
                    <w:adjustRightInd w:val="0"/>
                    <w:snapToGrid w:val="0"/>
                    <w:rPr>
                      <w:rFonts w:cs="Times New Roman"/>
                      <w:szCs w:val="21"/>
                    </w:rPr>
                  </w:pPr>
                  <w:r>
                    <w:rPr>
                      <w:rFonts w:cs="Times New Roman"/>
                      <w:szCs w:val="21"/>
                    </w:rPr>
                    <w:t>121.0</w:t>
                  </w:r>
                </w:p>
              </w:tc>
              <w:tc>
                <w:tcPr>
                  <w:tcW w:w="516" w:type="pct"/>
                  <w:vAlign w:val="center"/>
                </w:tcPr>
                <w:p>
                  <w:pPr>
                    <w:pStyle w:val="136"/>
                    <w:adjustRightInd w:val="0"/>
                    <w:snapToGrid w:val="0"/>
                    <w:rPr>
                      <w:rFonts w:cs="Times New Roman"/>
                      <w:szCs w:val="21"/>
                    </w:rPr>
                  </w:pPr>
                  <w:r>
                    <w:rPr>
                      <w:rFonts w:cs="Times New Roman"/>
                      <w:szCs w:val="21"/>
                    </w:rPr>
                    <w:t>160</w:t>
                  </w:r>
                </w:p>
              </w:tc>
              <w:tc>
                <w:tcPr>
                  <w:tcW w:w="891" w:type="pct"/>
                  <w:vAlign w:val="center"/>
                </w:tcPr>
                <w:p>
                  <w:pPr>
                    <w:pStyle w:val="136"/>
                    <w:adjustRightInd w:val="0"/>
                    <w:snapToGrid w:val="0"/>
                    <w:rPr>
                      <w:rFonts w:cs="Times New Roman"/>
                      <w:szCs w:val="21"/>
                    </w:rPr>
                  </w:pPr>
                  <w:r>
                    <w:rPr>
                      <w:rFonts w:hint="eastAsia" w:cs="Times New Roman"/>
                      <w:szCs w:val="21"/>
                    </w:rPr>
                    <w:t>7</w:t>
                  </w:r>
                  <w:r>
                    <w:rPr>
                      <w:rFonts w:cs="Times New Roman"/>
                      <w:szCs w:val="21"/>
                    </w:rPr>
                    <w:t>5.6</w:t>
                  </w:r>
                </w:p>
              </w:tc>
              <w:tc>
                <w:tcPr>
                  <w:tcW w:w="616" w:type="pct"/>
                  <w:vAlign w:val="center"/>
                </w:tcPr>
                <w:p>
                  <w:pPr>
                    <w:pStyle w:val="136"/>
                    <w:adjustRightInd w:val="0"/>
                    <w:snapToGrid w:val="0"/>
                    <w:rPr>
                      <w:rFonts w:cs="Times New Roman"/>
                      <w:bCs/>
                    </w:rPr>
                  </w:pPr>
                  <w:r>
                    <w:rPr>
                      <w:rFonts w:hint="eastAsia" w:cs="Times New Roman"/>
                      <w:bCs/>
                    </w:rPr>
                    <w:t>达标</w:t>
                  </w:r>
                </w:p>
              </w:tc>
            </w:tr>
          </w:tbl>
          <w:p>
            <w:pPr>
              <w:spacing w:line="500" w:lineRule="exact"/>
              <w:ind w:firstLine="480"/>
            </w:pPr>
            <w:r>
              <w:rPr>
                <w:rFonts w:hint="eastAsia"/>
              </w:rPr>
              <w:t>综上，2</w:t>
            </w:r>
            <w:r>
              <w:t>022</w:t>
            </w:r>
            <w:r>
              <w:rPr>
                <w:rFonts w:hint="eastAsia"/>
              </w:rPr>
              <w:t>年巴中市城区六项基本污染物浓度满足</w:t>
            </w:r>
            <w:r>
              <w:t>《环境空气质量标准》（GB3095-2012）</w:t>
            </w:r>
            <w:r>
              <w:rPr>
                <w:rFonts w:hint="eastAsia"/>
              </w:rPr>
              <w:t>二级标准，因此可判定项目所在地为环境空气</w:t>
            </w:r>
            <w:r>
              <w:rPr>
                <w:rFonts w:hint="eastAsia"/>
                <w:b/>
                <w:bCs/>
              </w:rPr>
              <w:t>达标区</w:t>
            </w:r>
            <w:r>
              <w:rPr>
                <w:rFonts w:hint="eastAsia"/>
              </w:rPr>
              <w:t>。</w:t>
            </w:r>
          </w:p>
          <w:p>
            <w:pPr>
              <w:spacing w:line="500" w:lineRule="exact"/>
              <w:ind w:firstLine="480"/>
            </w:pPr>
            <w:r>
              <w:rPr>
                <w:rFonts w:hint="eastAsia"/>
              </w:rPr>
              <w:t>（2）其他污染物补充监测</w:t>
            </w:r>
          </w:p>
          <w:p>
            <w:pPr>
              <w:spacing w:line="500" w:lineRule="exact"/>
              <w:ind w:firstLine="480"/>
            </w:pPr>
            <w:r>
              <w:t>为了解项目特征</w:t>
            </w:r>
            <w:r>
              <w:rPr>
                <w:rFonts w:hint="eastAsia"/>
              </w:rPr>
              <w:t>废气</w:t>
            </w:r>
            <w:r>
              <w:t>污染物</w:t>
            </w:r>
            <w:r>
              <w:rPr>
                <w:rFonts w:hint="eastAsia"/>
              </w:rPr>
              <w:t>（TVOC、氯化氢、硫酸雾）</w:t>
            </w:r>
            <w:r>
              <w:t>环境质量现状</w:t>
            </w:r>
            <w:r>
              <w:rPr>
                <w:rFonts w:hint="eastAsia"/>
              </w:rPr>
              <w:t>，本次评价委托四川锡水金山环保科技有限公司，于2</w:t>
            </w:r>
            <w:r>
              <w:t>023.6.30</w:t>
            </w:r>
            <w:r>
              <w:rPr>
                <w:rFonts w:hint="eastAsia"/>
              </w:rPr>
              <w:t>~</w:t>
            </w:r>
            <w:r>
              <w:t>2023.7.2</w:t>
            </w:r>
            <w:r>
              <w:rPr>
                <w:rFonts w:hint="eastAsia"/>
              </w:rPr>
              <w:t>对项目所在地环境空气质量进行补充监测。</w:t>
            </w:r>
          </w:p>
          <w:p>
            <w:pPr>
              <w:spacing w:line="500" w:lineRule="exact"/>
              <w:ind w:firstLine="480"/>
            </w:pPr>
            <w:r>
              <w:rPr>
                <w:rFonts w:hint="eastAsia"/>
              </w:rPr>
              <w:t>①监测点位及监测指标</w:t>
            </w:r>
          </w:p>
          <w:p>
            <w:pPr>
              <w:spacing w:line="500" w:lineRule="exact"/>
              <w:ind w:firstLine="480"/>
            </w:pPr>
            <w:r>
              <w:rPr>
                <w:rFonts w:hint="eastAsia"/>
              </w:rPr>
              <w:t>本次评价环境空气补充监测点位及监测因子如下表所示：</w:t>
            </w:r>
          </w:p>
          <w:p>
            <w:pPr>
              <w:pStyle w:val="157"/>
            </w:pPr>
            <w:r>
              <w:rPr>
                <w:rFonts w:hint="eastAsia"/>
              </w:rPr>
              <w:t>表3</w:t>
            </w:r>
            <w:r>
              <w:t xml:space="preserve">-2  </w:t>
            </w:r>
            <w:r>
              <w:rPr>
                <w:rFonts w:hint="eastAsia"/>
              </w:rPr>
              <w:t>环境空气质量补充监测点位及监测因子一览表</w:t>
            </w:r>
          </w:p>
          <w:tbl>
            <w:tblPr>
              <w:tblStyle w:val="19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664"/>
              <w:gridCol w:w="2495"/>
              <w:gridCol w:w="1803"/>
              <w:gridCol w:w="21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5" w:hRule="atLeast"/>
              </w:trPr>
              <w:tc>
                <w:tcPr>
                  <w:tcW w:w="1024" w:type="pct"/>
                  <w:vAlign w:val="center"/>
                </w:tcPr>
                <w:p>
                  <w:pPr>
                    <w:pStyle w:val="136"/>
                    <w:adjustRightInd w:val="0"/>
                    <w:snapToGrid w:val="0"/>
                    <w:rPr>
                      <w:rFonts w:cs="Times New Roman"/>
                      <w:b/>
                    </w:rPr>
                  </w:pPr>
                  <w:r>
                    <w:rPr>
                      <w:rFonts w:cs="Times New Roman"/>
                      <w:b/>
                    </w:rPr>
                    <w:t>监测点位</w:t>
                  </w:r>
                </w:p>
              </w:tc>
              <w:tc>
                <w:tcPr>
                  <w:tcW w:w="1536" w:type="pct"/>
                  <w:vAlign w:val="center"/>
                </w:tcPr>
                <w:p>
                  <w:pPr>
                    <w:pStyle w:val="136"/>
                    <w:adjustRightInd w:val="0"/>
                    <w:snapToGrid w:val="0"/>
                    <w:rPr>
                      <w:rFonts w:cs="Times New Roman"/>
                      <w:b/>
                    </w:rPr>
                  </w:pPr>
                  <w:r>
                    <w:rPr>
                      <w:rFonts w:cs="Times New Roman"/>
                      <w:b/>
                    </w:rPr>
                    <w:t>测点名称</w:t>
                  </w:r>
                </w:p>
              </w:tc>
              <w:tc>
                <w:tcPr>
                  <w:tcW w:w="1110" w:type="pct"/>
                  <w:vAlign w:val="center"/>
                </w:tcPr>
                <w:p>
                  <w:pPr>
                    <w:pStyle w:val="136"/>
                    <w:adjustRightInd w:val="0"/>
                    <w:snapToGrid w:val="0"/>
                    <w:rPr>
                      <w:rFonts w:cs="Times New Roman"/>
                      <w:b/>
                    </w:rPr>
                  </w:pPr>
                  <w:r>
                    <w:rPr>
                      <w:rFonts w:hint="eastAsia" w:cs="Times New Roman"/>
                      <w:b/>
                    </w:rPr>
                    <w:t>距本项目</w:t>
                  </w:r>
                  <w:r>
                    <w:rPr>
                      <w:rFonts w:cs="Times New Roman"/>
                      <w:b/>
                    </w:rPr>
                    <w:t>方位/距离</w:t>
                  </w:r>
                </w:p>
              </w:tc>
              <w:tc>
                <w:tcPr>
                  <w:tcW w:w="1330" w:type="pct"/>
                  <w:vAlign w:val="center"/>
                </w:tcPr>
                <w:p>
                  <w:pPr>
                    <w:pStyle w:val="136"/>
                    <w:adjustRightInd w:val="0"/>
                    <w:snapToGrid w:val="0"/>
                    <w:rPr>
                      <w:rFonts w:cs="Times New Roman"/>
                      <w:b/>
                    </w:rPr>
                  </w:pPr>
                  <w:r>
                    <w:rPr>
                      <w:rFonts w:cs="Times New Roman"/>
                      <w:b/>
                    </w:rPr>
                    <w:t>监测因子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1024" w:type="pct"/>
                  <w:vAlign w:val="center"/>
                </w:tcPr>
                <w:p>
                  <w:pPr>
                    <w:pStyle w:val="136"/>
                    <w:adjustRightInd w:val="0"/>
                    <w:snapToGrid w:val="0"/>
                    <w:rPr>
                      <w:rFonts w:cs="Times New Roman"/>
                    </w:rPr>
                  </w:pPr>
                  <w:r>
                    <w:rPr>
                      <w:rFonts w:cs="Times New Roman"/>
                    </w:rPr>
                    <w:t>1#</w:t>
                  </w:r>
                </w:p>
              </w:tc>
              <w:tc>
                <w:tcPr>
                  <w:tcW w:w="1536" w:type="pct"/>
                  <w:vAlign w:val="center"/>
                </w:tcPr>
                <w:p>
                  <w:pPr>
                    <w:pStyle w:val="136"/>
                    <w:adjustRightInd w:val="0"/>
                    <w:snapToGrid w:val="0"/>
                    <w:rPr>
                      <w:rFonts w:cs="Times New Roman"/>
                    </w:rPr>
                  </w:pPr>
                  <w:r>
                    <w:rPr>
                      <w:rFonts w:hint="eastAsia" w:cs="Times New Roman"/>
                    </w:rPr>
                    <w:t>厂址下风向约4</w:t>
                  </w:r>
                  <w:r>
                    <w:rPr>
                      <w:rFonts w:cs="Times New Roman"/>
                    </w:rPr>
                    <w:t>00</w:t>
                  </w:r>
                  <w:r>
                    <w:rPr>
                      <w:rFonts w:hint="eastAsia" w:cs="Times New Roman"/>
                    </w:rPr>
                    <w:t>m处</w:t>
                  </w:r>
                </w:p>
              </w:tc>
              <w:tc>
                <w:tcPr>
                  <w:tcW w:w="1110" w:type="pct"/>
                  <w:vAlign w:val="center"/>
                </w:tcPr>
                <w:p>
                  <w:pPr>
                    <w:pStyle w:val="136"/>
                    <w:adjustRightInd w:val="0"/>
                    <w:snapToGrid w:val="0"/>
                    <w:rPr>
                      <w:rFonts w:cs="Times New Roman"/>
                    </w:rPr>
                  </w:pPr>
                  <w:r>
                    <w:rPr>
                      <w:rFonts w:hint="eastAsia" w:cs="Times New Roman"/>
                    </w:rPr>
                    <w:t>西南侧</w:t>
                  </w:r>
                  <w:r>
                    <w:rPr>
                      <w:rFonts w:cs="Times New Roman"/>
                    </w:rPr>
                    <w:t>，约</w:t>
                  </w:r>
                  <w:r>
                    <w:rPr>
                      <w:rFonts w:hint="eastAsia" w:cs="Times New Roman"/>
                    </w:rPr>
                    <w:t>4</w:t>
                  </w:r>
                  <w:r>
                    <w:rPr>
                      <w:rFonts w:cs="Times New Roman"/>
                    </w:rPr>
                    <w:t>00m</w:t>
                  </w:r>
                </w:p>
              </w:tc>
              <w:tc>
                <w:tcPr>
                  <w:tcW w:w="1330" w:type="pct"/>
                  <w:vAlign w:val="center"/>
                </w:tcPr>
                <w:p>
                  <w:pPr>
                    <w:pStyle w:val="136"/>
                    <w:adjustRightInd w:val="0"/>
                    <w:snapToGrid w:val="0"/>
                    <w:rPr>
                      <w:rFonts w:cs="Times New Roman"/>
                    </w:rPr>
                  </w:pPr>
                  <w:r>
                    <w:rPr>
                      <w:rFonts w:hint="eastAsia" w:cs="Times New Roman"/>
                    </w:rPr>
                    <w:t>TVOC、氯化氢、硫酸雾</w:t>
                  </w:r>
                </w:p>
              </w:tc>
            </w:tr>
          </w:tbl>
          <w:p>
            <w:pPr>
              <w:ind w:firstLine="480"/>
            </w:pPr>
            <w:r>
              <w:t>监测时间及频次</w:t>
            </w:r>
          </w:p>
          <w:p>
            <w:pPr>
              <w:ind w:firstLine="482"/>
            </w:pPr>
            <w:r>
              <w:rPr>
                <w:b/>
                <w:bCs/>
              </w:rPr>
              <w:t>采样频率</w:t>
            </w:r>
            <w:r>
              <w:t>：采样监测3天。</w:t>
            </w:r>
          </w:p>
          <w:p>
            <w:pPr>
              <w:ind w:firstLine="482"/>
            </w:pPr>
            <w:r>
              <w:rPr>
                <w:b/>
              </w:rPr>
              <w:t>日均值：</w:t>
            </w:r>
            <w:r>
              <w:rPr>
                <w:rFonts w:hint="eastAsia"/>
              </w:rPr>
              <w:t>氯化氢、硫酸雾，</w:t>
            </w:r>
            <w:r>
              <w:t>每天监测不少于20h</w:t>
            </w:r>
            <w:r>
              <w:rPr>
                <w:rFonts w:hint="eastAsia"/>
              </w:rPr>
              <w:t>；</w:t>
            </w:r>
          </w:p>
          <w:p>
            <w:pPr>
              <w:ind w:firstLine="480"/>
            </w:pPr>
            <w:r>
              <w:rPr>
                <w:rFonts w:hint="eastAsia"/>
              </w:rPr>
              <w:t>8h均值：TVOC，每天采样监测8h；</w:t>
            </w:r>
          </w:p>
          <w:p>
            <w:pPr>
              <w:ind w:firstLine="480"/>
            </w:pPr>
            <w:r>
              <w:rPr>
                <w:rFonts w:hint="eastAsia"/>
              </w:rPr>
              <w:t>1h均值：氯化氢、硫酸雾。</w:t>
            </w:r>
          </w:p>
          <w:p>
            <w:pPr>
              <w:ind w:firstLine="480"/>
              <w:rPr>
                <w:bCs/>
              </w:rPr>
            </w:pPr>
            <w:r>
              <w:rPr>
                <w:rFonts w:hint="eastAsia"/>
                <w:bCs/>
              </w:rPr>
              <w:t>③监测结果</w:t>
            </w:r>
          </w:p>
          <w:p>
            <w:pPr>
              <w:ind w:firstLine="480"/>
            </w:pPr>
            <w:r>
              <w:rPr>
                <w:rFonts w:hint="eastAsia"/>
                <w:bCs/>
              </w:rPr>
              <w:t>根据</w:t>
            </w:r>
            <w:r>
              <w:rPr>
                <w:rFonts w:hint="eastAsia"/>
              </w:rPr>
              <w:t>“锡环检字（2</w:t>
            </w:r>
            <w:r>
              <w:t>023</w:t>
            </w:r>
            <w:r>
              <w:rPr>
                <w:rFonts w:hint="eastAsia"/>
              </w:rPr>
              <w:t>）第</w:t>
            </w:r>
            <w:r>
              <w:t>0642501</w:t>
            </w:r>
            <w:r>
              <w:rPr>
                <w:rFonts w:hint="eastAsia"/>
              </w:rPr>
              <w:t>号、锡环检字（2</w:t>
            </w:r>
            <w:r>
              <w:t>023</w:t>
            </w:r>
            <w:r>
              <w:rPr>
                <w:rFonts w:hint="eastAsia"/>
              </w:rPr>
              <w:t>）第</w:t>
            </w:r>
            <w:r>
              <w:t>0642502</w:t>
            </w:r>
            <w:r>
              <w:rPr>
                <w:rFonts w:hint="eastAsia"/>
              </w:rPr>
              <w:t>号”中的数据，项目所在地环境空气补充监测因子现状统计如下：</w:t>
            </w:r>
          </w:p>
          <w:p>
            <w:pPr>
              <w:pStyle w:val="157"/>
            </w:pPr>
            <w:r>
              <w:rPr>
                <w:rFonts w:hint="eastAsia"/>
              </w:rPr>
              <w:t>表3</w:t>
            </w:r>
            <w:r>
              <w:t xml:space="preserve">-3  </w:t>
            </w:r>
            <w:r>
              <w:rPr>
                <w:rFonts w:hint="eastAsia"/>
              </w:rPr>
              <w:t>项目区域环境空气补充监测因子现状统计表</w:t>
            </w:r>
          </w:p>
          <w:tbl>
            <w:tblPr>
              <w:tblStyle w:val="195"/>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39"/>
              <w:gridCol w:w="808"/>
              <w:gridCol w:w="809"/>
              <w:gridCol w:w="1114"/>
              <w:gridCol w:w="1284"/>
              <w:gridCol w:w="870"/>
              <w:gridCol w:w="870"/>
              <w:gridCol w:w="8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339" w:type="dxa"/>
                  <w:vAlign w:val="center"/>
                </w:tcPr>
                <w:p>
                  <w:pPr>
                    <w:pStyle w:val="136"/>
                    <w:adjustRightInd w:val="0"/>
                    <w:snapToGrid w:val="0"/>
                    <w:rPr>
                      <w:b/>
                      <w:bCs/>
                    </w:rPr>
                  </w:pPr>
                  <w:r>
                    <w:rPr>
                      <w:b/>
                      <w:bCs/>
                    </w:rPr>
                    <w:t>监测点位</w:t>
                  </w:r>
                </w:p>
              </w:tc>
              <w:tc>
                <w:tcPr>
                  <w:tcW w:w="808" w:type="dxa"/>
                  <w:vAlign w:val="center"/>
                </w:tcPr>
                <w:p>
                  <w:pPr>
                    <w:pStyle w:val="136"/>
                    <w:adjustRightInd w:val="0"/>
                    <w:snapToGrid w:val="0"/>
                    <w:rPr>
                      <w:b/>
                      <w:bCs/>
                    </w:rPr>
                  </w:pPr>
                  <w:r>
                    <w:rPr>
                      <w:b/>
                      <w:bCs/>
                    </w:rPr>
                    <w:t>污染物</w:t>
                  </w:r>
                </w:p>
              </w:tc>
              <w:tc>
                <w:tcPr>
                  <w:tcW w:w="809" w:type="dxa"/>
                  <w:vAlign w:val="center"/>
                </w:tcPr>
                <w:p>
                  <w:pPr>
                    <w:pStyle w:val="136"/>
                    <w:adjustRightInd w:val="0"/>
                    <w:snapToGrid w:val="0"/>
                    <w:rPr>
                      <w:b/>
                      <w:bCs/>
                    </w:rPr>
                  </w:pPr>
                  <w:r>
                    <w:rPr>
                      <w:b/>
                      <w:bCs/>
                    </w:rPr>
                    <w:t>平均时间</w:t>
                  </w:r>
                </w:p>
              </w:tc>
              <w:tc>
                <w:tcPr>
                  <w:tcW w:w="1114" w:type="dxa"/>
                  <w:vAlign w:val="center"/>
                </w:tcPr>
                <w:p>
                  <w:pPr>
                    <w:pStyle w:val="136"/>
                    <w:adjustRightInd w:val="0"/>
                    <w:snapToGrid w:val="0"/>
                    <w:rPr>
                      <w:b/>
                      <w:bCs/>
                    </w:rPr>
                  </w:pPr>
                  <w:r>
                    <w:rPr>
                      <w:b/>
                      <w:bCs/>
                    </w:rPr>
                    <w:t>评价标准/（μg/m</w:t>
                  </w:r>
                  <w:r>
                    <w:rPr>
                      <w:b/>
                      <w:bCs/>
                      <w:vertAlign w:val="superscript"/>
                    </w:rPr>
                    <w:t>3</w:t>
                  </w:r>
                  <w:r>
                    <w:rPr>
                      <w:b/>
                      <w:bCs/>
                    </w:rPr>
                    <w:t>）</w:t>
                  </w:r>
                </w:p>
              </w:tc>
              <w:tc>
                <w:tcPr>
                  <w:tcW w:w="1284" w:type="dxa"/>
                  <w:vAlign w:val="center"/>
                </w:tcPr>
                <w:p>
                  <w:pPr>
                    <w:pStyle w:val="136"/>
                    <w:adjustRightInd w:val="0"/>
                    <w:snapToGrid w:val="0"/>
                    <w:rPr>
                      <w:b/>
                      <w:bCs/>
                    </w:rPr>
                  </w:pPr>
                  <w:r>
                    <w:rPr>
                      <w:b/>
                      <w:bCs/>
                    </w:rPr>
                    <w:t>监测浓度范围/（μg/m</w:t>
                  </w:r>
                  <w:r>
                    <w:rPr>
                      <w:b/>
                      <w:bCs/>
                      <w:vertAlign w:val="superscript"/>
                    </w:rPr>
                    <w:t>3</w:t>
                  </w:r>
                  <w:r>
                    <w:rPr>
                      <w:b/>
                      <w:bCs/>
                    </w:rPr>
                    <w:t>）</w:t>
                  </w:r>
                </w:p>
              </w:tc>
              <w:tc>
                <w:tcPr>
                  <w:tcW w:w="870" w:type="dxa"/>
                  <w:vAlign w:val="center"/>
                </w:tcPr>
                <w:p>
                  <w:pPr>
                    <w:pStyle w:val="136"/>
                    <w:adjustRightInd w:val="0"/>
                    <w:snapToGrid w:val="0"/>
                    <w:rPr>
                      <w:b/>
                      <w:bCs/>
                    </w:rPr>
                  </w:pPr>
                  <w:r>
                    <w:rPr>
                      <w:b/>
                      <w:bCs/>
                    </w:rPr>
                    <w:t>最大浓度占标率/%</w:t>
                  </w:r>
                </w:p>
              </w:tc>
              <w:tc>
                <w:tcPr>
                  <w:tcW w:w="870" w:type="dxa"/>
                  <w:vAlign w:val="center"/>
                </w:tcPr>
                <w:p>
                  <w:pPr>
                    <w:pStyle w:val="136"/>
                    <w:adjustRightInd w:val="0"/>
                    <w:snapToGrid w:val="0"/>
                    <w:rPr>
                      <w:b/>
                      <w:bCs/>
                    </w:rPr>
                  </w:pPr>
                  <w:r>
                    <w:rPr>
                      <w:b/>
                      <w:bCs/>
                    </w:rPr>
                    <w:t>超标率/%</w:t>
                  </w:r>
                </w:p>
              </w:tc>
              <w:tc>
                <w:tcPr>
                  <w:tcW w:w="866" w:type="dxa"/>
                  <w:vAlign w:val="center"/>
                </w:tcPr>
                <w:p>
                  <w:pPr>
                    <w:pStyle w:val="136"/>
                    <w:adjustRightInd w:val="0"/>
                    <w:snapToGrid w:val="0"/>
                    <w:rPr>
                      <w:b/>
                      <w:bCs/>
                    </w:rPr>
                  </w:pPr>
                  <w:r>
                    <w:rPr>
                      <w:b/>
                      <w:bCs/>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339" w:type="dxa"/>
                  <w:vMerge w:val="restart"/>
                  <w:vAlign w:val="center"/>
                </w:tcPr>
                <w:p>
                  <w:pPr>
                    <w:pStyle w:val="136"/>
                    <w:adjustRightInd w:val="0"/>
                    <w:snapToGrid w:val="0"/>
                  </w:pPr>
                  <w:r>
                    <w:rPr>
                      <w:rFonts w:hint="eastAsia"/>
                    </w:rPr>
                    <w:t>1#（</w:t>
                  </w:r>
                  <w:r>
                    <w:rPr>
                      <w:rFonts w:hint="eastAsia" w:cs="Times New Roman"/>
                    </w:rPr>
                    <w:t>厂址下风向约4</w:t>
                  </w:r>
                  <w:r>
                    <w:rPr>
                      <w:rFonts w:cs="Times New Roman"/>
                    </w:rPr>
                    <w:t>00</w:t>
                  </w:r>
                  <w:r>
                    <w:rPr>
                      <w:rFonts w:hint="eastAsia" w:cs="Times New Roman"/>
                    </w:rPr>
                    <w:t>m处</w:t>
                  </w:r>
                  <w:r>
                    <w:rPr>
                      <w:rFonts w:hint="eastAsia"/>
                    </w:rPr>
                    <w:t>）</w:t>
                  </w:r>
                </w:p>
              </w:tc>
              <w:tc>
                <w:tcPr>
                  <w:tcW w:w="808" w:type="dxa"/>
                  <w:vAlign w:val="center"/>
                </w:tcPr>
                <w:p>
                  <w:pPr>
                    <w:pStyle w:val="136"/>
                    <w:adjustRightInd w:val="0"/>
                    <w:snapToGrid w:val="0"/>
                  </w:pPr>
                  <w:r>
                    <w:rPr>
                      <w:rFonts w:hint="eastAsia"/>
                    </w:rPr>
                    <w:t>TVOC</w:t>
                  </w:r>
                </w:p>
              </w:tc>
              <w:tc>
                <w:tcPr>
                  <w:tcW w:w="809" w:type="dxa"/>
                  <w:vAlign w:val="center"/>
                </w:tcPr>
                <w:p>
                  <w:pPr>
                    <w:pStyle w:val="136"/>
                    <w:adjustRightInd w:val="0"/>
                    <w:snapToGrid w:val="0"/>
                  </w:pPr>
                  <w:r>
                    <w:rPr>
                      <w:rFonts w:hint="eastAsia"/>
                    </w:rPr>
                    <w:t>8h均值</w:t>
                  </w:r>
                </w:p>
              </w:tc>
              <w:tc>
                <w:tcPr>
                  <w:tcW w:w="1114" w:type="dxa"/>
                  <w:vAlign w:val="center"/>
                </w:tcPr>
                <w:p>
                  <w:pPr>
                    <w:pStyle w:val="136"/>
                    <w:adjustRightInd w:val="0"/>
                    <w:snapToGrid w:val="0"/>
                  </w:pPr>
                  <w:r>
                    <w:rPr>
                      <w:rFonts w:hint="eastAsia"/>
                    </w:rPr>
                    <w:t>6</w:t>
                  </w:r>
                  <w:r>
                    <w:t>00</w:t>
                  </w:r>
                </w:p>
              </w:tc>
              <w:tc>
                <w:tcPr>
                  <w:tcW w:w="1284" w:type="dxa"/>
                  <w:vAlign w:val="center"/>
                </w:tcPr>
                <w:p>
                  <w:pPr>
                    <w:pStyle w:val="136"/>
                    <w:adjustRightInd w:val="0"/>
                    <w:snapToGrid w:val="0"/>
                  </w:pPr>
                  <w:r>
                    <w:rPr>
                      <w:rFonts w:hint="eastAsia"/>
                    </w:rPr>
                    <w:t>3</w:t>
                  </w:r>
                  <w:r>
                    <w:t>1.9</w:t>
                  </w:r>
                  <w:r>
                    <w:rPr>
                      <w:rFonts w:hint="eastAsia"/>
                    </w:rPr>
                    <w:t>~</w:t>
                  </w:r>
                  <w:r>
                    <w:t>51.0</w:t>
                  </w:r>
                </w:p>
              </w:tc>
              <w:tc>
                <w:tcPr>
                  <w:tcW w:w="870" w:type="dxa"/>
                  <w:vAlign w:val="center"/>
                </w:tcPr>
                <w:p>
                  <w:pPr>
                    <w:pStyle w:val="136"/>
                    <w:adjustRightInd w:val="0"/>
                    <w:snapToGrid w:val="0"/>
                  </w:pPr>
                  <w:r>
                    <w:rPr>
                      <w:rFonts w:hint="eastAsia"/>
                    </w:rPr>
                    <w:t>8</w:t>
                  </w:r>
                  <w:r>
                    <w:t>.5</w:t>
                  </w:r>
                </w:p>
              </w:tc>
              <w:tc>
                <w:tcPr>
                  <w:tcW w:w="870" w:type="dxa"/>
                  <w:vAlign w:val="center"/>
                </w:tcPr>
                <w:p>
                  <w:pPr>
                    <w:pStyle w:val="136"/>
                    <w:adjustRightInd w:val="0"/>
                    <w:snapToGrid w:val="0"/>
                  </w:pPr>
                  <w:r>
                    <w:rPr>
                      <w:rFonts w:hint="eastAsia"/>
                    </w:rPr>
                    <w:t>0</w:t>
                  </w:r>
                </w:p>
              </w:tc>
              <w:tc>
                <w:tcPr>
                  <w:tcW w:w="866" w:type="dxa"/>
                  <w:vAlign w:val="center"/>
                </w:tcPr>
                <w:p>
                  <w:pPr>
                    <w:pStyle w:val="136"/>
                    <w:adjustRightInd w:val="0"/>
                    <w:snapToGrid w:val="0"/>
                  </w:pPr>
                  <w:r>
                    <w:rPr>
                      <w:rFonts w:hint="eastAsi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339" w:type="dxa"/>
                  <w:vMerge w:val="continue"/>
                  <w:vAlign w:val="center"/>
                </w:tcPr>
                <w:p>
                  <w:pPr>
                    <w:pStyle w:val="136"/>
                    <w:adjustRightInd w:val="0"/>
                    <w:snapToGrid w:val="0"/>
                  </w:pPr>
                </w:p>
              </w:tc>
              <w:tc>
                <w:tcPr>
                  <w:tcW w:w="808" w:type="dxa"/>
                  <w:vMerge w:val="restart"/>
                  <w:vAlign w:val="center"/>
                </w:tcPr>
                <w:p>
                  <w:pPr>
                    <w:pStyle w:val="136"/>
                    <w:adjustRightInd w:val="0"/>
                    <w:snapToGrid w:val="0"/>
                  </w:pPr>
                  <w:r>
                    <w:rPr>
                      <w:rFonts w:hint="eastAsia"/>
                    </w:rPr>
                    <w:t>氯化氢</w:t>
                  </w:r>
                </w:p>
              </w:tc>
              <w:tc>
                <w:tcPr>
                  <w:tcW w:w="809" w:type="dxa"/>
                  <w:vAlign w:val="center"/>
                </w:tcPr>
                <w:p>
                  <w:pPr>
                    <w:pStyle w:val="136"/>
                    <w:adjustRightInd w:val="0"/>
                    <w:snapToGrid w:val="0"/>
                  </w:pPr>
                  <w:r>
                    <w:rPr>
                      <w:rFonts w:hint="eastAsia"/>
                    </w:rPr>
                    <w:t>日均值</w:t>
                  </w:r>
                </w:p>
              </w:tc>
              <w:tc>
                <w:tcPr>
                  <w:tcW w:w="1114" w:type="dxa"/>
                  <w:vAlign w:val="center"/>
                </w:tcPr>
                <w:p>
                  <w:pPr>
                    <w:pStyle w:val="136"/>
                    <w:adjustRightInd w:val="0"/>
                    <w:snapToGrid w:val="0"/>
                  </w:pPr>
                  <w:r>
                    <w:rPr>
                      <w:rFonts w:hint="eastAsia"/>
                    </w:rPr>
                    <w:t>1</w:t>
                  </w:r>
                  <w:r>
                    <w:t>5</w:t>
                  </w:r>
                </w:p>
              </w:tc>
              <w:tc>
                <w:tcPr>
                  <w:tcW w:w="1284" w:type="dxa"/>
                  <w:vAlign w:val="center"/>
                </w:tcPr>
                <w:p>
                  <w:pPr>
                    <w:pStyle w:val="136"/>
                    <w:adjustRightInd w:val="0"/>
                    <w:snapToGrid w:val="0"/>
                  </w:pPr>
                  <w:r>
                    <w:rPr>
                      <w:rFonts w:hint="eastAsia"/>
                    </w:rPr>
                    <w:t>未检出</w:t>
                  </w:r>
                </w:p>
              </w:tc>
              <w:tc>
                <w:tcPr>
                  <w:tcW w:w="870" w:type="dxa"/>
                  <w:vAlign w:val="center"/>
                </w:tcPr>
                <w:p>
                  <w:pPr>
                    <w:pStyle w:val="136"/>
                    <w:adjustRightInd w:val="0"/>
                    <w:snapToGrid w:val="0"/>
                  </w:pPr>
                  <w:r>
                    <w:rPr>
                      <w:rFonts w:hint="eastAsia"/>
                    </w:rPr>
                    <w:t>/</w:t>
                  </w:r>
                </w:p>
              </w:tc>
              <w:tc>
                <w:tcPr>
                  <w:tcW w:w="870" w:type="dxa"/>
                  <w:vAlign w:val="center"/>
                </w:tcPr>
                <w:p>
                  <w:pPr>
                    <w:pStyle w:val="136"/>
                    <w:adjustRightInd w:val="0"/>
                    <w:snapToGrid w:val="0"/>
                  </w:pPr>
                  <w:r>
                    <w:rPr>
                      <w:rFonts w:hint="eastAsia"/>
                    </w:rPr>
                    <w:t>/</w:t>
                  </w:r>
                </w:p>
              </w:tc>
              <w:tc>
                <w:tcPr>
                  <w:tcW w:w="866" w:type="dxa"/>
                  <w:vAlign w:val="center"/>
                </w:tcPr>
                <w:p>
                  <w:pPr>
                    <w:pStyle w:val="136"/>
                    <w:adjustRightInd w:val="0"/>
                    <w:snapToGrid w:val="0"/>
                  </w:pPr>
                  <w:r>
                    <w:rPr>
                      <w:rFonts w:hint="eastAsi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339" w:type="dxa"/>
                  <w:vMerge w:val="continue"/>
                  <w:vAlign w:val="center"/>
                </w:tcPr>
                <w:p>
                  <w:pPr>
                    <w:pStyle w:val="136"/>
                    <w:adjustRightInd w:val="0"/>
                    <w:snapToGrid w:val="0"/>
                  </w:pPr>
                </w:p>
              </w:tc>
              <w:tc>
                <w:tcPr>
                  <w:tcW w:w="808" w:type="dxa"/>
                  <w:vMerge w:val="continue"/>
                  <w:vAlign w:val="center"/>
                </w:tcPr>
                <w:p>
                  <w:pPr>
                    <w:pStyle w:val="136"/>
                    <w:adjustRightInd w:val="0"/>
                    <w:snapToGrid w:val="0"/>
                  </w:pPr>
                </w:p>
              </w:tc>
              <w:tc>
                <w:tcPr>
                  <w:tcW w:w="809" w:type="dxa"/>
                  <w:vAlign w:val="center"/>
                </w:tcPr>
                <w:p>
                  <w:pPr>
                    <w:pStyle w:val="136"/>
                    <w:adjustRightInd w:val="0"/>
                    <w:snapToGrid w:val="0"/>
                  </w:pPr>
                  <w:r>
                    <w:rPr>
                      <w:rFonts w:hint="eastAsia"/>
                    </w:rPr>
                    <w:t>1h均值</w:t>
                  </w:r>
                </w:p>
              </w:tc>
              <w:tc>
                <w:tcPr>
                  <w:tcW w:w="1114" w:type="dxa"/>
                  <w:vAlign w:val="center"/>
                </w:tcPr>
                <w:p>
                  <w:pPr>
                    <w:pStyle w:val="136"/>
                    <w:adjustRightInd w:val="0"/>
                    <w:snapToGrid w:val="0"/>
                  </w:pPr>
                  <w:r>
                    <w:rPr>
                      <w:rFonts w:hint="eastAsia"/>
                    </w:rPr>
                    <w:t>5</w:t>
                  </w:r>
                  <w:r>
                    <w:t>0</w:t>
                  </w:r>
                </w:p>
              </w:tc>
              <w:tc>
                <w:tcPr>
                  <w:tcW w:w="1284" w:type="dxa"/>
                  <w:vAlign w:val="center"/>
                </w:tcPr>
                <w:p>
                  <w:pPr>
                    <w:pStyle w:val="136"/>
                    <w:adjustRightInd w:val="0"/>
                    <w:snapToGrid w:val="0"/>
                  </w:pPr>
                  <w:r>
                    <w:rPr>
                      <w:rFonts w:hint="eastAsia"/>
                    </w:rPr>
                    <w:t>未检出</w:t>
                  </w:r>
                </w:p>
              </w:tc>
              <w:tc>
                <w:tcPr>
                  <w:tcW w:w="870" w:type="dxa"/>
                  <w:vAlign w:val="center"/>
                </w:tcPr>
                <w:p>
                  <w:pPr>
                    <w:pStyle w:val="136"/>
                    <w:adjustRightInd w:val="0"/>
                    <w:snapToGrid w:val="0"/>
                  </w:pPr>
                  <w:r>
                    <w:rPr>
                      <w:rFonts w:hint="eastAsia"/>
                    </w:rPr>
                    <w:t>/</w:t>
                  </w:r>
                </w:p>
              </w:tc>
              <w:tc>
                <w:tcPr>
                  <w:tcW w:w="870" w:type="dxa"/>
                  <w:vAlign w:val="center"/>
                </w:tcPr>
                <w:p>
                  <w:pPr>
                    <w:pStyle w:val="136"/>
                    <w:adjustRightInd w:val="0"/>
                    <w:snapToGrid w:val="0"/>
                  </w:pPr>
                  <w:r>
                    <w:rPr>
                      <w:rFonts w:hint="eastAsia"/>
                    </w:rPr>
                    <w:t>/</w:t>
                  </w:r>
                </w:p>
              </w:tc>
              <w:tc>
                <w:tcPr>
                  <w:tcW w:w="866" w:type="dxa"/>
                  <w:vAlign w:val="center"/>
                </w:tcPr>
                <w:p>
                  <w:pPr>
                    <w:pStyle w:val="136"/>
                    <w:adjustRightInd w:val="0"/>
                    <w:snapToGrid w:val="0"/>
                  </w:pPr>
                  <w:r>
                    <w:rPr>
                      <w:rFonts w:hint="eastAsi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339" w:type="dxa"/>
                  <w:vMerge w:val="continue"/>
                  <w:vAlign w:val="center"/>
                </w:tcPr>
                <w:p>
                  <w:pPr>
                    <w:pStyle w:val="136"/>
                    <w:adjustRightInd w:val="0"/>
                    <w:snapToGrid w:val="0"/>
                  </w:pPr>
                </w:p>
              </w:tc>
              <w:tc>
                <w:tcPr>
                  <w:tcW w:w="808" w:type="dxa"/>
                  <w:vMerge w:val="restart"/>
                  <w:vAlign w:val="center"/>
                </w:tcPr>
                <w:p>
                  <w:pPr>
                    <w:pStyle w:val="136"/>
                    <w:adjustRightInd w:val="0"/>
                    <w:snapToGrid w:val="0"/>
                  </w:pPr>
                  <w:r>
                    <w:rPr>
                      <w:rFonts w:hint="eastAsia"/>
                    </w:rPr>
                    <w:t>硫酸雾</w:t>
                  </w:r>
                </w:p>
              </w:tc>
              <w:tc>
                <w:tcPr>
                  <w:tcW w:w="809" w:type="dxa"/>
                  <w:vAlign w:val="center"/>
                </w:tcPr>
                <w:p>
                  <w:pPr>
                    <w:pStyle w:val="136"/>
                    <w:adjustRightInd w:val="0"/>
                    <w:snapToGrid w:val="0"/>
                  </w:pPr>
                  <w:r>
                    <w:rPr>
                      <w:rFonts w:hint="eastAsia"/>
                    </w:rPr>
                    <w:t>日均值</w:t>
                  </w:r>
                </w:p>
              </w:tc>
              <w:tc>
                <w:tcPr>
                  <w:tcW w:w="1114" w:type="dxa"/>
                  <w:vAlign w:val="center"/>
                </w:tcPr>
                <w:p>
                  <w:pPr>
                    <w:pStyle w:val="136"/>
                    <w:adjustRightInd w:val="0"/>
                    <w:snapToGrid w:val="0"/>
                  </w:pPr>
                  <w:r>
                    <w:rPr>
                      <w:rFonts w:hint="eastAsia"/>
                    </w:rPr>
                    <w:t>1</w:t>
                  </w:r>
                  <w:r>
                    <w:t>00</w:t>
                  </w:r>
                </w:p>
              </w:tc>
              <w:tc>
                <w:tcPr>
                  <w:tcW w:w="1284" w:type="dxa"/>
                  <w:vAlign w:val="center"/>
                </w:tcPr>
                <w:p>
                  <w:pPr>
                    <w:pStyle w:val="136"/>
                    <w:adjustRightInd w:val="0"/>
                    <w:snapToGrid w:val="0"/>
                  </w:pPr>
                  <w:r>
                    <w:rPr>
                      <w:rFonts w:hint="eastAsia"/>
                    </w:rPr>
                    <w:t>7~</w:t>
                  </w:r>
                  <w:r>
                    <w:t>8</w:t>
                  </w:r>
                </w:p>
              </w:tc>
              <w:tc>
                <w:tcPr>
                  <w:tcW w:w="870" w:type="dxa"/>
                  <w:vAlign w:val="center"/>
                </w:tcPr>
                <w:p>
                  <w:pPr>
                    <w:pStyle w:val="136"/>
                    <w:adjustRightInd w:val="0"/>
                    <w:snapToGrid w:val="0"/>
                  </w:pPr>
                  <w:r>
                    <w:rPr>
                      <w:rFonts w:hint="eastAsia"/>
                    </w:rPr>
                    <w:t>8</w:t>
                  </w:r>
                  <w:r>
                    <w:t>.0</w:t>
                  </w:r>
                </w:p>
              </w:tc>
              <w:tc>
                <w:tcPr>
                  <w:tcW w:w="870" w:type="dxa"/>
                  <w:vAlign w:val="center"/>
                </w:tcPr>
                <w:p>
                  <w:pPr>
                    <w:pStyle w:val="136"/>
                    <w:adjustRightInd w:val="0"/>
                    <w:snapToGrid w:val="0"/>
                  </w:pPr>
                  <w:r>
                    <w:rPr>
                      <w:rFonts w:hint="eastAsia"/>
                    </w:rPr>
                    <w:t>0</w:t>
                  </w:r>
                </w:p>
              </w:tc>
              <w:tc>
                <w:tcPr>
                  <w:tcW w:w="866" w:type="dxa"/>
                  <w:vAlign w:val="center"/>
                </w:tcPr>
                <w:p>
                  <w:pPr>
                    <w:pStyle w:val="136"/>
                    <w:adjustRightInd w:val="0"/>
                    <w:snapToGrid w:val="0"/>
                  </w:pPr>
                  <w:r>
                    <w:rPr>
                      <w:rFonts w:hint="eastAsi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339" w:type="dxa"/>
                  <w:vMerge w:val="continue"/>
                  <w:vAlign w:val="center"/>
                </w:tcPr>
                <w:p>
                  <w:pPr>
                    <w:pStyle w:val="136"/>
                    <w:adjustRightInd w:val="0"/>
                    <w:snapToGrid w:val="0"/>
                  </w:pPr>
                </w:p>
              </w:tc>
              <w:tc>
                <w:tcPr>
                  <w:tcW w:w="808" w:type="dxa"/>
                  <w:vMerge w:val="continue"/>
                  <w:vAlign w:val="center"/>
                </w:tcPr>
                <w:p>
                  <w:pPr>
                    <w:pStyle w:val="136"/>
                    <w:adjustRightInd w:val="0"/>
                    <w:snapToGrid w:val="0"/>
                  </w:pPr>
                </w:p>
              </w:tc>
              <w:tc>
                <w:tcPr>
                  <w:tcW w:w="809" w:type="dxa"/>
                  <w:vAlign w:val="center"/>
                </w:tcPr>
                <w:p>
                  <w:pPr>
                    <w:pStyle w:val="136"/>
                    <w:adjustRightInd w:val="0"/>
                    <w:snapToGrid w:val="0"/>
                  </w:pPr>
                  <w:r>
                    <w:rPr>
                      <w:rFonts w:hint="eastAsia"/>
                    </w:rPr>
                    <w:t>1h均值</w:t>
                  </w:r>
                </w:p>
              </w:tc>
              <w:tc>
                <w:tcPr>
                  <w:tcW w:w="1114" w:type="dxa"/>
                  <w:vAlign w:val="center"/>
                </w:tcPr>
                <w:p>
                  <w:pPr>
                    <w:pStyle w:val="136"/>
                    <w:adjustRightInd w:val="0"/>
                    <w:snapToGrid w:val="0"/>
                  </w:pPr>
                  <w:r>
                    <w:rPr>
                      <w:rFonts w:hint="eastAsia"/>
                    </w:rPr>
                    <w:t>3</w:t>
                  </w:r>
                  <w:r>
                    <w:t>00</w:t>
                  </w:r>
                </w:p>
              </w:tc>
              <w:tc>
                <w:tcPr>
                  <w:tcW w:w="1284" w:type="dxa"/>
                  <w:vAlign w:val="center"/>
                </w:tcPr>
                <w:p>
                  <w:pPr>
                    <w:pStyle w:val="136"/>
                    <w:adjustRightInd w:val="0"/>
                    <w:snapToGrid w:val="0"/>
                  </w:pPr>
                  <w:r>
                    <w:rPr>
                      <w:rFonts w:hint="eastAsia"/>
                    </w:rPr>
                    <w:t>3</w:t>
                  </w:r>
                  <w:r>
                    <w:t>9</w:t>
                  </w:r>
                  <w:r>
                    <w:rPr>
                      <w:rFonts w:hint="eastAsia"/>
                    </w:rPr>
                    <w:t>~</w:t>
                  </w:r>
                  <w:r>
                    <w:t>119</w:t>
                  </w:r>
                </w:p>
              </w:tc>
              <w:tc>
                <w:tcPr>
                  <w:tcW w:w="870" w:type="dxa"/>
                  <w:vAlign w:val="center"/>
                </w:tcPr>
                <w:p>
                  <w:pPr>
                    <w:pStyle w:val="136"/>
                    <w:adjustRightInd w:val="0"/>
                    <w:snapToGrid w:val="0"/>
                  </w:pPr>
                  <w:r>
                    <w:rPr>
                      <w:rFonts w:hint="eastAsia"/>
                    </w:rPr>
                    <w:t>3</w:t>
                  </w:r>
                  <w:r>
                    <w:t>9.7</w:t>
                  </w:r>
                </w:p>
              </w:tc>
              <w:tc>
                <w:tcPr>
                  <w:tcW w:w="870" w:type="dxa"/>
                  <w:vAlign w:val="center"/>
                </w:tcPr>
                <w:p>
                  <w:pPr>
                    <w:pStyle w:val="136"/>
                    <w:adjustRightInd w:val="0"/>
                    <w:snapToGrid w:val="0"/>
                  </w:pPr>
                  <w:r>
                    <w:rPr>
                      <w:rFonts w:hint="eastAsia"/>
                    </w:rPr>
                    <w:t>0</w:t>
                  </w:r>
                </w:p>
              </w:tc>
              <w:tc>
                <w:tcPr>
                  <w:tcW w:w="866" w:type="dxa"/>
                  <w:vAlign w:val="center"/>
                </w:tcPr>
                <w:p>
                  <w:pPr>
                    <w:pStyle w:val="136"/>
                    <w:adjustRightInd w:val="0"/>
                    <w:snapToGrid w:val="0"/>
                  </w:pPr>
                  <w:r>
                    <w:rPr>
                      <w:rFonts w:hint="eastAsia"/>
                    </w:rPr>
                    <w:t>达标</w:t>
                  </w:r>
                </w:p>
              </w:tc>
            </w:tr>
          </w:tbl>
          <w:p>
            <w:pPr>
              <w:ind w:firstLine="480"/>
            </w:pPr>
            <w:r>
              <w:rPr>
                <w:bCs/>
              </w:rPr>
              <w:t>根据以上监测数据表明，本项目所在区域</w:t>
            </w:r>
            <w:r>
              <w:rPr>
                <w:rFonts w:hint="eastAsia"/>
                <w:bCs/>
              </w:rPr>
              <w:t>环境空气中TVOC、氯化氢、硫酸雾指标</w:t>
            </w:r>
            <w:r>
              <w:rPr>
                <w:bCs/>
              </w:rPr>
              <w:t>满足</w:t>
            </w:r>
            <w:r>
              <w:rPr>
                <w:rFonts w:hint="eastAsia"/>
                <w:bCs/>
              </w:rPr>
              <w:t>《环境影响评价技术导则 大气环境》（HJ</w:t>
            </w:r>
            <w:r>
              <w:rPr>
                <w:bCs/>
              </w:rPr>
              <w:t xml:space="preserve"> 2.2-2018</w:t>
            </w:r>
            <w:r>
              <w:rPr>
                <w:rFonts w:hint="eastAsia"/>
                <w:bCs/>
              </w:rPr>
              <w:t>）附录D</w:t>
            </w:r>
            <w:r>
              <w:rPr>
                <w:bCs/>
              </w:rPr>
              <w:t>标准</w:t>
            </w:r>
            <w:r>
              <w:rPr>
                <w:rFonts w:hint="eastAsia"/>
                <w:bCs/>
              </w:rPr>
              <w:t>限值要求。</w:t>
            </w:r>
          </w:p>
          <w:p>
            <w:pPr>
              <w:pStyle w:val="158"/>
              <w:adjustRightInd w:val="0"/>
              <w:snapToGrid w:val="0"/>
            </w:pPr>
            <w:r>
              <w:t>2、地表水环境质量</w:t>
            </w:r>
          </w:p>
          <w:p>
            <w:pPr>
              <w:ind w:firstLine="480"/>
            </w:pPr>
            <w:bookmarkStart w:id="7" w:name="_Hlk37404725"/>
            <w:bookmarkStart w:id="8" w:name="_Toc72938239"/>
            <w:bookmarkStart w:id="9" w:name="_Hlk38876924"/>
            <w:r>
              <w:rPr>
                <w:rFonts w:hint="eastAsia"/>
              </w:rPr>
              <w:t>本项目受纳水体为巴河，根据</w:t>
            </w:r>
            <w:r>
              <w:t>《建设项目环境影响报告表编制技术指南（污染影响类）（试行）》</w:t>
            </w:r>
            <w:r>
              <w:rPr>
                <w:rFonts w:hint="eastAsia"/>
              </w:rPr>
              <w:t>中“</w:t>
            </w:r>
            <w:r>
              <w:rPr>
                <w:rFonts w:hint="eastAsia"/>
                <w:iCs/>
                <w:u w:val="single"/>
              </w:rPr>
              <w:t>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rPr>
              <w:t>”的规定，本次环评引用巴中市生态环境局公开发布的《202</w:t>
            </w:r>
            <w:r>
              <w:t>2</w:t>
            </w:r>
            <w:r>
              <w:rPr>
                <w:rFonts w:hint="eastAsia"/>
              </w:rPr>
              <w:t>年巴中市生态环境状况公报》中地表水环境质量结论：“</w:t>
            </w:r>
            <w:r>
              <w:rPr>
                <w:u w:val="single"/>
              </w:rPr>
              <w:t>2022年，巴河总体水质为优，10个国省控断面均达到或优于Ⅲ类水质，其中国控断面Ⅱ类水质占比100%，省控断面Ⅱ类水质占比75%。</w:t>
            </w:r>
            <w:bookmarkStart w:id="10" w:name="_Hlk102984216"/>
            <w:r>
              <w:rPr>
                <w:u w:val="single"/>
              </w:rPr>
              <w:t>与上年相比，巴河总体水质不变，保持为优，Ⅰ-Ⅲ类水质占比100%，鳌溪断面水质有所改善，由水质类别由Ⅲ类</w:t>
            </w:r>
            <w:r>
              <w:rPr>
                <w:rFonts w:hint="eastAsia"/>
                <w:u w:val="single"/>
              </w:rPr>
              <w:t>改善</w:t>
            </w:r>
            <w:r>
              <w:rPr>
                <w:u w:val="single"/>
              </w:rPr>
              <w:t>为Ⅱ类，其余各断面水质均无明显变化</w:t>
            </w:r>
            <w:bookmarkEnd w:id="10"/>
            <w:r>
              <w:rPr>
                <w:u w:val="single"/>
              </w:rPr>
              <w:t>。</w:t>
            </w:r>
            <w:r>
              <w:rPr>
                <w:rFonts w:hint="eastAsia"/>
              </w:rPr>
              <w:t>”</w:t>
            </w:r>
            <w:bookmarkEnd w:id="7"/>
            <w:bookmarkEnd w:id="8"/>
            <w:bookmarkEnd w:id="9"/>
          </w:p>
          <w:p>
            <w:pPr>
              <w:ind w:firstLine="480"/>
            </w:pPr>
            <w:r>
              <w:rPr>
                <w:rFonts w:hint="eastAsia"/>
              </w:rPr>
              <w:t>项目所在区域地表水体巴河</w:t>
            </w:r>
            <w:r>
              <w:t>为</w:t>
            </w:r>
            <w:r>
              <w:rPr>
                <w:rFonts w:hint="eastAsia"/>
              </w:rPr>
              <w:t>Ⅲ</w:t>
            </w:r>
            <w:r>
              <w:t>类水体，根据以上资料项目</w:t>
            </w:r>
            <w:r>
              <w:rPr>
                <w:rFonts w:hint="eastAsia"/>
              </w:rPr>
              <w:t>巴河</w:t>
            </w:r>
            <w:r>
              <w:t>水质能够满足《地表水环境质量标准》（GB3838-2002）中</w:t>
            </w:r>
            <w:r>
              <w:rPr>
                <w:rFonts w:hint="eastAsia"/>
              </w:rPr>
              <w:t>Ⅲ</w:t>
            </w:r>
            <w:r>
              <w:t>类标准。</w:t>
            </w:r>
          </w:p>
          <w:p>
            <w:pPr>
              <w:pStyle w:val="158"/>
              <w:adjustRightInd w:val="0"/>
              <w:snapToGrid w:val="0"/>
            </w:pPr>
            <w:r>
              <w:t>3、声环境质量</w:t>
            </w:r>
          </w:p>
          <w:p>
            <w:pPr>
              <w:ind w:firstLine="480"/>
            </w:pPr>
            <w:r>
              <w:rPr>
                <w:rFonts w:hint="eastAsia"/>
              </w:rPr>
              <w:t>根据《关于印发巴中市城区噪声功能区调整划分方案的通知》（巴府办发〔</w:t>
            </w:r>
            <w:r>
              <w:t>2019</w:t>
            </w:r>
            <w:r>
              <w:rPr>
                <w:rFonts w:hint="eastAsia"/>
              </w:rPr>
              <w:t>〕</w:t>
            </w:r>
            <w:r>
              <w:t>2</w:t>
            </w:r>
            <w:r>
              <w:rPr>
                <w:rFonts w:hint="eastAsia"/>
              </w:rPr>
              <w:t>号），本项目位于</w:t>
            </w:r>
            <w:r>
              <w:t>2</w:t>
            </w:r>
            <w:r>
              <w:rPr>
                <w:rFonts w:hint="eastAsia"/>
              </w:rPr>
              <w:t>类声功能区。</w:t>
            </w:r>
            <w:r>
              <w:t>根据</w:t>
            </w:r>
            <w:r>
              <w:rPr>
                <w:rFonts w:hint="eastAsia"/>
              </w:rPr>
              <w:t>现场踏勘，项目周边5</w:t>
            </w:r>
            <w:r>
              <w:t>0</w:t>
            </w:r>
            <w:r>
              <w:rPr>
                <w:rFonts w:hint="eastAsia"/>
              </w:rPr>
              <w:t>m范围内有声环境保护目标。</w:t>
            </w:r>
            <w:r>
              <w:t>因此</w:t>
            </w:r>
            <w:r>
              <w:rPr>
                <w:rFonts w:hint="eastAsia"/>
              </w:rPr>
              <w:t>，本次评价</w:t>
            </w:r>
            <w:r>
              <w:t>根据《建设项目环境影响报告表编制技术指南</w:t>
            </w:r>
            <w:r>
              <w:rPr>
                <w:rFonts w:hint="eastAsia"/>
              </w:rPr>
              <w:t>（污染影响类）</w:t>
            </w:r>
            <w:r>
              <w:t>》（2021试行）要求，</w:t>
            </w:r>
            <w:r>
              <w:rPr>
                <w:rFonts w:hint="eastAsia"/>
              </w:rPr>
              <w:t>委托四川锡水金山环保科技有限公司于2</w:t>
            </w:r>
            <w:r>
              <w:t>023.6.30</w:t>
            </w:r>
            <w:r>
              <w:rPr>
                <w:rFonts w:hint="eastAsia"/>
              </w:rPr>
              <w:t>，对项目周边5</w:t>
            </w:r>
            <w:r>
              <w:t>0</w:t>
            </w:r>
            <w:r>
              <w:rPr>
                <w:rFonts w:hint="eastAsia"/>
              </w:rPr>
              <w:t>m范围内的声环境保护目标进行监测。</w:t>
            </w:r>
          </w:p>
          <w:p>
            <w:pPr>
              <w:ind w:firstLine="480"/>
            </w:pPr>
            <w:r>
              <w:rPr>
                <w:rFonts w:hint="eastAsia"/>
              </w:rPr>
              <w:t>（1）监测点位</w:t>
            </w:r>
          </w:p>
          <w:p>
            <w:pPr>
              <w:pStyle w:val="157"/>
            </w:pPr>
            <w:r>
              <w:rPr>
                <w:rFonts w:hint="eastAsia"/>
              </w:rPr>
              <w:t>表3</w:t>
            </w:r>
            <w:r>
              <w:t xml:space="preserve">-4  </w:t>
            </w:r>
            <w:r>
              <w:rPr>
                <w:rFonts w:hint="eastAsia"/>
              </w:rPr>
              <w:t>声环境监测点位一览表</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61"/>
              <w:gridCol w:w="6095"/>
              <w:gridCol w:w="10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0" w:hRule="atLeast"/>
                <w:jc w:val="center"/>
              </w:trPr>
              <w:tc>
                <w:tcPr>
                  <w:tcW w:w="592" w:type="pct"/>
                  <w:vAlign w:val="center"/>
                </w:tcPr>
                <w:p>
                  <w:pPr>
                    <w:pStyle w:val="136"/>
                    <w:rPr>
                      <w:b/>
                      <w:bCs/>
                    </w:rPr>
                  </w:pPr>
                  <w:r>
                    <w:rPr>
                      <w:b/>
                      <w:bCs/>
                    </w:rPr>
                    <w:t>监测点位</w:t>
                  </w:r>
                </w:p>
              </w:tc>
              <w:tc>
                <w:tcPr>
                  <w:tcW w:w="3752" w:type="pct"/>
                  <w:vAlign w:val="center"/>
                </w:tcPr>
                <w:p>
                  <w:pPr>
                    <w:pStyle w:val="136"/>
                    <w:rPr>
                      <w:b/>
                      <w:bCs/>
                    </w:rPr>
                  </w:pPr>
                  <w:r>
                    <w:rPr>
                      <w:b/>
                      <w:bCs/>
                    </w:rPr>
                    <w:t>测点名称</w:t>
                  </w:r>
                </w:p>
              </w:tc>
              <w:tc>
                <w:tcPr>
                  <w:tcW w:w="656" w:type="pct"/>
                </w:tcPr>
                <w:p>
                  <w:pPr>
                    <w:pStyle w:val="136"/>
                    <w:rPr>
                      <w:b/>
                      <w:bCs/>
                    </w:rPr>
                  </w:pPr>
                  <w:r>
                    <w:rPr>
                      <w:rFonts w:hint="eastAsia"/>
                      <w:b/>
                      <w:bCs/>
                    </w:rPr>
                    <w:t>监测因子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592" w:type="pct"/>
                </w:tcPr>
                <w:p>
                  <w:pPr>
                    <w:pStyle w:val="136"/>
                  </w:pPr>
                  <w:r>
                    <w:t>1</w:t>
                  </w:r>
                  <w:r>
                    <w:rPr>
                      <w:rFonts w:hint="eastAsia"/>
                    </w:rPr>
                    <w:t>#</w:t>
                  </w:r>
                </w:p>
              </w:tc>
              <w:tc>
                <w:tcPr>
                  <w:tcW w:w="3752" w:type="pct"/>
                </w:tcPr>
                <w:p>
                  <w:pPr>
                    <w:pStyle w:val="136"/>
                  </w:pPr>
                  <w:r>
                    <w:rPr>
                      <w:rFonts w:hint="eastAsia"/>
                    </w:rPr>
                    <w:t>华兴·逸境新城B区3栋（西南侧厂界外约4</w:t>
                  </w:r>
                  <w:r>
                    <w:t>0</w:t>
                  </w:r>
                  <w:r>
                    <w:rPr>
                      <w:rFonts w:hint="eastAsia"/>
                    </w:rPr>
                    <w:t>m）</w:t>
                  </w:r>
                </w:p>
              </w:tc>
              <w:tc>
                <w:tcPr>
                  <w:tcW w:w="656" w:type="pct"/>
                  <w:vMerge w:val="restart"/>
                  <w:vAlign w:val="center"/>
                </w:tcPr>
                <w:p>
                  <w:pPr>
                    <w:pStyle w:val="136"/>
                  </w:pPr>
                  <w:r>
                    <w:rPr>
                      <w:rFonts w:hint="eastAsia"/>
                    </w:rPr>
                    <w:t>环境噪声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592" w:type="pct"/>
                </w:tcPr>
                <w:p>
                  <w:pPr>
                    <w:pStyle w:val="136"/>
                  </w:pPr>
                  <w:r>
                    <w:rPr>
                      <w:rFonts w:hint="eastAsia"/>
                    </w:rPr>
                    <w:t>2#</w:t>
                  </w:r>
                </w:p>
              </w:tc>
              <w:tc>
                <w:tcPr>
                  <w:tcW w:w="3752" w:type="pct"/>
                </w:tcPr>
                <w:p>
                  <w:pPr>
                    <w:pStyle w:val="136"/>
                  </w:pPr>
                  <w:r>
                    <w:rPr>
                      <w:rFonts w:hint="eastAsia"/>
                    </w:rPr>
                    <w:t>华兴·逸境新城B区</w:t>
                  </w:r>
                  <w:r>
                    <w:t>4</w:t>
                  </w:r>
                  <w:r>
                    <w:rPr>
                      <w:rFonts w:hint="eastAsia"/>
                    </w:rPr>
                    <w:t>栋（西南侧厂界外约4</w:t>
                  </w:r>
                  <w:r>
                    <w:t>0</w:t>
                  </w:r>
                  <w:r>
                    <w:rPr>
                      <w:rFonts w:hint="eastAsia"/>
                    </w:rPr>
                    <w:t>m）</w:t>
                  </w:r>
                </w:p>
              </w:tc>
              <w:tc>
                <w:tcPr>
                  <w:tcW w:w="656" w:type="pct"/>
                  <w:vMerge w:val="continue"/>
                </w:tcPr>
                <w:p>
                  <w:pPr>
                    <w:pStyle w:val="136"/>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592" w:type="pct"/>
                </w:tcPr>
                <w:p>
                  <w:pPr>
                    <w:pStyle w:val="136"/>
                  </w:pPr>
                  <w:r>
                    <w:rPr>
                      <w:rFonts w:hint="eastAsia"/>
                    </w:rPr>
                    <w:t>3#</w:t>
                  </w:r>
                </w:p>
              </w:tc>
              <w:tc>
                <w:tcPr>
                  <w:tcW w:w="3752" w:type="pct"/>
                </w:tcPr>
                <w:p>
                  <w:pPr>
                    <w:pStyle w:val="136"/>
                  </w:pPr>
                  <w:r>
                    <w:rPr>
                      <w:rFonts w:hint="eastAsia"/>
                    </w:rPr>
                    <w:t>巴中气象灾害监测预警及西南气象数据灾难备份中心（SE，1</w:t>
                  </w:r>
                  <w:r>
                    <w:t>0</w:t>
                  </w:r>
                  <w:r>
                    <w:rPr>
                      <w:rFonts w:hint="eastAsia"/>
                    </w:rPr>
                    <w:t>m）</w:t>
                  </w:r>
                </w:p>
              </w:tc>
              <w:tc>
                <w:tcPr>
                  <w:tcW w:w="656" w:type="pct"/>
                  <w:vMerge w:val="continue"/>
                </w:tcPr>
                <w:p>
                  <w:pPr>
                    <w:pStyle w:val="136"/>
                  </w:pPr>
                </w:p>
              </w:tc>
            </w:tr>
          </w:tbl>
          <w:p>
            <w:pPr>
              <w:ind w:firstLine="480"/>
            </w:pPr>
            <w:r>
              <w:rPr>
                <w:rFonts w:hint="eastAsia"/>
              </w:rPr>
              <w:t>（2）监测时间及监测频次</w:t>
            </w:r>
          </w:p>
          <w:p>
            <w:pPr>
              <w:ind w:firstLine="480"/>
            </w:pPr>
            <w:r>
              <w:rPr>
                <w:rFonts w:hint="eastAsia"/>
              </w:rPr>
              <w:t>于</w:t>
            </w:r>
            <w:r>
              <w:t>2023</w:t>
            </w:r>
            <w:r>
              <w:rPr>
                <w:rFonts w:hint="eastAsia"/>
              </w:rPr>
              <w:t>年</w:t>
            </w:r>
            <w:r>
              <w:t>6</w:t>
            </w:r>
            <w:r>
              <w:rPr>
                <w:rFonts w:hint="eastAsia"/>
              </w:rPr>
              <w:t>月3</w:t>
            </w:r>
            <w:r>
              <w:t>0</w:t>
            </w:r>
            <w:r>
              <w:rPr>
                <w:rFonts w:hint="eastAsia"/>
              </w:rPr>
              <w:t>日、2</w:t>
            </w:r>
            <w:r>
              <w:t>023</w:t>
            </w:r>
            <w:r>
              <w:rPr>
                <w:rFonts w:hint="eastAsia"/>
              </w:rPr>
              <w:t>年8月4日，</w:t>
            </w:r>
            <w:r>
              <w:t>监测1天，进行昼间</w:t>
            </w:r>
            <w:r>
              <w:rPr>
                <w:rFonts w:hint="eastAsia"/>
              </w:rPr>
              <w:t>噪声</w:t>
            </w:r>
            <w:r>
              <w:t>监测。</w:t>
            </w:r>
          </w:p>
          <w:p>
            <w:pPr>
              <w:ind w:firstLine="480"/>
            </w:pPr>
            <w:r>
              <w:rPr>
                <w:rFonts w:hint="eastAsia"/>
              </w:rPr>
              <w:t>（3）评价标准</w:t>
            </w:r>
          </w:p>
          <w:p>
            <w:pPr>
              <w:ind w:firstLine="480"/>
            </w:pPr>
            <w:r>
              <w:rPr>
                <w:rFonts w:hint="eastAsia"/>
              </w:rPr>
              <w:t>执行《声环境质量标准》（GB</w:t>
            </w:r>
            <w:r>
              <w:t xml:space="preserve"> 3096-2008</w:t>
            </w:r>
            <w:r>
              <w:rPr>
                <w:rFonts w:hint="eastAsia"/>
              </w:rPr>
              <w:t>）2类标准。</w:t>
            </w:r>
          </w:p>
          <w:p>
            <w:pPr>
              <w:ind w:firstLine="480"/>
            </w:pPr>
            <w:r>
              <w:rPr>
                <w:rFonts w:hint="eastAsia"/>
              </w:rPr>
              <w:t>（4）监测结果</w:t>
            </w:r>
          </w:p>
          <w:p>
            <w:pPr>
              <w:ind w:firstLine="480"/>
            </w:pPr>
            <w:r>
              <w:rPr>
                <w:rFonts w:hint="eastAsia"/>
              </w:rPr>
              <w:t>根据四川锡水金山环保科技有限公司出具的检测报告“锡环检字（2</w:t>
            </w:r>
            <w:r>
              <w:t>023</w:t>
            </w:r>
            <w:r>
              <w:rPr>
                <w:rFonts w:hint="eastAsia"/>
              </w:rPr>
              <w:t>）第</w:t>
            </w:r>
            <w:r>
              <w:t>0642501</w:t>
            </w:r>
            <w:r>
              <w:rPr>
                <w:rFonts w:hint="eastAsia"/>
              </w:rPr>
              <w:t>号、锡环检字（2</w:t>
            </w:r>
            <w:r>
              <w:t>023</w:t>
            </w:r>
            <w:r>
              <w:rPr>
                <w:rFonts w:hint="eastAsia"/>
              </w:rPr>
              <w:t>）第</w:t>
            </w:r>
            <w:r>
              <w:t>0808201</w:t>
            </w:r>
            <w:r>
              <w:rPr>
                <w:rFonts w:hint="eastAsia"/>
              </w:rPr>
              <w:t>号”，本项目噪声监测结果如下表所示：</w:t>
            </w:r>
          </w:p>
          <w:p>
            <w:pPr>
              <w:pStyle w:val="157"/>
              <w:keepNext/>
            </w:pPr>
            <w:r>
              <w:rPr>
                <w:rFonts w:hint="eastAsia"/>
              </w:rPr>
              <w:t>表3</w:t>
            </w:r>
            <w:r>
              <w:t xml:space="preserve">-5  </w:t>
            </w:r>
            <w:r>
              <w:rPr>
                <w:rFonts w:hint="eastAsia"/>
              </w:rPr>
              <w:t xml:space="preserve">噪声监测结果统计表 </w:t>
            </w:r>
            <w:r>
              <w:t xml:space="preserve"> </w:t>
            </w:r>
            <w:r>
              <w:rPr>
                <w:rFonts w:hint="eastAsia"/>
              </w:rPr>
              <w:t>单位：dB（A）</w:t>
            </w:r>
          </w:p>
          <w:tbl>
            <w:tblPr>
              <w:tblStyle w:val="19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69"/>
              <w:gridCol w:w="4287"/>
              <w:gridCol w:w="1012"/>
              <w:gridCol w:w="869"/>
              <w:gridCol w:w="7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blHeader/>
              </w:trPr>
              <w:tc>
                <w:tcPr>
                  <w:tcW w:w="720" w:type="pct"/>
                  <w:vAlign w:val="center"/>
                </w:tcPr>
                <w:p>
                  <w:pPr>
                    <w:pStyle w:val="136"/>
                    <w:adjustRightInd w:val="0"/>
                    <w:snapToGrid w:val="0"/>
                    <w:rPr>
                      <w:b/>
                      <w:bCs/>
                    </w:rPr>
                  </w:pPr>
                  <w:r>
                    <w:rPr>
                      <w:rFonts w:hint="eastAsia"/>
                      <w:b/>
                      <w:bCs/>
                    </w:rPr>
                    <w:t>监测日期</w:t>
                  </w:r>
                </w:p>
              </w:tc>
              <w:tc>
                <w:tcPr>
                  <w:tcW w:w="2639" w:type="pct"/>
                  <w:vAlign w:val="center"/>
                </w:tcPr>
                <w:p>
                  <w:pPr>
                    <w:pStyle w:val="136"/>
                    <w:adjustRightInd w:val="0"/>
                    <w:snapToGrid w:val="0"/>
                    <w:rPr>
                      <w:b/>
                      <w:bCs/>
                    </w:rPr>
                  </w:pPr>
                  <w:r>
                    <w:rPr>
                      <w:rFonts w:hint="eastAsia"/>
                      <w:b/>
                      <w:bCs/>
                    </w:rPr>
                    <w:t>监测点位</w:t>
                  </w:r>
                </w:p>
              </w:tc>
              <w:tc>
                <w:tcPr>
                  <w:tcW w:w="623" w:type="pct"/>
                  <w:vAlign w:val="center"/>
                </w:tcPr>
                <w:p>
                  <w:pPr>
                    <w:pStyle w:val="136"/>
                    <w:adjustRightInd w:val="0"/>
                    <w:snapToGrid w:val="0"/>
                    <w:rPr>
                      <w:b/>
                      <w:bCs/>
                    </w:rPr>
                  </w:pPr>
                  <w:r>
                    <w:rPr>
                      <w:rFonts w:hint="eastAsia"/>
                      <w:b/>
                      <w:bCs/>
                    </w:rPr>
                    <w:t>监测结果</w:t>
                  </w:r>
                </w:p>
              </w:tc>
              <w:tc>
                <w:tcPr>
                  <w:tcW w:w="535" w:type="pct"/>
                  <w:vAlign w:val="center"/>
                </w:tcPr>
                <w:p>
                  <w:pPr>
                    <w:pStyle w:val="136"/>
                    <w:adjustRightInd w:val="0"/>
                    <w:snapToGrid w:val="0"/>
                    <w:rPr>
                      <w:b/>
                      <w:bCs/>
                    </w:rPr>
                  </w:pPr>
                  <w:r>
                    <w:rPr>
                      <w:rFonts w:hint="eastAsia"/>
                      <w:b/>
                      <w:bCs/>
                    </w:rPr>
                    <w:t>评价标准</w:t>
                  </w:r>
                </w:p>
              </w:tc>
              <w:tc>
                <w:tcPr>
                  <w:tcW w:w="483" w:type="pct"/>
                  <w:vAlign w:val="center"/>
                </w:tcPr>
                <w:p>
                  <w:pPr>
                    <w:pStyle w:val="136"/>
                    <w:adjustRightInd w:val="0"/>
                    <w:snapToGrid w:val="0"/>
                    <w:rPr>
                      <w:b/>
                      <w:bCs/>
                    </w:rPr>
                  </w:pPr>
                  <w:r>
                    <w:rPr>
                      <w:rFonts w:hint="eastAsia"/>
                      <w:b/>
                      <w:bCs/>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20" w:type="pct"/>
                  <w:vMerge w:val="restart"/>
                  <w:vAlign w:val="center"/>
                </w:tcPr>
                <w:p>
                  <w:pPr>
                    <w:pStyle w:val="136"/>
                    <w:adjustRightInd w:val="0"/>
                    <w:snapToGrid w:val="0"/>
                  </w:pPr>
                  <w:r>
                    <w:rPr>
                      <w:rFonts w:hint="eastAsia"/>
                    </w:rPr>
                    <w:t>2</w:t>
                  </w:r>
                  <w:r>
                    <w:t>023.06.30</w:t>
                  </w:r>
                  <w:r>
                    <w:rPr>
                      <w:rFonts w:hint="eastAsia"/>
                    </w:rPr>
                    <w:t>（昼间）</w:t>
                  </w:r>
                </w:p>
              </w:tc>
              <w:tc>
                <w:tcPr>
                  <w:tcW w:w="2639" w:type="pct"/>
                  <w:vAlign w:val="top"/>
                </w:tcPr>
                <w:p>
                  <w:pPr>
                    <w:pStyle w:val="136"/>
                    <w:adjustRightInd w:val="0"/>
                    <w:snapToGrid w:val="0"/>
                  </w:pPr>
                  <w:r>
                    <w:rPr>
                      <w:rFonts w:hint="eastAsia"/>
                    </w:rPr>
                    <w:t>华兴·逸境新城B区3栋（西南侧厂界外约4</w:t>
                  </w:r>
                  <w:r>
                    <w:t>0</w:t>
                  </w:r>
                  <w:r>
                    <w:rPr>
                      <w:rFonts w:hint="eastAsia"/>
                    </w:rPr>
                    <w:t>m）</w:t>
                  </w:r>
                </w:p>
              </w:tc>
              <w:tc>
                <w:tcPr>
                  <w:tcW w:w="623" w:type="pct"/>
                  <w:vAlign w:val="center"/>
                </w:tcPr>
                <w:p>
                  <w:pPr>
                    <w:pStyle w:val="136"/>
                    <w:adjustRightInd w:val="0"/>
                    <w:snapToGrid w:val="0"/>
                  </w:pPr>
                  <w:r>
                    <w:rPr>
                      <w:rFonts w:hint="eastAsia"/>
                    </w:rPr>
                    <w:t>5</w:t>
                  </w:r>
                  <w:r>
                    <w:t>4</w:t>
                  </w:r>
                </w:p>
              </w:tc>
              <w:tc>
                <w:tcPr>
                  <w:tcW w:w="535" w:type="pct"/>
                  <w:vMerge w:val="restart"/>
                  <w:vAlign w:val="center"/>
                </w:tcPr>
                <w:p>
                  <w:pPr>
                    <w:pStyle w:val="136"/>
                    <w:adjustRightInd w:val="0"/>
                    <w:snapToGrid w:val="0"/>
                  </w:pPr>
                  <w:r>
                    <w:rPr>
                      <w:rFonts w:hint="eastAsia"/>
                    </w:rPr>
                    <w:t>6</w:t>
                  </w:r>
                  <w:r>
                    <w:t>0</w:t>
                  </w:r>
                </w:p>
              </w:tc>
              <w:tc>
                <w:tcPr>
                  <w:tcW w:w="483" w:type="pct"/>
                  <w:vAlign w:val="center"/>
                </w:tcPr>
                <w:p>
                  <w:pPr>
                    <w:pStyle w:val="136"/>
                    <w:adjustRightInd w:val="0"/>
                    <w:snapToGrid w:val="0"/>
                  </w:pPr>
                  <w:r>
                    <w:rPr>
                      <w:rFonts w:hint="eastAsi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20" w:type="pct"/>
                  <w:vMerge w:val="continue"/>
                  <w:vAlign w:val="center"/>
                </w:tcPr>
                <w:p>
                  <w:pPr>
                    <w:pStyle w:val="136"/>
                    <w:adjustRightInd w:val="0"/>
                    <w:snapToGrid w:val="0"/>
                  </w:pPr>
                </w:p>
              </w:tc>
              <w:tc>
                <w:tcPr>
                  <w:tcW w:w="2639" w:type="pct"/>
                  <w:vAlign w:val="top"/>
                </w:tcPr>
                <w:p>
                  <w:pPr>
                    <w:pStyle w:val="136"/>
                    <w:adjustRightInd w:val="0"/>
                    <w:snapToGrid w:val="0"/>
                  </w:pPr>
                  <w:r>
                    <w:rPr>
                      <w:rFonts w:hint="eastAsia"/>
                    </w:rPr>
                    <w:t>华兴·逸境新城B区</w:t>
                  </w:r>
                  <w:r>
                    <w:t>4</w:t>
                  </w:r>
                  <w:r>
                    <w:rPr>
                      <w:rFonts w:hint="eastAsia"/>
                    </w:rPr>
                    <w:t>栋（西南侧厂界外约4</w:t>
                  </w:r>
                  <w:r>
                    <w:t>0</w:t>
                  </w:r>
                  <w:r>
                    <w:rPr>
                      <w:rFonts w:hint="eastAsia"/>
                    </w:rPr>
                    <w:t>m）</w:t>
                  </w:r>
                </w:p>
              </w:tc>
              <w:tc>
                <w:tcPr>
                  <w:tcW w:w="623" w:type="pct"/>
                  <w:vAlign w:val="center"/>
                </w:tcPr>
                <w:p>
                  <w:pPr>
                    <w:pStyle w:val="136"/>
                    <w:adjustRightInd w:val="0"/>
                    <w:snapToGrid w:val="0"/>
                  </w:pPr>
                  <w:r>
                    <w:rPr>
                      <w:rFonts w:hint="eastAsia"/>
                    </w:rPr>
                    <w:t>5</w:t>
                  </w:r>
                  <w:r>
                    <w:t>2</w:t>
                  </w:r>
                </w:p>
              </w:tc>
              <w:tc>
                <w:tcPr>
                  <w:tcW w:w="535" w:type="pct"/>
                  <w:vMerge w:val="continue"/>
                  <w:vAlign w:val="center"/>
                </w:tcPr>
                <w:p>
                  <w:pPr>
                    <w:pStyle w:val="136"/>
                    <w:adjustRightInd w:val="0"/>
                    <w:snapToGrid w:val="0"/>
                  </w:pPr>
                </w:p>
              </w:tc>
              <w:tc>
                <w:tcPr>
                  <w:tcW w:w="483" w:type="pct"/>
                  <w:vAlign w:val="center"/>
                </w:tcPr>
                <w:p>
                  <w:pPr>
                    <w:pStyle w:val="136"/>
                    <w:adjustRightInd w:val="0"/>
                    <w:snapToGrid w:val="0"/>
                  </w:pPr>
                  <w:r>
                    <w:rPr>
                      <w:rFonts w:hint="eastAsi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20" w:type="pct"/>
                  <w:vAlign w:val="center"/>
                </w:tcPr>
                <w:p>
                  <w:pPr>
                    <w:pStyle w:val="136"/>
                    <w:adjustRightInd w:val="0"/>
                    <w:snapToGrid w:val="0"/>
                  </w:pPr>
                  <w:r>
                    <w:rPr>
                      <w:rFonts w:hint="eastAsia"/>
                    </w:rPr>
                    <w:t>2</w:t>
                  </w:r>
                  <w:r>
                    <w:t>023.08.04</w:t>
                  </w:r>
                  <w:r>
                    <w:rPr>
                      <w:rFonts w:hint="eastAsia"/>
                    </w:rPr>
                    <w:t>（昼间）</w:t>
                  </w:r>
                </w:p>
              </w:tc>
              <w:tc>
                <w:tcPr>
                  <w:tcW w:w="2639" w:type="pct"/>
                  <w:vAlign w:val="center"/>
                </w:tcPr>
                <w:p>
                  <w:pPr>
                    <w:pStyle w:val="136"/>
                    <w:adjustRightInd w:val="0"/>
                    <w:snapToGrid w:val="0"/>
                  </w:pPr>
                  <w:r>
                    <w:rPr>
                      <w:rFonts w:hint="eastAsia"/>
                    </w:rPr>
                    <w:t>巴中气象灾害监测预警及西南气象数据灾难备份中心（SE，1</w:t>
                  </w:r>
                  <w:r>
                    <w:t>0</w:t>
                  </w:r>
                  <w:r>
                    <w:rPr>
                      <w:rFonts w:hint="eastAsia"/>
                    </w:rPr>
                    <w:t>m）</w:t>
                  </w:r>
                </w:p>
              </w:tc>
              <w:tc>
                <w:tcPr>
                  <w:tcW w:w="623" w:type="pct"/>
                  <w:vAlign w:val="center"/>
                </w:tcPr>
                <w:p>
                  <w:pPr>
                    <w:pStyle w:val="136"/>
                    <w:adjustRightInd w:val="0"/>
                    <w:snapToGrid w:val="0"/>
                  </w:pPr>
                  <w:r>
                    <w:t>52</w:t>
                  </w:r>
                </w:p>
              </w:tc>
              <w:tc>
                <w:tcPr>
                  <w:tcW w:w="535" w:type="pct"/>
                  <w:vMerge w:val="continue"/>
                  <w:vAlign w:val="center"/>
                </w:tcPr>
                <w:p>
                  <w:pPr>
                    <w:pStyle w:val="136"/>
                    <w:adjustRightInd w:val="0"/>
                    <w:snapToGrid w:val="0"/>
                  </w:pPr>
                </w:p>
              </w:tc>
              <w:tc>
                <w:tcPr>
                  <w:tcW w:w="483" w:type="pct"/>
                  <w:vAlign w:val="center"/>
                </w:tcPr>
                <w:p>
                  <w:pPr>
                    <w:pStyle w:val="136"/>
                    <w:adjustRightInd w:val="0"/>
                    <w:snapToGrid w:val="0"/>
                  </w:pPr>
                  <w:r>
                    <w:rPr>
                      <w:rFonts w:hint="eastAsia"/>
                    </w:rPr>
                    <w:t>达标</w:t>
                  </w:r>
                </w:p>
              </w:tc>
            </w:tr>
          </w:tbl>
          <w:p>
            <w:pPr>
              <w:ind w:firstLine="480"/>
            </w:pPr>
            <w:r>
              <w:rPr>
                <w:rFonts w:hint="eastAsia"/>
              </w:rPr>
              <w:t>根据上述统计数据可知，项目周边环境敏感目标处昼间环境噪声满足《声环境质量标准》（GB</w:t>
            </w:r>
            <w:r>
              <w:t xml:space="preserve"> 3096-2008</w:t>
            </w:r>
            <w:r>
              <w:rPr>
                <w:rFonts w:hint="eastAsia"/>
              </w:rPr>
              <w:t>）2类标准限值要求。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94" w:type="dxa"/>
            <w:vAlign w:val="center"/>
          </w:tcPr>
          <w:p>
            <w:pPr>
              <w:adjustRightInd w:val="0"/>
              <w:snapToGrid w:val="0"/>
              <w:ind w:firstLine="0" w:firstLineChars="0"/>
              <w:jc w:val="center"/>
              <w:rPr>
                <w:kern w:val="0"/>
                <w:szCs w:val="21"/>
              </w:rPr>
            </w:pPr>
            <w:r>
              <w:rPr>
                <w:kern w:val="0"/>
                <w:szCs w:val="21"/>
              </w:rPr>
              <w:t>环境保护目标</w:t>
            </w:r>
          </w:p>
        </w:tc>
        <w:tc>
          <w:tcPr>
            <w:tcW w:w="8137" w:type="dxa"/>
            <w:vAlign w:val="center"/>
          </w:tcPr>
          <w:p>
            <w:pPr>
              <w:adjustRightInd w:val="0"/>
              <w:snapToGrid w:val="0"/>
              <w:ind w:firstLine="480"/>
            </w:pPr>
            <w:r>
              <w:t>本项目位于</w:t>
            </w:r>
            <w:r>
              <w:rPr>
                <w:rFonts w:hint="eastAsia"/>
              </w:rPr>
              <w:t>四川巴中经济开发区时新街道宝峰社区</w:t>
            </w:r>
            <w:r>
              <w:t>，根据现场调查，项目主要外环境关系见附图3。本项目评价范围内主要环境保护目标情况</w:t>
            </w:r>
            <w:r>
              <w:rPr>
                <w:rFonts w:hint="eastAsia"/>
              </w:rPr>
              <w:t>如下：</w:t>
            </w:r>
          </w:p>
          <w:p>
            <w:pPr>
              <w:pStyle w:val="157"/>
            </w:pPr>
            <w:r>
              <w:t>表3-6</w:t>
            </w:r>
            <w:r>
              <w:rPr>
                <w:rFonts w:hint="eastAsia"/>
              </w:rPr>
              <w:t xml:space="preserve"> </w:t>
            </w:r>
            <w:r>
              <w:t xml:space="preserve"> 环境保护目标一览表</w:t>
            </w:r>
          </w:p>
          <w:tbl>
            <w:tblPr>
              <w:tblStyle w:val="19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71"/>
              <w:gridCol w:w="1735"/>
              <w:gridCol w:w="723"/>
              <w:gridCol w:w="1157"/>
              <w:gridCol w:w="1761"/>
              <w:gridCol w:w="17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98" w:type="pct"/>
                  <w:vAlign w:val="center"/>
                </w:tcPr>
                <w:p>
                  <w:pPr>
                    <w:pStyle w:val="136"/>
                    <w:adjustRightInd w:val="0"/>
                    <w:snapToGrid w:val="0"/>
                    <w:rPr>
                      <w:rFonts w:cs="Times New Roman"/>
                      <w:b/>
                      <w:szCs w:val="18"/>
                      <w:lang w:val="de-DE"/>
                    </w:rPr>
                  </w:pPr>
                  <w:r>
                    <w:rPr>
                      <w:rFonts w:cs="Times New Roman"/>
                      <w:b/>
                      <w:szCs w:val="18"/>
                      <w:lang w:val="de-DE"/>
                    </w:rPr>
                    <w:t>环境要素</w:t>
                  </w:r>
                </w:p>
              </w:tc>
              <w:tc>
                <w:tcPr>
                  <w:tcW w:w="1068" w:type="pct"/>
                  <w:vAlign w:val="center"/>
                </w:tcPr>
                <w:p>
                  <w:pPr>
                    <w:pStyle w:val="136"/>
                    <w:adjustRightInd w:val="0"/>
                    <w:snapToGrid w:val="0"/>
                    <w:rPr>
                      <w:rFonts w:cs="Times New Roman"/>
                      <w:b/>
                      <w:szCs w:val="18"/>
                      <w:lang w:val="de-DE"/>
                    </w:rPr>
                  </w:pPr>
                  <w:r>
                    <w:rPr>
                      <w:rFonts w:cs="Times New Roman"/>
                      <w:b/>
                      <w:szCs w:val="18"/>
                      <w:lang w:val="de-DE"/>
                    </w:rPr>
                    <w:t>保护目标</w:t>
                  </w:r>
                </w:p>
              </w:tc>
              <w:tc>
                <w:tcPr>
                  <w:tcW w:w="445" w:type="pct"/>
                  <w:vAlign w:val="center"/>
                </w:tcPr>
                <w:p>
                  <w:pPr>
                    <w:pStyle w:val="136"/>
                    <w:adjustRightInd w:val="0"/>
                    <w:snapToGrid w:val="0"/>
                    <w:rPr>
                      <w:rFonts w:cs="Times New Roman"/>
                      <w:b/>
                      <w:szCs w:val="18"/>
                      <w:lang w:val="de-DE"/>
                    </w:rPr>
                  </w:pPr>
                  <w:r>
                    <w:rPr>
                      <w:b/>
                      <w:szCs w:val="18"/>
                    </w:rPr>
                    <w:t>方位</w:t>
                  </w:r>
                </w:p>
              </w:tc>
              <w:tc>
                <w:tcPr>
                  <w:tcW w:w="712" w:type="pct"/>
                  <w:vAlign w:val="center"/>
                </w:tcPr>
                <w:p>
                  <w:pPr>
                    <w:pStyle w:val="136"/>
                    <w:adjustRightInd w:val="0"/>
                    <w:snapToGrid w:val="0"/>
                    <w:rPr>
                      <w:rFonts w:cs="Times New Roman"/>
                      <w:b/>
                      <w:szCs w:val="18"/>
                      <w:lang w:val="de-DE"/>
                    </w:rPr>
                  </w:pPr>
                  <w:r>
                    <w:rPr>
                      <w:b/>
                      <w:szCs w:val="18"/>
                    </w:rPr>
                    <w:t>距离本项目最近距离（m）</w:t>
                  </w:r>
                </w:p>
              </w:tc>
              <w:tc>
                <w:tcPr>
                  <w:tcW w:w="1084" w:type="pct"/>
                  <w:vAlign w:val="center"/>
                </w:tcPr>
                <w:p>
                  <w:pPr>
                    <w:pStyle w:val="136"/>
                    <w:adjustRightInd w:val="0"/>
                    <w:snapToGrid w:val="0"/>
                    <w:rPr>
                      <w:rFonts w:cs="Times New Roman"/>
                      <w:b/>
                      <w:szCs w:val="18"/>
                      <w:lang w:val="de-DE"/>
                    </w:rPr>
                  </w:pPr>
                  <w:r>
                    <w:rPr>
                      <w:rFonts w:cs="Times New Roman"/>
                      <w:b/>
                      <w:szCs w:val="18"/>
                      <w:lang w:val="de-DE"/>
                    </w:rPr>
                    <w:t>保护目标概况</w:t>
                  </w:r>
                </w:p>
              </w:tc>
              <w:tc>
                <w:tcPr>
                  <w:tcW w:w="1093" w:type="pct"/>
                  <w:vAlign w:val="center"/>
                </w:tcPr>
                <w:p>
                  <w:pPr>
                    <w:pStyle w:val="136"/>
                    <w:adjustRightInd w:val="0"/>
                    <w:snapToGrid w:val="0"/>
                    <w:rPr>
                      <w:rFonts w:cs="Times New Roman"/>
                      <w:b/>
                      <w:szCs w:val="18"/>
                      <w:lang w:val="de-DE"/>
                    </w:rPr>
                  </w:pPr>
                  <w:r>
                    <w:rPr>
                      <w:rFonts w:cs="Times New Roman"/>
                      <w:b/>
                      <w:szCs w:val="18"/>
                      <w:lang w:val="de-DE"/>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98" w:type="pct"/>
                  <w:vMerge w:val="restart"/>
                  <w:vAlign w:val="center"/>
                </w:tcPr>
                <w:p>
                  <w:pPr>
                    <w:pStyle w:val="136"/>
                    <w:adjustRightInd w:val="0"/>
                    <w:snapToGrid w:val="0"/>
                    <w:rPr>
                      <w:rFonts w:cs="Times New Roman"/>
                      <w:szCs w:val="18"/>
                      <w:lang w:val="de-DE"/>
                    </w:rPr>
                  </w:pPr>
                  <w:r>
                    <w:rPr>
                      <w:rFonts w:cs="Times New Roman"/>
                      <w:szCs w:val="18"/>
                      <w:lang w:val="de-DE"/>
                    </w:rPr>
                    <w:t>环境空气</w:t>
                  </w:r>
                </w:p>
              </w:tc>
              <w:tc>
                <w:tcPr>
                  <w:tcW w:w="1068" w:type="pct"/>
                  <w:vAlign w:val="center"/>
                </w:tcPr>
                <w:p>
                  <w:pPr>
                    <w:pStyle w:val="136"/>
                    <w:adjustRightInd w:val="0"/>
                    <w:snapToGrid w:val="0"/>
                    <w:rPr>
                      <w:rFonts w:cs="Times New Roman"/>
                      <w:szCs w:val="18"/>
                      <w:lang w:val="de-DE"/>
                    </w:rPr>
                  </w:pPr>
                  <w:r>
                    <w:rPr>
                      <w:rFonts w:hint="eastAsia"/>
                    </w:rPr>
                    <w:t>华兴·逸境新城B区</w:t>
                  </w:r>
                </w:p>
              </w:tc>
              <w:tc>
                <w:tcPr>
                  <w:tcW w:w="445" w:type="pct"/>
                  <w:vAlign w:val="center"/>
                </w:tcPr>
                <w:p>
                  <w:pPr>
                    <w:pStyle w:val="136"/>
                    <w:adjustRightInd w:val="0"/>
                    <w:snapToGrid w:val="0"/>
                    <w:rPr>
                      <w:rFonts w:cs="Times New Roman"/>
                      <w:szCs w:val="18"/>
                      <w:lang w:val="de-DE"/>
                    </w:rPr>
                  </w:pPr>
                  <w:r>
                    <w:rPr>
                      <w:rFonts w:hint="eastAsia" w:cs="Times New Roman"/>
                      <w:szCs w:val="18"/>
                      <w:lang w:val="de-DE"/>
                    </w:rPr>
                    <w:t>SW</w:t>
                  </w:r>
                </w:p>
              </w:tc>
              <w:tc>
                <w:tcPr>
                  <w:tcW w:w="712" w:type="pct"/>
                  <w:vAlign w:val="center"/>
                </w:tcPr>
                <w:p>
                  <w:pPr>
                    <w:pStyle w:val="136"/>
                    <w:adjustRightInd w:val="0"/>
                    <w:snapToGrid w:val="0"/>
                    <w:rPr>
                      <w:rFonts w:cs="Times New Roman"/>
                      <w:szCs w:val="18"/>
                      <w:lang w:val="de-DE"/>
                    </w:rPr>
                  </w:pPr>
                  <w:r>
                    <w:rPr>
                      <w:rFonts w:hint="eastAsia" w:cs="Times New Roman"/>
                      <w:szCs w:val="18"/>
                      <w:lang w:val="de-DE"/>
                    </w:rPr>
                    <w:t>4</w:t>
                  </w:r>
                  <w:r>
                    <w:rPr>
                      <w:rFonts w:cs="Times New Roman"/>
                      <w:szCs w:val="18"/>
                      <w:lang w:val="de-DE"/>
                    </w:rPr>
                    <w:t>0</w:t>
                  </w:r>
                </w:p>
              </w:tc>
              <w:tc>
                <w:tcPr>
                  <w:tcW w:w="1084" w:type="pct"/>
                  <w:vAlign w:val="center"/>
                </w:tcPr>
                <w:p>
                  <w:pPr>
                    <w:pStyle w:val="136"/>
                    <w:adjustRightInd w:val="0"/>
                    <w:snapToGrid w:val="0"/>
                    <w:rPr>
                      <w:rFonts w:cs="Times New Roman"/>
                      <w:szCs w:val="18"/>
                      <w:lang w:val="de-DE"/>
                    </w:rPr>
                  </w:pPr>
                  <w:r>
                    <w:rPr>
                      <w:rFonts w:hint="eastAsia" w:cs="Times New Roman"/>
                      <w:szCs w:val="18"/>
                      <w:lang w:val="de-DE"/>
                    </w:rPr>
                    <w:t>居住区，约3</w:t>
                  </w:r>
                  <w:r>
                    <w:rPr>
                      <w:rFonts w:cs="Times New Roman"/>
                      <w:szCs w:val="18"/>
                      <w:lang w:val="de-DE"/>
                    </w:rPr>
                    <w:t>000</w:t>
                  </w:r>
                  <w:r>
                    <w:rPr>
                      <w:rFonts w:hint="eastAsia" w:cs="Times New Roman"/>
                      <w:szCs w:val="18"/>
                      <w:lang w:val="de-DE"/>
                    </w:rPr>
                    <w:t>人</w:t>
                  </w:r>
                </w:p>
              </w:tc>
              <w:tc>
                <w:tcPr>
                  <w:tcW w:w="1093" w:type="pct"/>
                  <w:vMerge w:val="restart"/>
                  <w:vAlign w:val="center"/>
                </w:tcPr>
                <w:p>
                  <w:pPr>
                    <w:pStyle w:val="136"/>
                    <w:adjustRightInd w:val="0"/>
                    <w:snapToGrid w:val="0"/>
                    <w:rPr>
                      <w:rFonts w:cs="Times New Roman"/>
                      <w:szCs w:val="18"/>
                      <w:lang w:val="de-DE"/>
                    </w:rPr>
                  </w:pPr>
                  <w:r>
                    <w:rPr>
                      <w:rFonts w:hint="eastAsia" w:cs="Times New Roman"/>
                      <w:szCs w:val="18"/>
                      <w:lang w:val="de-DE"/>
                    </w:rPr>
                    <w:t>《环境空气质量标准》（GB</w:t>
                  </w:r>
                  <w:r>
                    <w:rPr>
                      <w:rFonts w:cs="Times New Roman"/>
                      <w:szCs w:val="18"/>
                      <w:lang w:val="de-DE"/>
                    </w:rPr>
                    <w:t>3095-2012</w:t>
                  </w:r>
                  <w:r>
                    <w:rPr>
                      <w:rFonts w:hint="eastAsia" w:cs="Times New Roman"/>
                      <w:szCs w:val="18"/>
                      <w:lang w:val="de-DE"/>
                    </w:rPr>
                    <w:t>）二级标准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98" w:type="pct"/>
                  <w:vMerge w:val="continue"/>
                  <w:vAlign w:val="center"/>
                </w:tcPr>
                <w:p>
                  <w:pPr>
                    <w:pStyle w:val="136"/>
                    <w:adjustRightInd w:val="0"/>
                    <w:snapToGrid w:val="0"/>
                    <w:rPr>
                      <w:rFonts w:cs="Times New Roman"/>
                      <w:szCs w:val="18"/>
                      <w:lang w:val="de-DE"/>
                    </w:rPr>
                  </w:pPr>
                </w:p>
              </w:tc>
              <w:tc>
                <w:tcPr>
                  <w:tcW w:w="1068" w:type="pct"/>
                  <w:vAlign w:val="center"/>
                </w:tcPr>
                <w:p>
                  <w:pPr>
                    <w:pStyle w:val="136"/>
                    <w:adjustRightInd w:val="0"/>
                    <w:snapToGrid w:val="0"/>
                    <w:rPr>
                      <w:rFonts w:cs="Times New Roman"/>
                      <w:szCs w:val="18"/>
                      <w:lang w:val="de-DE"/>
                    </w:rPr>
                  </w:pPr>
                  <w:r>
                    <w:rPr>
                      <w:rFonts w:hint="eastAsia"/>
                    </w:rPr>
                    <w:t>华兴·逸境新城</w:t>
                  </w:r>
                </w:p>
              </w:tc>
              <w:tc>
                <w:tcPr>
                  <w:tcW w:w="445" w:type="pct"/>
                  <w:vAlign w:val="center"/>
                </w:tcPr>
                <w:p>
                  <w:pPr>
                    <w:pStyle w:val="136"/>
                    <w:adjustRightInd w:val="0"/>
                    <w:snapToGrid w:val="0"/>
                    <w:rPr>
                      <w:rFonts w:cs="Times New Roman"/>
                      <w:szCs w:val="18"/>
                      <w:lang w:val="de-DE"/>
                    </w:rPr>
                  </w:pPr>
                  <w:r>
                    <w:rPr>
                      <w:rFonts w:hint="eastAsia" w:cs="Times New Roman"/>
                      <w:szCs w:val="18"/>
                      <w:lang w:val="de-DE"/>
                    </w:rPr>
                    <w:t>S</w:t>
                  </w:r>
                </w:p>
              </w:tc>
              <w:tc>
                <w:tcPr>
                  <w:tcW w:w="712" w:type="pct"/>
                  <w:vAlign w:val="center"/>
                </w:tcPr>
                <w:p>
                  <w:pPr>
                    <w:pStyle w:val="136"/>
                    <w:adjustRightInd w:val="0"/>
                    <w:snapToGrid w:val="0"/>
                    <w:rPr>
                      <w:rFonts w:cs="Times New Roman"/>
                      <w:szCs w:val="18"/>
                      <w:lang w:val="de-DE"/>
                    </w:rPr>
                  </w:pPr>
                  <w:r>
                    <w:rPr>
                      <w:rFonts w:hint="eastAsia" w:cs="Times New Roman"/>
                      <w:szCs w:val="18"/>
                      <w:lang w:val="de-DE"/>
                    </w:rPr>
                    <w:t>2</w:t>
                  </w:r>
                  <w:r>
                    <w:rPr>
                      <w:rFonts w:cs="Times New Roman"/>
                      <w:szCs w:val="18"/>
                      <w:lang w:val="de-DE"/>
                    </w:rPr>
                    <w:t>05</w:t>
                  </w:r>
                </w:p>
              </w:tc>
              <w:tc>
                <w:tcPr>
                  <w:tcW w:w="1084" w:type="pct"/>
                  <w:vAlign w:val="center"/>
                </w:tcPr>
                <w:p>
                  <w:pPr>
                    <w:pStyle w:val="136"/>
                    <w:adjustRightInd w:val="0"/>
                    <w:snapToGrid w:val="0"/>
                    <w:rPr>
                      <w:rFonts w:cs="Times New Roman"/>
                      <w:szCs w:val="18"/>
                      <w:lang w:val="de-DE"/>
                    </w:rPr>
                  </w:pPr>
                  <w:r>
                    <w:rPr>
                      <w:rFonts w:hint="eastAsia" w:cs="Times New Roman"/>
                      <w:szCs w:val="18"/>
                      <w:lang w:val="de-DE"/>
                    </w:rPr>
                    <w:t>居住区，约4</w:t>
                  </w:r>
                  <w:r>
                    <w:rPr>
                      <w:rFonts w:cs="Times New Roman"/>
                      <w:szCs w:val="18"/>
                      <w:lang w:val="de-DE"/>
                    </w:rPr>
                    <w:t>500</w:t>
                  </w:r>
                  <w:r>
                    <w:rPr>
                      <w:rFonts w:hint="eastAsia" w:cs="Times New Roman"/>
                      <w:szCs w:val="18"/>
                      <w:lang w:val="de-DE"/>
                    </w:rPr>
                    <w:t>人</w:t>
                  </w:r>
                </w:p>
              </w:tc>
              <w:tc>
                <w:tcPr>
                  <w:tcW w:w="1093" w:type="pct"/>
                  <w:vMerge w:val="continue"/>
                  <w:vAlign w:val="center"/>
                </w:tcPr>
                <w:p>
                  <w:pPr>
                    <w:pStyle w:val="136"/>
                    <w:adjustRightInd w:val="0"/>
                    <w:snapToGrid w:val="0"/>
                    <w:rPr>
                      <w:rFonts w:cs="Times New Roman"/>
                      <w:szCs w:val="18"/>
                      <w:lang w:val="de-D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98" w:type="pct"/>
                  <w:vMerge w:val="continue"/>
                  <w:vAlign w:val="center"/>
                </w:tcPr>
                <w:p>
                  <w:pPr>
                    <w:pStyle w:val="136"/>
                    <w:adjustRightInd w:val="0"/>
                    <w:snapToGrid w:val="0"/>
                    <w:rPr>
                      <w:rFonts w:cs="Times New Roman"/>
                      <w:szCs w:val="18"/>
                      <w:lang w:val="de-DE"/>
                    </w:rPr>
                  </w:pPr>
                </w:p>
              </w:tc>
              <w:tc>
                <w:tcPr>
                  <w:tcW w:w="1068" w:type="pct"/>
                  <w:vAlign w:val="center"/>
                </w:tcPr>
                <w:p>
                  <w:pPr>
                    <w:pStyle w:val="136"/>
                    <w:adjustRightInd w:val="0"/>
                    <w:snapToGrid w:val="0"/>
                  </w:pPr>
                  <w:r>
                    <w:rPr>
                      <w:rFonts w:hint="eastAsia"/>
                    </w:rPr>
                    <w:t>巴中气象灾害监测预警及西南气象数据灾难备份中心</w:t>
                  </w:r>
                </w:p>
              </w:tc>
              <w:tc>
                <w:tcPr>
                  <w:tcW w:w="445" w:type="pct"/>
                  <w:vAlign w:val="center"/>
                </w:tcPr>
                <w:p>
                  <w:pPr>
                    <w:pStyle w:val="136"/>
                    <w:adjustRightInd w:val="0"/>
                    <w:snapToGrid w:val="0"/>
                    <w:rPr>
                      <w:rFonts w:cs="Times New Roman"/>
                      <w:szCs w:val="18"/>
                      <w:lang w:val="de-DE"/>
                    </w:rPr>
                  </w:pPr>
                  <w:r>
                    <w:rPr>
                      <w:rFonts w:hint="eastAsia" w:cs="Times New Roman"/>
                      <w:szCs w:val="18"/>
                      <w:lang w:val="de-DE"/>
                    </w:rPr>
                    <w:t>SE</w:t>
                  </w:r>
                </w:p>
              </w:tc>
              <w:tc>
                <w:tcPr>
                  <w:tcW w:w="712" w:type="pct"/>
                  <w:vAlign w:val="center"/>
                </w:tcPr>
                <w:p>
                  <w:pPr>
                    <w:pStyle w:val="136"/>
                    <w:adjustRightInd w:val="0"/>
                    <w:snapToGrid w:val="0"/>
                    <w:rPr>
                      <w:rFonts w:cs="Times New Roman"/>
                      <w:szCs w:val="18"/>
                      <w:lang w:val="de-DE"/>
                    </w:rPr>
                  </w:pPr>
                  <w:r>
                    <w:rPr>
                      <w:rFonts w:hint="eastAsia" w:cs="Times New Roman"/>
                      <w:szCs w:val="18"/>
                      <w:lang w:val="de-DE"/>
                    </w:rPr>
                    <w:t>1</w:t>
                  </w:r>
                  <w:r>
                    <w:rPr>
                      <w:rFonts w:cs="Times New Roman"/>
                      <w:szCs w:val="18"/>
                      <w:lang w:val="de-DE"/>
                    </w:rPr>
                    <w:t>0</w:t>
                  </w:r>
                </w:p>
              </w:tc>
              <w:tc>
                <w:tcPr>
                  <w:tcW w:w="1084" w:type="pct"/>
                  <w:vAlign w:val="center"/>
                </w:tcPr>
                <w:p>
                  <w:pPr>
                    <w:pStyle w:val="136"/>
                    <w:adjustRightInd w:val="0"/>
                    <w:snapToGrid w:val="0"/>
                    <w:rPr>
                      <w:rFonts w:cs="Times New Roman"/>
                      <w:szCs w:val="18"/>
                      <w:lang w:val="de-DE"/>
                    </w:rPr>
                  </w:pPr>
                  <w:r>
                    <w:rPr>
                      <w:rFonts w:hint="eastAsia" w:cs="Times New Roman"/>
                      <w:szCs w:val="18"/>
                      <w:lang w:val="de-DE"/>
                    </w:rPr>
                    <w:t>机关单位，在建，目前无人员办公</w:t>
                  </w:r>
                </w:p>
              </w:tc>
              <w:tc>
                <w:tcPr>
                  <w:tcW w:w="1093" w:type="pct"/>
                  <w:vMerge w:val="continue"/>
                  <w:vAlign w:val="center"/>
                </w:tcPr>
                <w:p>
                  <w:pPr>
                    <w:pStyle w:val="136"/>
                    <w:adjustRightInd w:val="0"/>
                    <w:snapToGrid w:val="0"/>
                    <w:rPr>
                      <w:rFonts w:cs="Times New Roman"/>
                      <w:szCs w:val="18"/>
                      <w:lang w:val="de-D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98" w:type="pct"/>
                  <w:vMerge w:val="continue"/>
                  <w:vAlign w:val="center"/>
                </w:tcPr>
                <w:p>
                  <w:pPr>
                    <w:pStyle w:val="136"/>
                    <w:adjustRightInd w:val="0"/>
                    <w:snapToGrid w:val="0"/>
                    <w:rPr>
                      <w:rFonts w:cs="Times New Roman"/>
                      <w:szCs w:val="18"/>
                      <w:lang w:val="de-DE"/>
                    </w:rPr>
                  </w:pPr>
                </w:p>
              </w:tc>
              <w:tc>
                <w:tcPr>
                  <w:tcW w:w="1068" w:type="pct"/>
                  <w:vAlign w:val="center"/>
                </w:tcPr>
                <w:p>
                  <w:pPr>
                    <w:pStyle w:val="136"/>
                    <w:adjustRightInd w:val="0"/>
                    <w:snapToGrid w:val="0"/>
                    <w:rPr>
                      <w:rFonts w:cs="Times New Roman"/>
                      <w:szCs w:val="18"/>
                      <w:lang w:val="de-DE"/>
                    </w:rPr>
                  </w:pPr>
                  <w:r>
                    <w:rPr>
                      <w:rFonts w:hint="eastAsia" w:cs="Times New Roman"/>
                      <w:szCs w:val="18"/>
                      <w:lang w:val="de-DE"/>
                    </w:rPr>
                    <w:t>置信府小区</w:t>
                  </w:r>
                </w:p>
              </w:tc>
              <w:tc>
                <w:tcPr>
                  <w:tcW w:w="445" w:type="pct"/>
                  <w:vAlign w:val="center"/>
                </w:tcPr>
                <w:p>
                  <w:pPr>
                    <w:pStyle w:val="136"/>
                    <w:adjustRightInd w:val="0"/>
                    <w:snapToGrid w:val="0"/>
                    <w:rPr>
                      <w:rFonts w:cs="Times New Roman"/>
                      <w:szCs w:val="18"/>
                      <w:lang w:val="de-DE"/>
                    </w:rPr>
                  </w:pPr>
                  <w:r>
                    <w:rPr>
                      <w:rFonts w:hint="eastAsia" w:cs="Times New Roman"/>
                      <w:szCs w:val="18"/>
                      <w:lang w:val="de-DE"/>
                    </w:rPr>
                    <w:t>SW</w:t>
                  </w:r>
                </w:p>
              </w:tc>
              <w:tc>
                <w:tcPr>
                  <w:tcW w:w="712" w:type="pct"/>
                  <w:vAlign w:val="center"/>
                </w:tcPr>
                <w:p>
                  <w:pPr>
                    <w:pStyle w:val="136"/>
                    <w:adjustRightInd w:val="0"/>
                    <w:snapToGrid w:val="0"/>
                    <w:rPr>
                      <w:rFonts w:cs="Times New Roman"/>
                      <w:szCs w:val="18"/>
                      <w:lang w:val="de-DE"/>
                    </w:rPr>
                  </w:pPr>
                  <w:r>
                    <w:rPr>
                      <w:rFonts w:hint="eastAsia" w:cs="Times New Roman"/>
                      <w:szCs w:val="18"/>
                      <w:lang w:val="de-DE"/>
                    </w:rPr>
                    <w:t>3</w:t>
                  </w:r>
                  <w:r>
                    <w:rPr>
                      <w:rFonts w:cs="Times New Roman"/>
                      <w:szCs w:val="18"/>
                      <w:lang w:val="de-DE"/>
                    </w:rPr>
                    <w:t>45</w:t>
                  </w:r>
                </w:p>
              </w:tc>
              <w:tc>
                <w:tcPr>
                  <w:tcW w:w="1084" w:type="pct"/>
                  <w:vAlign w:val="center"/>
                </w:tcPr>
                <w:p>
                  <w:pPr>
                    <w:pStyle w:val="136"/>
                    <w:adjustRightInd w:val="0"/>
                    <w:snapToGrid w:val="0"/>
                    <w:rPr>
                      <w:rFonts w:cs="Times New Roman"/>
                      <w:szCs w:val="18"/>
                      <w:lang w:val="de-DE"/>
                    </w:rPr>
                  </w:pPr>
                  <w:r>
                    <w:rPr>
                      <w:rFonts w:hint="eastAsia" w:cs="Times New Roman"/>
                      <w:szCs w:val="18"/>
                      <w:lang w:val="de-DE"/>
                    </w:rPr>
                    <w:t>居住区，约1</w:t>
                  </w:r>
                  <w:r>
                    <w:rPr>
                      <w:rFonts w:cs="Times New Roman"/>
                      <w:szCs w:val="18"/>
                      <w:lang w:val="de-DE"/>
                    </w:rPr>
                    <w:t>2000</w:t>
                  </w:r>
                  <w:r>
                    <w:rPr>
                      <w:rFonts w:hint="eastAsia" w:cs="Times New Roman"/>
                      <w:szCs w:val="18"/>
                      <w:lang w:val="de-DE"/>
                    </w:rPr>
                    <w:t>人</w:t>
                  </w:r>
                </w:p>
              </w:tc>
              <w:tc>
                <w:tcPr>
                  <w:tcW w:w="1093" w:type="pct"/>
                  <w:vMerge w:val="continue"/>
                  <w:vAlign w:val="center"/>
                </w:tcPr>
                <w:p>
                  <w:pPr>
                    <w:pStyle w:val="136"/>
                    <w:adjustRightInd w:val="0"/>
                    <w:snapToGrid w:val="0"/>
                    <w:rPr>
                      <w:rFonts w:cs="Times New Roman"/>
                      <w:szCs w:val="18"/>
                      <w:lang w:val="de-D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98" w:type="pct"/>
                  <w:vMerge w:val="continue"/>
                  <w:vAlign w:val="center"/>
                </w:tcPr>
                <w:p>
                  <w:pPr>
                    <w:pStyle w:val="136"/>
                    <w:adjustRightInd w:val="0"/>
                    <w:snapToGrid w:val="0"/>
                    <w:rPr>
                      <w:rFonts w:cs="Times New Roman"/>
                      <w:szCs w:val="18"/>
                      <w:lang w:val="de-DE"/>
                    </w:rPr>
                  </w:pPr>
                </w:p>
              </w:tc>
              <w:tc>
                <w:tcPr>
                  <w:tcW w:w="1068" w:type="pct"/>
                  <w:vAlign w:val="center"/>
                </w:tcPr>
                <w:p>
                  <w:pPr>
                    <w:pStyle w:val="136"/>
                    <w:adjustRightInd w:val="0"/>
                    <w:snapToGrid w:val="0"/>
                    <w:rPr>
                      <w:rFonts w:cs="Times New Roman"/>
                      <w:szCs w:val="18"/>
                      <w:lang w:val="de-DE"/>
                    </w:rPr>
                  </w:pPr>
                  <w:r>
                    <w:rPr>
                      <w:rFonts w:hint="eastAsia" w:cs="Times New Roman"/>
                      <w:szCs w:val="18"/>
                      <w:lang w:val="de-DE"/>
                    </w:rPr>
                    <w:t>巴中市自然资源和规划局</w:t>
                  </w:r>
                </w:p>
              </w:tc>
              <w:tc>
                <w:tcPr>
                  <w:tcW w:w="445" w:type="pct"/>
                  <w:vAlign w:val="center"/>
                </w:tcPr>
                <w:p>
                  <w:pPr>
                    <w:pStyle w:val="136"/>
                    <w:adjustRightInd w:val="0"/>
                    <w:snapToGrid w:val="0"/>
                    <w:rPr>
                      <w:rFonts w:cs="Times New Roman"/>
                      <w:szCs w:val="18"/>
                      <w:lang w:val="de-DE"/>
                    </w:rPr>
                  </w:pPr>
                  <w:r>
                    <w:rPr>
                      <w:rFonts w:hint="eastAsia" w:cs="Times New Roman"/>
                      <w:szCs w:val="18"/>
                      <w:lang w:val="de-DE"/>
                    </w:rPr>
                    <w:t>SW</w:t>
                  </w:r>
                </w:p>
              </w:tc>
              <w:tc>
                <w:tcPr>
                  <w:tcW w:w="712" w:type="pct"/>
                  <w:vAlign w:val="center"/>
                </w:tcPr>
                <w:p>
                  <w:pPr>
                    <w:pStyle w:val="136"/>
                    <w:adjustRightInd w:val="0"/>
                    <w:snapToGrid w:val="0"/>
                    <w:rPr>
                      <w:rFonts w:cs="Times New Roman"/>
                      <w:szCs w:val="18"/>
                      <w:lang w:val="de-DE"/>
                    </w:rPr>
                  </w:pPr>
                  <w:r>
                    <w:rPr>
                      <w:rFonts w:hint="eastAsia" w:cs="Times New Roman"/>
                      <w:szCs w:val="18"/>
                      <w:lang w:val="de-DE"/>
                    </w:rPr>
                    <w:t>3</w:t>
                  </w:r>
                  <w:r>
                    <w:rPr>
                      <w:rFonts w:cs="Times New Roman"/>
                      <w:szCs w:val="18"/>
                      <w:lang w:val="de-DE"/>
                    </w:rPr>
                    <w:t>00</w:t>
                  </w:r>
                </w:p>
              </w:tc>
              <w:tc>
                <w:tcPr>
                  <w:tcW w:w="1084" w:type="pct"/>
                  <w:vAlign w:val="center"/>
                </w:tcPr>
                <w:p>
                  <w:pPr>
                    <w:pStyle w:val="136"/>
                    <w:adjustRightInd w:val="0"/>
                    <w:snapToGrid w:val="0"/>
                    <w:rPr>
                      <w:rFonts w:cs="Times New Roman"/>
                      <w:szCs w:val="18"/>
                      <w:lang w:val="de-DE"/>
                    </w:rPr>
                  </w:pPr>
                  <w:r>
                    <w:rPr>
                      <w:rFonts w:hint="eastAsia" w:cs="Times New Roman"/>
                      <w:szCs w:val="18"/>
                      <w:lang w:val="de-DE"/>
                    </w:rPr>
                    <w:t>机关单位</w:t>
                  </w:r>
                </w:p>
              </w:tc>
              <w:tc>
                <w:tcPr>
                  <w:tcW w:w="1093" w:type="pct"/>
                  <w:vMerge w:val="continue"/>
                  <w:vAlign w:val="center"/>
                </w:tcPr>
                <w:p>
                  <w:pPr>
                    <w:pStyle w:val="136"/>
                    <w:adjustRightInd w:val="0"/>
                    <w:snapToGrid w:val="0"/>
                    <w:rPr>
                      <w:rFonts w:cs="Times New Roman"/>
                      <w:szCs w:val="18"/>
                      <w:lang w:val="de-D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98" w:type="pct"/>
                  <w:vMerge w:val="continue"/>
                  <w:vAlign w:val="center"/>
                </w:tcPr>
                <w:p>
                  <w:pPr>
                    <w:pStyle w:val="136"/>
                    <w:adjustRightInd w:val="0"/>
                    <w:snapToGrid w:val="0"/>
                    <w:rPr>
                      <w:rFonts w:cs="Times New Roman"/>
                      <w:szCs w:val="18"/>
                      <w:lang w:val="de-DE"/>
                    </w:rPr>
                  </w:pPr>
                </w:p>
              </w:tc>
              <w:tc>
                <w:tcPr>
                  <w:tcW w:w="1068" w:type="pct"/>
                  <w:vAlign w:val="center"/>
                </w:tcPr>
                <w:p>
                  <w:pPr>
                    <w:pStyle w:val="136"/>
                    <w:adjustRightInd w:val="0"/>
                    <w:snapToGrid w:val="0"/>
                    <w:rPr>
                      <w:rFonts w:cs="Times New Roman"/>
                      <w:szCs w:val="18"/>
                      <w:lang w:val="de-DE"/>
                    </w:rPr>
                  </w:pPr>
                  <w:r>
                    <w:rPr>
                      <w:rFonts w:hint="eastAsia" w:cs="Times New Roman"/>
                      <w:szCs w:val="18"/>
                      <w:lang w:val="de-DE"/>
                    </w:rPr>
                    <w:t>巴中职业技术学院</w:t>
                  </w:r>
                </w:p>
              </w:tc>
              <w:tc>
                <w:tcPr>
                  <w:tcW w:w="445" w:type="pct"/>
                  <w:vAlign w:val="center"/>
                </w:tcPr>
                <w:p>
                  <w:pPr>
                    <w:pStyle w:val="136"/>
                    <w:adjustRightInd w:val="0"/>
                    <w:snapToGrid w:val="0"/>
                    <w:rPr>
                      <w:rFonts w:cs="Times New Roman"/>
                      <w:szCs w:val="18"/>
                      <w:lang w:val="de-DE"/>
                    </w:rPr>
                  </w:pPr>
                  <w:r>
                    <w:rPr>
                      <w:rFonts w:hint="eastAsia" w:cs="Times New Roman"/>
                      <w:szCs w:val="18"/>
                      <w:lang w:val="de-DE"/>
                    </w:rPr>
                    <w:t>NW</w:t>
                  </w:r>
                </w:p>
              </w:tc>
              <w:tc>
                <w:tcPr>
                  <w:tcW w:w="712" w:type="pct"/>
                  <w:vAlign w:val="center"/>
                </w:tcPr>
                <w:p>
                  <w:pPr>
                    <w:pStyle w:val="136"/>
                    <w:adjustRightInd w:val="0"/>
                    <w:snapToGrid w:val="0"/>
                    <w:rPr>
                      <w:rFonts w:cs="Times New Roman"/>
                      <w:szCs w:val="18"/>
                      <w:lang w:val="de-DE"/>
                    </w:rPr>
                  </w:pPr>
                  <w:r>
                    <w:rPr>
                      <w:rFonts w:hint="eastAsia" w:cs="Times New Roman"/>
                      <w:szCs w:val="18"/>
                      <w:lang w:val="de-DE"/>
                    </w:rPr>
                    <w:t>5</w:t>
                  </w:r>
                  <w:r>
                    <w:rPr>
                      <w:rFonts w:cs="Times New Roman"/>
                      <w:szCs w:val="18"/>
                      <w:lang w:val="de-DE"/>
                    </w:rPr>
                    <w:t>00</w:t>
                  </w:r>
                </w:p>
              </w:tc>
              <w:tc>
                <w:tcPr>
                  <w:tcW w:w="1084" w:type="pct"/>
                  <w:vAlign w:val="center"/>
                </w:tcPr>
                <w:p>
                  <w:pPr>
                    <w:pStyle w:val="136"/>
                    <w:adjustRightInd w:val="0"/>
                    <w:snapToGrid w:val="0"/>
                    <w:rPr>
                      <w:rFonts w:cs="Times New Roman"/>
                      <w:szCs w:val="18"/>
                      <w:lang w:val="de-DE"/>
                    </w:rPr>
                  </w:pPr>
                  <w:r>
                    <w:rPr>
                      <w:rFonts w:hint="eastAsia" w:cs="Times New Roman"/>
                      <w:szCs w:val="18"/>
                      <w:lang w:val="de-DE"/>
                    </w:rPr>
                    <w:t>学校，约1</w:t>
                  </w:r>
                  <w:r>
                    <w:rPr>
                      <w:rFonts w:cs="Times New Roman"/>
                      <w:szCs w:val="18"/>
                      <w:lang w:val="de-DE"/>
                    </w:rPr>
                    <w:t>0000</w:t>
                  </w:r>
                  <w:r>
                    <w:rPr>
                      <w:rFonts w:hint="eastAsia" w:cs="Times New Roman"/>
                      <w:szCs w:val="18"/>
                      <w:lang w:val="de-DE"/>
                    </w:rPr>
                    <w:t>人</w:t>
                  </w:r>
                </w:p>
              </w:tc>
              <w:tc>
                <w:tcPr>
                  <w:tcW w:w="1093" w:type="pct"/>
                  <w:vMerge w:val="continue"/>
                  <w:vAlign w:val="center"/>
                </w:tcPr>
                <w:p>
                  <w:pPr>
                    <w:pStyle w:val="136"/>
                    <w:adjustRightInd w:val="0"/>
                    <w:snapToGrid w:val="0"/>
                    <w:rPr>
                      <w:rFonts w:cs="Times New Roman"/>
                      <w:szCs w:val="18"/>
                      <w:lang w:val="de-D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98" w:type="pct"/>
                  <w:vMerge w:val="continue"/>
                  <w:vAlign w:val="center"/>
                </w:tcPr>
                <w:p>
                  <w:pPr>
                    <w:pStyle w:val="136"/>
                    <w:adjustRightInd w:val="0"/>
                    <w:snapToGrid w:val="0"/>
                    <w:rPr>
                      <w:rFonts w:cs="Times New Roman"/>
                      <w:szCs w:val="18"/>
                      <w:lang w:val="de-DE"/>
                    </w:rPr>
                  </w:pPr>
                </w:p>
              </w:tc>
              <w:tc>
                <w:tcPr>
                  <w:tcW w:w="1068" w:type="pct"/>
                  <w:vAlign w:val="center"/>
                </w:tcPr>
                <w:p>
                  <w:pPr>
                    <w:pStyle w:val="136"/>
                    <w:adjustRightInd w:val="0"/>
                    <w:snapToGrid w:val="0"/>
                    <w:rPr>
                      <w:rFonts w:cs="Times New Roman"/>
                      <w:szCs w:val="18"/>
                      <w:lang w:val="de-DE"/>
                    </w:rPr>
                  </w:pPr>
                  <w:r>
                    <w:rPr>
                      <w:rFonts w:hint="eastAsia" w:cs="Times New Roman"/>
                      <w:szCs w:val="18"/>
                      <w:lang w:val="de-DE"/>
                    </w:rPr>
                    <w:t>二郎庙农户</w:t>
                  </w:r>
                </w:p>
              </w:tc>
              <w:tc>
                <w:tcPr>
                  <w:tcW w:w="445" w:type="pct"/>
                  <w:vAlign w:val="center"/>
                </w:tcPr>
                <w:p>
                  <w:pPr>
                    <w:pStyle w:val="136"/>
                    <w:adjustRightInd w:val="0"/>
                    <w:snapToGrid w:val="0"/>
                    <w:rPr>
                      <w:rFonts w:cs="Times New Roman"/>
                      <w:szCs w:val="18"/>
                      <w:lang w:val="de-DE"/>
                    </w:rPr>
                  </w:pPr>
                  <w:r>
                    <w:rPr>
                      <w:rFonts w:hint="eastAsia" w:cs="Times New Roman"/>
                      <w:szCs w:val="18"/>
                      <w:lang w:val="de-DE"/>
                    </w:rPr>
                    <w:t>NE</w:t>
                  </w:r>
                </w:p>
              </w:tc>
              <w:tc>
                <w:tcPr>
                  <w:tcW w:w="712" w:type="pct"/>
                  <w:vAlign w:val="center"/>
                </w:tcPr>
                <w:p>
                  <w:pPr>
                    <w:pStyle w:val="136"/>
                    <w:adjustRightInd w:val="0"/>
                    <w:snapToGrid w:val="0"/>
                    <w:rPr>
                      <w:rFonts w:cs="Times New Roman"/>
                      <w:szCs w:val="18"/>
                      <w:lang w:val="de-DE"/>
                    </w:rPr>
                  </w:pPr>
                  <w:r>
                    <w:rPr>
                      <w:rFonts w:hint="eastAsia" w:cs="Times New Roman"/>
                      <w:szCs w:val="18"/>
                      <w:lang w:val="de-DE"/>
                    </w:rPr>
                    <w:t>3</w:t>
                  </w:r>
                  <w:r>
                    <w:rPr>
                      <w:rFonts w:cs="Times New Roman"/>
                      <w:szCs w:val="18"/>
                      <w:lang w:val="de-DE"/>
                    </w:rPr>
                    <w:t>70</w:t>
                  </w:r>
                </w:p>
              </w:tc>
              <w:tc>
                <w:tcPr>
                  <w:tcW w:w="1084" w:type="pct"/>
                  <w:vAlign w:val="center"/>
                </w:tcPr>
                <w:p>
                  <w:pPr>
                    <w:pStyle w:val="136"/>
                    <w:adjustRightInd w:val="0"/>
                    <w:snapToGrid w:val="0"/>
                    <w:rPr>
                      <w:rFonts w:cs="Times New Roman"/>
                      <w:szCs w:val="18"/>
                      <w:lang w:val="de-DE"/>
                    </w:rPr>
                  </w:pPr>
                  <w:r>
                    <w:rPr>
                      <w:rFonts w:hint="eastAsia" w:cs="Times New Roman"/>
                      <w:szCs w:val="18"/>
                      <w:lang w:val="de-DE"/>
                    </w:rPr>
                    <w:t>散居农户，约1</w:t>
                  </w:r>
                  <w:r>
                    <w:rPr>
                      <w:rFonts w:cs="Times New Roman"/>
                      <w:szCs w:val="18"/>
                      <w:lang w:val="de-DE"/>
                    </w:rPr>
                    <w:t>2</w:t>
                  </w:r>
                  <w:r>
                    <w:rPr>
                      <w:rFonts w:hint="eastAsia" w:cs="Times New Roman"/>
                      <w:szCs w:val="18"/>
                      <w:lang w:val="de-DE"/>
                    </w:rPr>
                    <w:t>人</w:t>
                  </w:r>
                </w:p>
              </w:tc>
              <w:tc>
                <w:tcPr>
                  <w:tcW w:w="1093" w:type="pct"/>
                  <w:vMerge w:val="continue"/>
                  <w:vAlign w:val="center"/>
                </w:tcPr>
                <w:p>
                  <w:pPr>
                    <w:pStyle w:val="136"/>
                    <w:adjustRightInd w:val="0"/>
                    <w:snapToGrid w:val="0"/>
                    <w:rPr>
                      <w:rFonts w:cs="Times New Roman"/>
                      <w:szCs w:val="18"/>
                      <w:lang w:val="de-D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98" w:type="pct"/>
                  <w:vAlign w:val="center"/>
                </w:tcPr>
                <w:p>
                  <w:pPr>
                    <w:pStyle w:val="136"/>
                    <w:adjustRightInd w:val="0"/>
                    <w:snapToGrid w:val="0"/>
                    <w:rPr>
                      <w:rFonts w:cs="Times New Roman"/>
                      <w:szCs w:val="18"/>
                      <w:lang w:val="de-DE"/>
                    </w:rPr>
                  </w:pPr>
                  <w:r>
                    <w:rPr>
                      <w:rFonts w:cs="Times New Roman"/>
                      <w:szCs w:val="18"/>
                      <w:lang w:val="de-DE"/>
                    </w:rPr>
                    <w:t>声环境</w:t>
                  </w:r>
                </w:p>
              </w:tc>
              <w:tc>
                <w:tcPr>
                  <w:tcW w:w="1068" w:type="pct"/>
                  <w:vAlign w:val="center"/>
                </w:tcPr>
                <w:p>
                  <w:pPr>
                    <w:pStyle w:val="136"/>
                    <w:adjustRightInd w:val="0"/>
                    <w:snapToGrid w:val="0"/>
                    <w:rPr>
                      <w:rFonts w:cs="Times New Roman"/>
                      <w:szCs w:val="18"/>
                      <w:lang w:val="de-DE"/>
                    </w:rPr>
                  </w:pPr>
                  <w:r>
                    <w:rPr>
                      <w:rFonts w:hint="eastAsia"/>
                    </w:rPr>
                    <w:t>华兴·逸境新城B区（3、4栋）</w:t>
                  </w:r>
                </w:p>
              </w:tc>
              <w:tc>
                <w:tcPr>
                  <w:tcW w:w="445" w:type="pct"/>
                  <w:vAlign w:val="center"/>
                </w:tcPr>
                <w:p>
                  <w:pPr>
                    <w:pStyle w:val="136"/>
                    <w:adjustRightInd w:val="0"/>
                    <w:snapToGrid w:val="0"/>
                    <w:rPr>
                      <w:rFonts w:cs="Times New Roman"/>
                      <w:szCs w:val="18"/>
                      <w:lang w:val="de-DE"/>
                    </w:rPr>
                  </w:pPr>
                  <w:r>
                    <w:rPr>
                      <w:rFonts w:hint="eastAsia" w:cs="Times New Roman"/>
                      <w:szCs w:val="18"/>
                      <w:lang w:val="de-DE"/>
                    </w:rPr>
                    <w:t>SW</w:t>
                  </w:r>
                </w:p>
              </w:tc>
              <w:tc>
                <w:tcPr>
                  <w:tcW w:w="712" w:type="pct"/>
                  <w:vAlign w:val="center"/>
                </w:tcPr>
                <w:p>
                  <w:pPr>
                    <w:pStyle w:val="136"/>
                    <w:adjustRightInd w:val="0"/>
                    <w:snapToGrid w:val="0"/>
                    <w:rPr>
                      <w:rFonts w:cs="Times New Roman"/>
                      <w:szCs w:val="18"/>
                      <w:lang w:val="de-DE"/>
                    </w:rPr>
                  </w:pPr>
                  <w:r>
                    <w:rPr>
                      <w:rFonts w:hint="eastAsia" w:cs="Times New Roman"/>
                      <w:szCs w:val="18"/>
                      <w:lang w:val="de-DE"/>
                    </w:rPr>
                    <w:t>4</w:t>
                  </w:r>
                  <w:r>
                    <w:rPr>
                      <w:rFonts w:cs="Times New Roman"/>
                      <w:szCs w:val="18"/>
                      <w:lang w:val="de-DE"/>
                    </w:rPr>
                    <w:t>0</w:t>
                  </w:r>
                </w:p>
              </w:tc>
              <w:tc>
                <w:tcPr>
                  <w:tcW w:w="1084" w:type="pct"/>
                  <w:vAlign w:val="center"/>
                </w:tcPr>
                <w:p>
                  <w:pPr>
                    <w:pStyle w:val="136"/>
                    <w:adjustRightInd w:val="0"/>
                    <w:snapToGrid w:val="0"/>
                    <w:rPr>
                      <w:rFonts w:cs="Times New Roman"/>
                      <w:szCs w:val="18"/>
                      <w:lang w:val="de-DE"/>
                    </w:rPr>
                  </w:pPr>
                  <w:r>
                    <w:rPr>
                      <w:rFonts w:hint="eastAsia" w:cs="Times New Roman"/>
                      <w:szCs w:val="18"/>
                      <w:lang w:val="de-DE"/>
                    </w:rPr>
                    <w:t>居住区，约</w:t>
                  </w:r>
                  <w:r>
                    <w:rPr>
                      <w:rFonts w:cs="Times New Roman"/>
                      <w:szCs w:val="18"/>
                      <w:lang w:val="de-DE"/>
                    </w:rPr>
                    <w:t>600</w:t>
                  </w:r>
                  <w:r>
                    <w:rPr>
                      <w:rFonts w:hint="eastAsia" w:cs="Times New Roman"/>
                      <w:szCs w:val="18"/>
                      <w:lang w:val="de-DE"/>
                    </w:rPr>
                    <w:t>人</w:t>
                  </w:r>
                </w:p>
              </w:tc>
              <w:tc>
                <w:tcPr>
                  <w:tcW w:w="1093" w:type="pct"/>
                  <w:vAlign w:val="center"/>
                </w:tcPr>
                <w:p>
                  <w:pPr>
                    <w:pStyle w:val="136"/>
                    <w:adjustRightInd w:val="0"/>
                    <w:snapToGrid w:val="0"/>
                    <w:jc w:val="both"/>
                    <w:rPr>
                      <w:rFonts w:cs="Times New Roman"/>
                      <w:szCs w:val="18"/>
                      <w:lang w:val="de-DE"/>
                    </w:rPr>
                  </w:pPr>
                  <w:r>
                    <w:rPr>
                      <w:rFonts w:hint="eastAsia"/>
                    </w:rPr>
                    <w:t>《声环境质量标准》（GB</w:t>
                  </w:r>
                  <w:r>
                    <w:t xml:space="preserve"> 3096-2008</w:t>
                  </w:r>
                  <w:r>
                    <w:rPr>
                      <w:rFonts w:hint="eastAsia"/>
                    </w:rPr>
                    <w:t>）2类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98" w:type="pct"/>
                  <w:vAlign w:val="center"/>
                </w:tcPr>
                <w:p>
                  <w:pPr>
                    <w:pStyle w:val="136"/>
                    <w:adjustRightInd w:val="0"/>
                    <w:snapToGrid w:val="0"/>
                    <w:rPr>
                      <w:rFonts w:cs="Times New Roman"/>
                      <w:szCs w:val="18"/>
                      <w:lang w:val="de-DE"/>
                    </w:rPr>
                  </w:pPr>
                  <w:r>
                    <w:rPr>
                      <w:szCs w:val="18"/>
                    </w:rPr>
                    <w:t>地表水</w:t>
                  </w:r>
                </w:p>
              </w:tc>
              <w:tc>
                <w:tcPr>
                  <w:tcW w:w="1068" w:type="pct"/>
                  <w:vAlign w:val="center"/>
                </w:tcPr>
                <w:p>
                  <w:pPr>
                    <w:pStyle w:val="136"/>
                    <w:adjustRightInd w:val="0"/>
                    <w:snapToGrid w:val="0"/>
                    <w:rPr>
                      <w:szCs w:val="18"/>
                    </w:rPr>
                  </w:pPr>
                  <w:r>
                    <w:rPr>
                      <w:rFonts w:hint="eastAsia"/>
                      <w:szCs w:val="18"/>
                    </w:rPr>
                    <w:t>巴河（受纳水体）</w:t>
                  </w:r>
                </w:p>
              </w:tc>
              <w:tc>
                <w:tcPr>
                  <w:tcW w:w="445" w:type="pct"/>
                  <w:vAlign w:val="center"/>
                </w:tcPr>
                <w:p>
                  <w:pPr>
                    <w:pStyle w:val="136"/>
                    <w:adjustRightInd w:val="0"/>
                    <w:snapToGrid w:val="0"/>
                    <w:rPr>
                      <w:szCs w:val="18"/>
                    </w:rPr>
                  </w:pPr>
                  <w:r>
                    <w:rPr>
                      <w:rFonts w:hint="eastAsia"/>
                      <w:szCs w:val="18"/>
                    </w:rPr>
                    <w:t>SW</w:t>
                  </w:r>
                </w:p>
              </w:tc>
              <w:tc>
                <w:tcPr>
                  <w:tcW w:w="712" w:type="pct"/>
                  <w:vAlign w:val="center"/>
                </w:tcPr>
                <w:p>
                  <w:pPr>
                    <w:pStyle w:val="136"/>
                    <w:adjustRightInd w:val="0"/>
                    <w:snapToGrid w:val="0"/>
                    <w:rPr>
                      <w:szCs w:val="18"/>
                    </w:rPr>
                  </w:pPr>
                  <w:r>
                    <w:rPr>
                      <w:rFonts w:hint="eastAsia"/>
                      <w:szCs w:val="18"/>
                    </w:rPr>
                    <w:t>6</w:t>
                  </w:r>
                  <w:r>
                    <w:rPr>
                      <w:szCs w:val="18"/>
                    </w:rPr>
                    <w:t>.6</w:t>
                  </w:r>
                  <w:r>
                    <w:rPr>
                      <w:rFonts w:hint="eastAsia"/>
                      <w:szCs w:val="18"/>
                    </w:rPr>
                    <w:t>km</w:t>
                  </w:r>
                </w:p>
              </w:tc>
              <w:tc>
                <w:tcPr>
                  <w:tcW w:w="1084" w:type="pct"/>
                  <w:vAlign w:val="center"/>
                </w:tcPr>
                <w:p>
                  <w:pPr>
                    <w:pStyle w:val="136"/>
                    <w:adjustRightInd w:val="0"/>
                    <w:snapToGrid w:val="0"/>
                    <w:rPr>
                      <w:szCs w:val="18"/>
                    </w:rPr>
                  </w:pPr>
                  <w:r>
                    <w:rPr>
                      <w:rFonts w:hint="eastAsia"/>
                      <w:szCs w:val="18"/>
                    </w:rPr>
                    <w:t>行洪、灌溉、纳污</w:t>
                  </w:r>
                </w:p>
              </w:tc>
              <w:tc>
                <w:tcPr>
                  <w:tcW w:w="1093" w:type="pct"/>
                  <w:vAlign w:val="center"/>
                </w:tcPr>
                <w:p>
                  <w:pPr>
                    <w:pStyle w:val="136"/>
                    <w:adjustRightInd w:val="0"/>
                    <w:snapToGrid w:val="0"/>
                    <w:rPr>
                      <w:rFonts w:cs="Times New Roman"/>
                      <w:szCs w:val="18"/>
                      <w:lang w:val="de-DE"/>
                    </w:rPr>
                  </w:pPr>
                  <w:r>
                    <w:rPr>
                      <w:szCs w:val="18"/>
                    </w:rPr>
                    <w:t>《地表水环境质量标准》GB3838-2002中Ⅲ类水域标准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98" w:type="pct"/>
                  <w:vAlign w:val="center"/>
                </w:tcPr>
                <w:p>
                  <w:pPr>
                    <w:pStyle w:val="136"/>
                    <w:adjustRightInd w:val="0"/>
                    <w:snapToGrid w:val="0"/>
                    <w:rPr>
                      <w:rFonts w:cs="Times New Roman"/>
                      <w:szCs w:val="18"/>
                      <w:lang w:val="de-DE"/>
                    </w:rPr>
                  </w:pPr>
                  <w:r>
                    <w:rPr>
                      <w:rFonts w:cs="Times New Roman"/>
                      <w:szCs w:val="18"/>
                      <w:lang w:val="de-DE"/>
                    </w:rPr>
                    <w:t>地下水环境</w:t>
                  </w:r>
                </w:p>
              </w:tc>
              <w:tc>
                <w:tcPr>
                  <w:tcW w:w="4402" w:type="pct"/>
                  <w:gridSpan w:val="5"/>
                  <w:vAlign w:val="center"/>
                </w:tcPr>
                <w:p>
                  <w:pPr>
                    <w:pStyle w:val="136"/>
                    <w:adjustRightInd w:val="0"/>
                    <w:snapToGrid w:val="0"/>
                    <w:rPr>
                      <w:rFonts w:cs="Times New Roman"/>
                      <w:szCs w:val="18"/>
                      <w:lang w:val="de-DE"/>
                    </w:rPr>
                  </w:pPr>
                  <w:r>
                    <w:rPr>
                      <w:rFonts w:hint="eastAsia" w:cs="Times New Roman"/>
                      <w:szCs w:val="18"/>
                    </w:rPr>
                    <w:t>厂界外5</w:t>
                  </w:r>
                  <w:r>
                    <w:rPr>
                      <w:rFonts w:cs="Times New Roman"/>
                      <w:szCs w:val="18"/>
                    </w:rPr>
                    <w:t>00</w:t>
                  </w:r>
                  <w:r>
                    <w:rPr>
                      <w:rFonts w:hint="eastAsia" w:cs="Times New Roman"/>
                      <w:szCs w:val="18"/>
                    </w:rPr>
                    <w:t>m范围内无地下水集中式饮用水水源和热水、矿泉水、温泉等特殊地下水资源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98" w:type="pct"/>
                  <w:vAlign w:val="center"/>
                </w:tcPr>
                <w:p>
                  <w:pPr>
                    <w:pStyle w:val="136"/>
                    <w:adjustRightInd w:val="0"/>
                    <w:snapToGrid w:val="0"/>
                    <w:rPr>
                      <w:rFonts w:cs="Times New Roman"/>
                      <w:szCs w:val="18"/>
                      <w:lang w:val="de-DE"/>
                    </w:rPr>
                  </w:pPr>
                  <w:r>
                    <w:rPr>
                      <w:rFonts w:cs="Times New Roman"/>
                      <w:szCs w:val="18"/>
                      <w:lang w:val="de-DE"/>
                    </w:rPr>
                    <w:t>生态环境</w:t>
                  </w:r>
                </w:p>
              </w:tc>
              <w:tc>
                <w:tcPr>
                  <w:tcW w:w="4402" w:type="pct"/>
                  <w:gridSpan w:val="5"/>
                  <w:vAlign w:val="center"/>
                </w:tcPr>
                <w:p>
                  <w:pPr>
                    <w:pStyle w:val="136"/>
                    <w:adjustRightInd w:val="0"/>
                    <w:snapToGrid w:val="0"/>
                    <w:rPr>
                      <w:rFonts w:cs="Times New Roman"/>
                      <w:szCs w:val="18"/>
                      <w:lang w:val="de-DE"/>
                    </w:rPr>
                  </w:pPr>
                  <w:r>
                    <w:rPr>
                      <w:rFonts w:hint="eastAsia" w:cs="Times New Roman"/>
                      <w:szCs w:val="18"/>
                    </w:rPr>
                    <w:t>项目选址于</w:t>
                  </w:r>
                  <w:r>
                    <w:rPr>
                      <w:rFonts w:hint="eastAsia"/>
                    </w:rPr>
                    <w:t>四川巴中经济开发区时新街道宝峰社区</w:t>
                  </w:r>
                  <w:r>
                    <w:rPr>
                      <w:rFonts w:hint="eastAsia" w:cs="Times New Roman"/>
                      <w:szCs w:val="18"/>
                    </w:rPr>
                    <w:t>，周边无重要物种、生态敏感区以及其他需要保护的物种、种群、生物群落及生态空间。</w:t>
                  </w:r>
                </w:p>
              </w:tc>
            </w:tr>
          </w:tbl>
          <w:p>
            <w:pPr>
              <w:adjustRightInd w:val="0"/>
              <w:snapToGrid w:val="0"/>
              <w:ind w:firstLine="4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94" w:type="dxa"/>
            <w:tcMar>
              <w:left w:w="28" w:type="dxa"/>
              <w:right w:w="28" w:type="dxa"/>
            </w:tcMar>
            <w:vAlign w:val="center"/>
          </w:tcPr>
          <w:p>
            <w:pPr>
              <w:adjustRightInd w:val="0"/>
              <w:snapToGrid w:val="0"/>
              <w:ind w:firstLine="0" w:firstLineChars="0"/>
              <w:jc w:val="center"/>
              <w:rPr>
                <w:kern w:val="0"/>
                <w:szCs w:val="21"/>
              </w:rPr>
            </w:pPr>
            <w:r>
              <w:rPr>
                <w:kern w:val="0"/>
                <w:szCs w:val="21"/>
              </w:rPr>
              <w:t>污染物排放控制标准</w:t>
            </w:r>
          </w:p>
        </w:tc>
        <w:tc>
          <w:tcPr>
            <w:tcW w:w="8137" w:type="dxa"/>
            <w:vAlign w:val="center"/>
          </w:tcPr>
          <w:p>
            <w:pPr>
              <w:pStyle w:val="158"/>
              <w:adjustRightInd w:val="0"/>
              <w:snapToGrid w:val="0"/>
            </w:pPr>
            <w:r>
              <w:rPr>
                <w:rFonts w:hint="eastAsia"/>
              </w:rPr>
              <w:t>1</w:t>
            </w:r>
            <w:r>
              <w:t>、废水污染物排放标准</w:t>
            </w:r>
          </w:p>
          <w:p>
            <w:pPr>
              <w:adjustRightInd w:val="0"/>
              <w:snapToGrid w:val="0"/>
              <w:ind w:firstLine="480"/>
            </w:pPr>
            <w:r>
              <w:rPr>
                <w:rFonts w:hint="eastAsia"/>
              </w:rPr>
              <w:t>项目废水经预处理后满足《污水综合排放标准》（GB8978-1996）表4中三级标准，NH</w:t>
            </w:r>
            <w:r>
              <w:rPr>
                <w:rFonts w:hint="eastAsia"/>
                <w:vertAlign w:val="subscript"/>
              </w:rPr>
              <w:t>3</w:t>
            </w:r>
            <w:r>
              <w:rPr>
                <w:rFonts w:hint="eastAsia"/>
              </w:rPr>
              <w:t>-N、TP参照《污水排入城镇下水道水质标准》（GB/T31962-2015），排入巴中经开区污水处理厂；废水经巴中经开区污水处理厂处理达《</w:t>
            </w:r>
            <w:r>
              <w:t>城镇污水处理厂污染物排放标准》（GB18918-2002）中一级A标准后排入巴河</w:t>
            </w:r>
            <w:r>
              <w:rPr>
                <w:rFonts w:hint="eastAsia"/>
              </w:rPr>
              <w:t>。</w:t>
            </w:r>
          </w:p>
          <w:p>
            <w:pPr>
              <w:pStyle w:val="157"/>
            </w:pPr>
            <w:r>
              <w:rPr>
                <w:rFonts w:hint="eastAsia"/>
              </w:rPr>
              <w:t>表3</w:t>
            </w:r>
            <w:r>
              <w:t xml:space="preserve">-7  </w:t>
            </w:r>
            <w:r>
              <w:rPr>
                <w:rFonts w:hint="eastAsia"/>
              </w:rPr>
              <w:t>废水污染物排放标准 单位：mg</w:t>
            </w:r>
            <w:r>
              <w:t>/</w:t>
            </w:r>
            <w:r>
              <w:rPr>
                <w:rFonts w:hint="eastAsia"/>
              </w:rPr>
              <w:t>L</w:t>
            </w:r>
          </w:p>
          <w:tbl>
            <w:tblPr>
              <w:tblStyle w:val="3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79"/>
              <w:gridCol w:w="1243"/>
              <w:gridCol w:w="2068"/>
              <w:gridCol w:w="42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357" w:type="pct"/>
                  <w:shd w:val="clear" w:color="auto" w:fill="auto"/>
                  <w:noWrap/>
                  <w:vAlign w:val="center"/>
                </w:tcPr>
                <w:p>
                  <w:pPr>
                    <w:pStyle w:val="136"/>
                    <w:rPr>
                      <w:b/>
                      <w:bCs/>
                    </w:rPr>
                  </w:pPr>
                  <w:r>
                    <w:rPr>
                      <w:b/>
                      <w:bCs/>
                    </w:rPr>
                    <w:t>序号</w:t>
                  </w:r>
                </w:p>
              </w:tc>
              <w:tc>
                <w:tcPr>
                  <w:tcW w:w="765" w:type="pct"/>
                  <w:shd w:val="clear" w:color="auto" w:fill="auto"/>
                  <w:noWrap/>
                  <w:vAlign w:val="center"/>
                </w:tcPr>
                <w:p>
                  <w:pPr>
                    <w:pStyle w:val="136"/>
                    <w:rPr>
                      <w:b/>
                      <w:bCs/>
                    </w:rPr>
                  </w:pPr>
                  <w:r>
                    <w:rPr>
                      <w:b/>
                      <w:bCs/>
                    </w:rPr>
                    <w:t>污染物</w:t>
                  </w:r>
                </w:p>
              </w:tc>
              <w:tc>
                <w:tcPr>
                  <w:tcW w:w="1273" w:type="pct"/>
                  <w:shd w:val="clear" w:color="auto" w:fill="auto"/>
                  <w:noWrap/>
                  <w:vAlign w:val="center"/>
                </w:tcPr>
                <w:p>
                  <w:pPr>
                    <w:pStyle w:val="136"/>
                    <w:rPr>
                      <w:b/>
                      <w:bCs/>
                    </w:rPr>
                  </w:pPr>
                  <w:r>
                    <w:rPr>
                      <w:b/>
                      <w:bCs/>
                      <w:spacing w:val="-4"/>
                    </w:rPr>
                    <w:t>标准限值</w:t>
                  </w:r>
                  <w:r>
                    <w:rPr>
                      <w:b/>
                      <w:bCs/>
                    </w:rPr>
                    <w:t>（mg/L）</w:t>
                  </w:r>
                </w:p>
              </w:tc>
              <w:tc>
                <w:tcPr>
                  <w:tcW w:w="2605" w:type="pct"/>
                  <w:shd w:val="clear" w:color="auto" w:fill="auto"/>
                  <w:noWrap/>
                  <w:vAlign w:val="center"/>
                </w:tcPr>
                <w:p>
                  <w:pPr>
                    <w:pStyle w:val="136"/>
                    <w:rPr>
                      <w:b/>
                      <w:bCs/>
                    </w:rPr>
                  </w:pPr>
                  <w:r>
                    <w:rPr>
                      <w:b/>
                      <w:bCs/>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4" w:hRule="atLeast"/>
              </w:trPr>
              <w:tc>
                <w:tcPr>
                  <w:tcW w:w="357" w:type="pct"/>
                  <w:shd w:val="clear" w:color="auto" w:fill="auto"/>
                  <w:noWrap/>
                  <w:vAlign w:val="center"/>
                </w:tcPr>
                <w:p>
                  <w:pPr>
                    <w:pStyle w:val="136"/>
                  </w:pPr>
                  <w:r>
                    <w:rPr>
                      <w:rFonts w:hint="eastAsia"/>
                    </w:rPr>
                    <w:t>1</w:t>
                  </w:r>
                </w:p>
              </w:tc>
              <w:tc>
                <w:tcPr>
                  <w:tcW w:w="765" w:type="pct"/>
                  <w:shd w:val="clear" w:color="auto" w:fill="auto"/>
                  <w:noWrap/>
                  <w:vAlign w:val="center"/>
                </w:tcPr>
                <w:p>
                  <w:pPr>
                    <w:pStyle w:val="136"/>
                    <w:rPr>
                      <w:position w:val="2"/>
                    </w:rPr>
                  </w:pPr>
                  <w:r>
                    <w:rPr>
                      <w:position w:val="2"/>
                    </w:rPr>
                    <w:t>COD</w:t>
                  </w:r>
                  <w:r>
                    <w:rPr>
                      <w:vertAlign w:val="subscript"/>
                    </w:rPr>
                    <w:t>Cr</w:t>
                  </w:r>
                </w:p>
              </w:tc>
              <w:tc>
                <w:tcPr>
                  <w:tcW w:w="1273" w:type="pct"/>
                  <w:shd w:val="clear" w:color="auto" w:fill="auto"/>
                  <w:noWrap/>
                  <w:vAlign w:val="center"/>
                </w:tcPr>
                <w:p>
                  <w:pPr>
                    <w:pStyle w:val="136"/>
                  </w:pPr>
                  <w:r>
                    <w:t>500</w:t>
                  </w:r>
                </w:p>
              </w:tc>
              <w:tc>
                <w:tcPr>
                  <w:tcW w:w="2605" w:type="pct"/>
                  <w:vMerge w:val="restart"/>
                  <w:shd w:val="clear" w:color="auto" w:fill="auto"/>
                  <w:noWrap/>
                  <w:vAlign w:val="center"/>
                </w:tcPr>
                <w:p>
                  <w:pPr>
                    <w:pStyle w:val="136"/>
                  </w:pPr>
                  <w:r>
                    <w:rPr>
                      <w:rFonts w:hint="eastAsia"/>
                    </w:rPr>
                    <w:t>《污水综合排放标准》（GB8978-1996）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7" w:hRule="atLeast"/>
              </w:trPr>
              <w:tc>
                <w:tcPr>
                  <w:tcW w:w="357" w:type="pct"/>
                  <w:shd w:val="clear" w:color="auto" w:fill="auto"/>
                  <w:noWrap/>
                  <w:vAlign w:val="center"/>
                </w:tcPr>
                <w:p>
                  <w:pPr>
                    <w:pStyle w:val="136"/>
                  </w:pPr>
                  <w:r>
                    <w:rPr>
                      <w:rFonts w:hint="eastAsia"/>
                    </w:rPr>
                    <w:t>2</w:t>
                  </w:r>
                </w:p>
              </w:tc>
              <w:tc>
                <w:tcPr>
                  <w:tcW w:w="765" w:type="pct"/>
                  <w:shd w:val="clear" w:color="auto" w:fill="auto"/>
                  <w:noWrap/>
                  <w:vAlign w:val="center"/>
                </w:tcPr>
                <w:p>
                  <w:pPr>
                    <w:pStyle w:val="136"/>
                  </w:pPr>
                  <w:r>
                    <w:rPr>
                      <w:position w:val="2"/>
                    </w:rPr>
                    <w:t>BOD</w:t>
                  </w:r>
                  <w:r>
                    <w:rPr>
                      <w:vertAlign w:val="subscript"/>
                    </w:rPr>
                    <w:t>5</w:t>
                  </w:r>
                </w:p>
              </w:tc>
              <w:tc>
                <w:tcPr>
                  <w:tcW w:w="1273" w:type="pct"/>
                  <w:shd w:val="clear" w:color="auto" w:fill="auto"/>
                  <w:noWrap/>
                  <w:vAlign w:val="center"/>
                </w:tcPr>
                <w:p>
                  <w:pPr>
                    <w:pStyle w:val="136"/>
                  </w:pPr>
                  <w:r>
                    <w:t>300</w:t>
                  </w:r>
                </w:p>
              </w:tc>
              <w:tc>
                <w:tcPr>
                  <w:tcW w:w="2605" w:type="pct"/>
                  <w:vMerge w:val="continue"/>
                  <w:shd w:val="clear" w:color="auto" w:fill="auto"/>
                  <w:noWrap/>
                  <w:vAlign w:val="center"/>
                </w:tcPr>
                <w:p>
                  <w:pPr>
                    <w:pStyle w:val="136"/>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7" w:hRule="atLeast"/>
              </w:trPr>
              <w:tc>
                <w:tcPr>
                  <w:tcW w:w="357" w:type="pct"/>
                  <w:shd w:val="clear" w:color="auto" w:fill="auto"/>
                  <w:noWrap/>
                  <w:vAlign w:val="center"/>
                </w:tcPr>
                <w:p>
                  <w:pPr>
                    <w:pStyle w:val="136"/>
                  </w:pPr>
                  <w:r>
                    <w:rPr>
                      <w:rFonts w:hint="eastAsia"/>
                    </w:rPr>
                    <w:t>3</w:t>
                  </w:r>
                </w:p>
              </w:tc>
              <w:tc>
                <w:tcPr>
                  <w:tcW w:w="765" w:type="pct"/>
                  <w:shd w:val="clear" w:color="auto" w:fill="auto"/>
                  <w:noWrap/>
                  <w:vAlign w:val="center"/>
                </w:tcPr>
                <w:p>
                  <w:pPr>
                    <w:pStyle w:val="136"/>
                    <w:rPr>
                      <w:position w:val="2"/>
                    </w:rPr>
                  </w:pPr>
                  <w:r>
                    <w:t>SS</w:t>
                  </w:r>
                </w:p>
              </w:tc>
              <w:tc>
                <w:tcPr>
                  <w:tcW w:w="1273" w:type="pct"/>
                  <w:shd w:val="clear" w:color="auto" w:fill="auto"/>
                  <w:noWrap/>
                  <w:vAlign w:val="center"/>
                </w:tcPr>
                <w:p>
                  <w:pPr>
                    <w:pStyle w:val="136"/>
                  </w:pPr>
                  <w:r>
                    <w:t>400</w:t>
                  </w:r>
                </w:p>
              </w:tc>
              <w:tc>
                <w:tcPr>
                  <w:tcW w:w="2605" w:type="pct"/>
                  <w:vMerge w:val="continue"/>
                  <w:shd w:val="clear" w:color="auto" w:fill="auto"/>
                  <w:noWrap/>
                  <w:vAlign w:val="center"/>
                </w:tcPr>
                <w:p>
                  <w:pPr>
                    <w:pStyle w:val="136"/>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7" w:hRule="atLeast"/>
              </w:trPr>
              <w:tc>
                <w:tcPr>
                  <w:tcW w:w="357" w:type="pct"/>
                  <w:shd w:val="clear" w:color="auto" w:fill="auto"/>
                  <w:noWrap/>
                  <w:vAlign w:val="center"/>
                </w:tcPr>
                <w:p>
                  <w:pPr>
                    <w:pStyle w:val="136"/>
                  </w:pPr>
                  <w:r>
                    <w:rPr>
                      <w:rFonts w:hint="eastAsia"/>
                    </w:rPr>
                    <w:t>4</w:t>
                  </w:r>
                </w:p>
              </w:tc>
              <w:tc>
                <w:tcPr>
                  <w:tcW w:w="765" w:type="pct"/>
                  <w:shd w:val="clear" w:color="auto" w:fill="auto"/>
                  <w:noWrap/>
                  <w:vAlign w:val="center"/>
                </w:tcPr>
                <w:p>
                  <w:pPr>
                    <w:pStyle w:val="136"/>
                  </w:pPr>
                  <w:r>
                    <w:t>pH</w:t>
                  </w:r>
                </w:p>
              </w:tc>
              <w:tc>
                <w:tcPr>
                  <w:tcW w:w="1273" w:type="pct"/>
                  <w:shd w:val="clear" w:color="auto" w:fill="auto"/>
                  <w:noWrap/>
                  <w:vAlign w:val="center"/>
                </w:tcPr>
                <w:p>
                  <w:pPr>
                    <w:pStyle w:val="136"/>
                  </w:pPr>
                  <w:r>
                    <w:t>6~9</w:t>
                  </w:r>
                </w:p>
              </w:tc>
              <w:tc>
                <w:tcPr>
                  <w:tcW w:w="2605" w:type="pct"/>
                  <w:vMerge w:val="continue"/>
                  <w:shd w:val="clear" w:color="auto" w:fill="auto"/>
                  <w:noWrap/>
                  <w:vAlign w:val="center"/>
                </w:tcPr>
                <w:p>
                  <w:pPr>
                    <w:pStyle w:val="136"/>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7" w:hRule="atLeast"/>
              </w:trPr>
              <w:tc>
                <w:tcPr>
                  <w:tcW w:w="357" w:type="pct"/>
                  <w:shd w:val="clear" w:color="auto" w:fill="auto"/>
                  <w:noWrap/>
                  <w:vAlign w:val="center"/>
                </w:tcPr>
                <w:p>
                  <w:pPr>
                    <w:pStyle w:val="136"/>
                  </w:pPr>
                  <w:r>
                    <w:rPr>
                      <w:rFonts w:hint="eastAsia"/>
                    </w:rPr>
                    <w:t>5</w:t>
                  </w:r>
                </w:p>
              </w:tc>
              <w:tc>
                <w:tcPr>
                  <w:tcW w:w="765" w:type="pct"/>
                  <w:shd w:val="clear" w:color="auto" w:fill="auto"/>
                  <w:noWrap/>
                  <w:vAlign w:val="center"/>
                </w:tcPr>
                <w:p>
                  <w:pPr>
                    <w:pStyle w:val="136"/>
                  </w:pPr>
                  <w:r>
                    <w:rPr>
                      <w:position w:val="2"/>
                    </w:rPr>
                    <w:t>NH</w:t>
                  </w:r>
                  <w:r>
                    <w:rPr>
                      <w:vertAlign w:val="subscript"/>
                    </w:rPr>
                    <w:t>3</w:t>
                  </w:r>
                  <w:r>
                    <w:rPr>
                      <w:position w:val="2"/>
                    </w:rPr>
                    <w:t>-N</w:t>
                  </w:r>
                </w:p>
              </w:tc>
              <w:tc>
                <w:tcPr>
                  <w:tcW w:w="1273" w:type="pct"/>
                  <w:shd w:val="clear" w:color="auto" w:fill="auto"/>
                  <w:noWrap/>
                  <w:vAlign w:val="center"/>
                </w:tcPr>
                <w:p>
                  <w:pPr>
                    <w:pStyle w:val="136"/>
                  </w:pPr>
                  <w:r>
                    <w:t>45</w:t>
                  </w:r>
                </w:p>
              </w:tc>
              <w:tc>
                <w:tcPr>
                  <w:tcW w:w="2605" w:type="pct"/>
                  <w:vMerge w:val="restart"/>
                  <w:shd w:val="clear" w:color="auto" w:fill="auto"/>
                  <w:noWrap/>
                  <w:vAlign w:val="center"/>
                </w:tcPr>
                <w:p>
                  <w:pPr>
                    <w:pStyle w:val="136"/>
                  </w:pPr>
                  <w:r>
                    <w:rPr>
                      <w:rFonts w:hint="eastAsia"/>
                    </w:rPr>
                    <w:t>参照执行《污水排入城镇下水道水质标准》</w:t>
                  </w:r>
                </w:p>
                <w:p>
                  <w:pPr>
                    <w:pStyle w:val="136"/>
                  </w:pPr>
                  <w:r>
                    <w:rPr>
                      <w:rFonts w:hint="eastAsia"/>
                    </w:rPr>
                    <w:t>（</w:t>
                  </w:r>
                  <w:r>
                    <w:t>GB/T 31962-2015</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7" w:hRule="atLeast"/>
              </w:trPr>
              <w:tc>
                <w:tcPr>
                  <w:tcW w:w="357" w:type="pct"/>
                  <w:shd w:val="clear" w:color="auto" w:fill="auto"/>
                  <w:noWrap/>
                  <w:vAlign w:val="center"/>
                </w:tcPr>
                <w:p>
                  <w:pPr>
                    <w:pStyle w:val="136"/>
                  </w:pPr>
                  <w:r>
                    <w:rPr>
                      <w:rFonts w:hint="eastAsia"/>
                    </w:rPr>
                    <w:t>6</w:t>
                  </w:r>
                </w:p>
              </w:tc>
              <w:tc>
                <w:tcPr>
                  <w:tcW w:w="765" w:type="pct"/>
                  <w:shd w:val="clear" w:color="auto" w:fill="auto"/>
                  <w:noWrap/>
                  <w:vAlign w:val="center"/>
                </w:tcPr>
                <w:p>
                  <w:pPr>
                    <w:pStyle w:val="136"/>
                  </w:pPr>
                  <w:r>
                    <w:t>TP</w:t>
                  </w:r>
                </w:p>
              </w:tc>
              <w:tc>
                <w:tcPr>
                  <w:tcW w:w="1273" w:type="pct"/>
                  <w:shd w:val="clear" w:color="auto" w:fill="auto"/>
                  <w:noWrap/>
                  <w:vAlign w:val="center"/>
                </w:tcPr>
                <w:p>
                  <w:pPr>
                    <w:pStyle w:val="136"/>
                  </w:pPr>
                  <w:r>
                    <w:t>8</w:t>
                  </w:r>
                </w:p>
              </w:tc>
              <w:tc>
                <w:tcPr>
                  <w:tcW w:w="2605" w:type="pct"/>
                  <w:vMerge w:val="continue"/>
                  <w:shd w:val="clear" w:color="auto" w:fill="auto"/>
                  <w:noWrap/>
                  <w:vAlign w:val="center"/>
                </w:tcPr>
                <w:p>
                  <w:pPr>
                    <w:pStyle w:val="136"/>
                  </w:pPr>
                </w:p>
              </w:tc>
            </w:tr>
          </w:tbl>
          <w:p>
            <w:pPr>
              <w:pStyle w:val="158"/>
              <w:adjustRightInd w:val="0"/>
              <w:snapToGrid w:val="0"/>
            </w:pPr>
            <w:r>
              <w:rPr>
                <w:rFonts w:hint="eastAsia"/>
              </w:rPr>
              <w:t>2</w:t>
            </w:r>
            <w:r>
              <w:t>、大气污染物排放标准</w:t>
            </w:r>
          </w:p>
          <w:p>
            <w:pPr>
              <w:ind w:firstLine="480"/>
            </w:pPr>
            <w:r>
              <w:t>本项目废气</w:t>
            </w:r>
            <w:r>
              <w:rPr>
                <w:rFonts w:hint="eastAsia"/>
              </w:rPr>
              <w:t>VOCs、丙酮、正己烷执行</w:t>
            </w:r>
            <w:r>
              <w:t>《四川省固定污染源大气挥发性有机物排放标准》（DB51/2377-2017）表3</w:t>
            </w:r>
            <w:r>
              <w:rPr>
                <w:rFonts w:hint="eastAsia"/>
              </w:rPr>
              <w:t>~表</w:t>
            </w:r>
            <w:r>
              <w:t>6</w:t>
            </w:r>
            <w:r>
              <w:rPr>
                <w:rFonts w:hint="eastAsia"/>
              </w:rPr>
              <w:t>相应标准限值；氯化氢、硫酸雾执行《大气污染物综合排放标准》（GB 16297-1996）表2二级标准。详见下表：</w:t>
            </w:r>
          </w:p>
          <w:p>
            <w:pPr>
              <w:pStyle w:val="157"/>
              <w:keepNext/>
            </w:pPr>
            <w:r>
              <w:rPr>
                <w:rFonts w:hint="eastAsia"/>
              </w:rPr>
              <w:t>表3</w:t>
            </w:r>
            <w:r>
              <w:t xml:space="preserve">-8  </w:t>
            </w:r>
            <w:r>
              <w:rPr>
                <w:rFonts w:hint="eastAsia"/>
              </w:rPr>
              <w:t>大气污染物排放标准一览表</w:t>
            </w:r>
          </w:p>
          <w:tbl>
            <w:tblPr>
              <w:tblStyle w:val="19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18"/>
              <w:gridCol w:w="890"/>
              <w:gridCol w:w="616"/>
              <w:gridCol w:w="967"/>
              <w:gridCol w:w="551"/>
              <w:gridCol w:w="1759"/>
              <w:gridCol w:w="25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blHeader/>
              </w:trPr>
              <w:tc>
                <w:tcPr>
                  <w:tcW w:w="504" w:type="pct"/>
                  <w:vMerge w:val="restart"/>
                  <w:vAlign w:val="center"/>
                </w:tcPr>
                <w:p>
                  <w:pPr>
                    <w:pStyle w:val="136"/>
                    <w:adjustRightInd w:val="0"/>
                    <w:snapToGrid w:val="0"/>
                    <w:rPr>
                      <w:b/>
                      <w:bCs/>
                    </w:rPr>
                  </w:pPr>
                  <w:r>
                    <w:rPr>
                      <w:b/>
                      <w:bCs/>
                    </w:rPr>
                    <w:t>污染物</w:t>
                  </w:r>
                </w:p>
              </w:tc>
              <w:tc>
                <w:tcPr>
                  <w:tcW w:w="548" w:type="pct"/>
                  <w:vMerge w:val="restart"/>
                  <w:vAlign w:val="center"/>
                </w:tcPr>
                <w:p>
                  <w:pPr>
                    <w:pStyle w:val="136"/>
                    <w:adjustRightInd w:val="0"/>
                    <w:snapToGrid w:val="0"/>
                    <w:jc w:val="both"/>
                    <w:rPr>
                      <w:b/>
                      <w:bCs/>
                    </w:rPr>
                  </w:pPr>
                  <w:r>
                    <w:rPr>
                      <w:b/>
                      <w:bCs/>
                    </w:rPr>
                    <w:t>最高允许排放浓度（mg/m</w:t>
                  </w:r>
                  <w:r>
                    <w:rPr>
                      <w:b/>
                      <w:bCs/>
                      <w:vertAlign w:val="superscript"/>
                    </w:rPr>
                    <w:t>3</w:t>
                  </w:r>
                  <w:r>
                    <w:rPr>
                      <w:b/>
                      <w:bCs/>
                    </w:rPr>
                    <w:t>）</w:t>
                  </w:r>
                </w:p>
              </w:tc>
              <w:tc>
                <w:tcPr>
                  <w:tcW w:w="974" w:type="pct"/>
                  <w:gridSpan w:val="2"/>
                  <w:vAlign w:val="center"/>
                </w:tcPr>
                <w:p>
                  <w:pPr>
                    <w:pStyle w:val="136"/>
                    <w:adjustRightInd w:val="0"/>
                    <w:snapToGrid w:val="0"/>
                    <w:rPr>
                      <w:b/>
                      <w:bCs/>
                    </w:rPr>
                  </w:pPr>
                  <w:r>
                    <w:rPr>
                      <w:b/>
                      <w:bCs/>
                    </w:rPr>
                    <w:t>最高允许排放速率</w:t>
                  </w:r>
                </w:p>
              </w:tc>
              <w:tc>
                <w:tcPr>
                  <w:tcW w:w="1422" w:type="pct"/>
                  <w:gridSpan w:val="2"/>
                  <w:vAlign w:val="center"/>
                </w:tcPr>
                <w:p>
                  <w:pPr>
                    <w:pStyle w:val="136"/>
                    <w:adjustRightInd w:val="0"/>
                    <w:snapToGrid w:val="0"/>
                    <w:rPr>
                      <w:b/>
                      <w:bCs/>
                    </w:rPr>
                  </w:pPr>
                  <w:r>
                    <w:rPr>
                      <w:b/>
                      <w:bCs/>
                    </w:rPr>
                    <w:t>无组织排放监控点浓度限值</w:t>
                  </w:r>
                </w:p>
              </w:tc>
              <w:tc>
                <w:tcPr>
                  <w:tcW w:w="1552" w:type="pct"/>
                  <w:vMerge w:val="restart"/>
                  <w:vAlign w:val="center"/>
                </w:tcPr>
                <w:p>
                  <w:pPr>
                    <w:pStyle w:val="136"/>
                    <w:adjustRightInd w:val="0"/>
                    <w:snapToGrid w:val="0"/>
                    <w:rPr>
                      <w:b/>
                      <w:bCs/>
                    </w:rPr>
                  </w:pPr>
                  <w:r>
                    <w:rPr>
                      <w:b/>
                      <w:bCs/>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blHeader/>
              </w:trPr>
              <w:tc>
                <w:tcPr>
                  <w:tcW w:w="504" w:type="pct"/>
                  <w:vMerge w:val="continue"/>
                  <w:vAlign w:val="center"/>
                </w:tcPr>
                <w:p>
                  <w:pPr>
                    <w:pStyle w:val="136"/>
                    <w:adjustRightInd w:val="0"/>
                    <w:snapToGrid w:val="0"/>
                  </w:pPr>
                </w:p>
              </w:tc>
              <w:tc>
                <w:tcPr>
                  <w:tcW w:w="548" w:type="pct"/>
                  <w:vMerge w:val="continue"/>
                  <w:vAlign w:val="center"/>
                </w:tcPr>
                <w:p>
                  <w:pPr>
                    <w:pStyle w:val="136"/>
                    <w:adjustRightInd w:val="0"/>
                    <w:snapToGrid w:val="0"/>
                  </w:pPr>
                </w:p>
              </w:tc>
              <w:tc>
                <w:tcPr>
                  <w:tcW w:w="379" w:type="pct"/>
                  <w:vAlign w:val="center"/>
                </w:tcPr>
                <w:p>
                  <w:pPr>
                    <w:pStyle w:val="136"/>
                    <w:adjustRightInd w:val="0"/>
                    <w:snapToGrid w:val="0"/>
                    <w:rPr>
                      <w:b/>
                      <w:bCs/>
                    </w:rPr>
                  </w:pPr>
                  <w:r>
                    <w:rPr>
                      <w:b/>
                      <w:bCs/>
                    </w:rPr>
                    <w:t>排气筒（m）</w:t>
                  </w:r>
                </w:p>
              </w:tc>
              <w:tc>
                <w:tcPr>
                  <w:tcW w:w="595" w:type="pct"/>
                  <w:vAlign w:val="center"/>
                </w:tcPr>
                <w:p>
                  <w:pPr>
                    <w:pStyle w:val="136"/>
                    <w:adjustRightInd w:val="0"/>
                    <w:snapToGrid w:val="0"/>
                    <w:rPr>
                      <w:b/>
                      <w:bCs/>
                    </w:rPr>
                  </w:pPr>
                  <w:r>
                    <w:rPr>
                      <w:b/>
                      <w:bCs/>
                    </w:rPr>
                    <w:t>排放速率（kg/h）</w:t>
                  </w:r>
                </w:p>
              </w:tc>
              <w:tc>
                <w:tcPr>
                  <w:tcW w:w="339" w:type="pct"/>
                  <w:vAlign w:val="center"/>
                </w:tcPr>
                <w:p>
                  <w:pPr>
                    <w:pStyle w:val="136"/>
                    <w:adjustRightInd w:val="0"/>
                    <w:snapToGrid w:val="0"/>
                    <w:rPr>
                      <w:b/>
                      <w:bCs/>
                    </w:rPr>
                  </w:pPr>
                  <w:r>
                    <w:rPr>
                      <w:b/>
                      <w:bCs/>
                    </w:rPr>
                    <w:t>监控点</w:t>
                  </w:r>
                </w:p>
              </w:tc>
              <w:tc>
                <w:tcPr>
                  <w:tcW w:w="1083" w:type="pct"/>
                  <w:vAlign w:val="center"/>
                </w:tcPr>
                <w:p>
                  <w:pPr>
                    <w:pStyle w:val="136"/>
                    <w:adjustRightInd w:val="0"/>
                    <w:snapToGrid w:val="0"/>
                    <w:rPr>
                      <w:b/>
                      <w:bCs/>
                    </w:rPr>
                  </w:pPr>
                  <w:r>
                    <w:rPr>
                      <w:b/>
                      <w:bCs/>
                    </w:rPr>
                    <w:t>浓度（mg/m</w:t>
                  </w:r>
                  <w:r>
                    <w:rPr>
                      <w:b/>
                      <w:bCs/>
                      <w:vertAlign w:val="superscript"/>
                    </w:rPr>
                    <w:t>3</w:t>
                  </w:r>
                  <w:r>
                    <w:rPr>
                      <w:b/>
                      <w:bCs/>
                    </w:rPr>
                    <w:t>）</w:t>
                  </w:r>
                </w:p>
              </w:tc>
              <w:tc>
                <w:tcPr>
                  <w:tcW w:w="1552" w:type="pct"/>
                  <w:vMerge w:val="continue"/>
                  <w:vAlign w:val="center"/>
                </w:tcPr>
                <w:p>
                  <w:pPr>
                    <w:pStyle w:val="136"/>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04" w:type="pct"/>
                  <w:vAlign w:val="center"/>
                </w:tcPr>
                <w:p>
                  <w:pPr>
                    <w:pStyle w:val="136"/>
                    <w:adjustRightInd w:val="0"/>
                    <w:snapToGrid w:val="0"/>
                  </w:pPr>
                  <w:r>
                    <w:t>VOCs</w:t>
                  </w:r>
                </w:p>
              </w:tc>
              <w:tc>
                <w:tcPr>
                  <w:tcW w:w="548" w:type="pct"/>
                  <w:vAlign w:val="center"/>
                </w:tcPr>
                <w:p>
                  <w:pPr>
                    <w:pStyle w:val="136"/>
                    <w:adjustRightInd w:val="0"/>
                    <w:snapToGrid w:val="0"/>
                  </w:pPr>
                  <w:r>
                    <w:t>60</w:t>
                  </w:r>
                </w:p>
              </w:tc>
              <w:tc>
                <w:tcPr>
                  <w:tcW w:w="379" w:type="pct"/>
                  <w:vAlign w:val="center"/>
                </w:tcPr>
                <w:p>
                  <w:pPr>
                    <w:pStyle w:val="136"/>
                    <w:adjustRightInd w:val="0"/>
                    <w:snapToGrid w:val="0"/>
                  </w:pPr>
                  <w:r>
                    <w:t>25</w:t>
                  </w:r>
                </w:p>
              </w:tc>
              <w:tc>
                <w:tcPr>
                  <w:tcW w:w="595" w:type="pct"/>
                  <w:vAlign w:val="center"/>
                </w:tcPr>
                <w:p>
                  <w:pPr>
                    <w:pStyle w:val="136"/>
                    <w:adjustRightInd w:val="0"/>
                    <w:snapToGrid w:val="0"/>
                  </w:pPr>
                  <w:r>
                    <w:t>6.7</w:t>
                  </w:r>
                </w:p>
              </w:tc>
              <w:tc>
                <w:tcPr>
                  <w:tcW w:w="339" w:type="pct"/>
                  <w:vMerge w:val="restart"/>
                  <w:vAlign w:val="center"/>
                </w:tcPr>
                <w:p>
                  <w:pPr>
                    <w:pStyle w:val="136"/>
                    <w:adjustRightInd w:val="0"/>
                    <w:snapToGrid w:val="0"/>
                  </w:pPr>
                  <w:r>
                    <w:t>周界外浓度最高点</w:t>
                  </w:r>
                </w:p>
              </w:tc>
              <w:tc>
                <w:tcPr>
                  <w:tcW w:w="1083" w:type="pct"/>
                  <w:vAlign w:val="center"/>
                </w:tcPr>
                <w:p>
                  <w:pPr>
                    <w:pStyle w:val="136"/>
                    <w:adjustRightInd w:val="0"/>
                    <w:snapToGrid w:val="0"/>
                  </w:pPr>
                  <w:r>
                    <w:t>2.0</w:t>
                  </w:r>
                </w:p>
              </w:tc>
              <w:tc>
                <w:tcPr>
                  <w:tcW w:w="1552" w:type="pct"/>
                  <w:vMerge w:val="restart"/>
                  <w:vAlign w:val="center"/>
                </w:tcPr>
                <w:p>
                  <w:pPr>
                    <w:pStyle w:val="136"/>
                    <w:adjustRightInd w:val="0"/>
                    <w:snapToGrid w:val="0"/>
                    <w:rPr>
                      <w:rFonts w:eastAsiaTheme="minorEastAsia"/>
                    </w:rPr>
                  </w:pPr>
                  <w:r>
                    <w:rPr>
                      <w:rFonts w:hint="eastAsia"/>
                    </w:rPr>
                    <w:t>《</w:t>
                  </w:r>
                  <w:r>
                    <w:t>四川省固定污染源大气挥发性有机物排放标准》（DB51/2377-2017）表</w:t>
                  </w:r>
                  <w:r>
                    <w:rPr>
                      <w:rFonts w:eastAsia="TimesNewRomanPSMT"/>
                    </w:rPr>
                    <w:t>3</w:t>
                  </w:r>
                  <w:r>
                    <w:rPr>
                      <w:rFonts w:hint="eastAsia" w:eastAsia="TimesNewRomanPSMT"/>
                    </w:rPr>
                    <w:t>~</w:t>
                  </w:r>
                  <w:r>
                    <w:rPr>
                      <w:rFonts w:hint="eastAsia"/>
                    </w:rPr>
                    <w:t>表6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04" w:type="pct"/>
                  <w:vAlign w:val="center"/>
                </w:tcPr>
                <w:p>
                  <w:pPr>
                    <w:pStyle w:val="136"/>
                    <w:adjustRightInd w:val="0"/>
                    <w:snapToGrid w:val="0"/>
                  </w:pPr>
                  <w:r>
                    <w:rPr>
                      <w:rFonts w:hint="eastAsia"/>
                    </w:rPr>
                    <w:t>丙酮</w:t>
                  </w:r>
                </w:p>
              </w:tc>
              <w:tc>
                <w:tcPr>
                  <w:tcW w:w="548" w:type="pct"/>
                  <w:vAlign w:val="center"/>
                </w:tcPr>
                <w:p>
                  <w:pPr>
                    <w:pStyle w:val="136"/>
                    <w:adjustRightInd w:val="0"/>
                    <w:snapToGrid w:val="0"/>
                  </w:pPr>
                  <w:r>
                    <w:rPr>
                      <w:rFonts w:hint="eastAsia"/>
                    </w:rPr>
                    <w:t>4</w:t>
                  </w:r>
                  <w:r>
                    <w:t>0</w:t>
                  </w:r>
                </w:p>
              </w:tc>
              <w:tc>
                <w:tcPr>
                  <w:tcW w:w="379" w:type="pct"/>
                  <w:vAlign w:val="center"/>
                </w:tcPr>
                <w:p>
                  <w:pPr>
                    <w:pStyle w:val="136"/>
                    <w:adjustRightInd w:val="0"/>
                    <w:snapToGrid w:val="0"/>
                  </w:pPr>
                  <w:r>
                    <w:rPr>
                      <w:rFonts w:hint="eastAsia"/>
                    </w:rPr>
                    <w:t>2</w:t>
                  </w:r>
                  <w:r>
                    <w:t>5</w:t>
                  </w:r>
                </w:p>
              </w:tc>
              <w:tc>
                <w:tcPr>
                  <w:tcW w:w="595" w:type="pct"/>
                  <w:vAlign w:val="center"/>
                </w:tcPr>
                <w:p>
                  <w:pPr>
                    <w:pStyle w:val="136"/>
                    <w:adjustRightInd w:val="0"/>
                    <w:snapToGrid w:val="0"/>
                  </w:pPr>
                  <w:r>
                    <w:t>2.7</w:t>
                  </w:r>
                </w:p>
              </w:tc>
              <w:tc>
                <w:tcPr>
                  <w:tcW w:w="339" w:type="pct"/>
                  <w:vMerge w:val="continue"/>
                  <w:vAlign w:val="center"/>
                </w:tcPr>
                <w:p>
                  <w:pPr>
                    <w:pStyle w:val="136"/>
                    <w:adjustRightInd w:val="0"/>
                    <w:snapToGrid w:val="0"/>
                  </w:pPr>
                </w:p>
              </w:tc>
              <w:tc>
                <w:tcPr>
                  <w:tcW w:w="1083" w:type="pct"/>
                  <w:vAlign w:val="center"/>
                </w:tcPr>
                <w:p>
                  <w:pPr>
                    <w:pStyle w:val="136"/>
                    <w:adjustRightInd w:val="0"/>
                    <w:snapToGrid w:val="0"/>
                  </w:pPr>
                  <w:r>
                    <w:rPr>
                      <w:rFonts w:hint="eastAsia"/>
                    </w:rPr>
                    <w:t>0</w:t>
                  </w:r>
                  <w:r>
                    <w:t>.8</w:t>
                  </w:r>
                </w:p>
              </w:tc>
              <w:tc>
                <w:tcPr>
                  <w:tcW w:w="1552" w:type="pct"/>
                  <w:vMerge w:val="continue"/>
                  <w:vAlign w:val="center"/>
                </w:tcPr>
                <w:p>
                  <w:pPr>
                    <w:pStyle w:val="136"/>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04" w:type="pct"/>
                  <w:vAlign w:val="center"/>
                </w:tcPr>
                <w:p>
                  <w:pPr>
                    <w:pStyle w:val="136"/>
                    <w:adjustRightInd w:val="0"/>
                    <w:snapToGrid w:val="0"/>
                  </w:pPr>
                  <w:r>
                    <w:rPr>
                      <w:rFonts w:hint="eastAsia"/>
                    </w:rPr>
                    <w:t>正己烷</w:t>
                  </w:r>
                </w:p>
              </w:tc>
              <w:tc>
                <w:tcPr>
                  <w:tcW w:w="548" w:type="pct"/>
                  <w:vAlign w:val="center"/>
                </w:tcPr>
                <w:p>
                  <w:pPr>
                    <w:pStyle w:val="136"/>
                    <w:adjustRightInd w:val="0"/>
                    <w:snapToGrid w:val="0"/>
                  </w:pPr>
                  <w:r>
                    <w:rPr>
                      <w:rFonts w:hint="eastAsia"/>
                    </w:rPr>
                    <w:t>4</w:t>
                  </w:r>
                  <w:r>
                    <w:t>0</w:t>
                  </w:r>
                </w:p>
              </w:tc>
              <w:tc>
                <w:tcPr>
                  <w:tcW w:w="379" w:type="pct"/>
                  <w:vAlign w:val="center"/>
                </w:tcPr>
                <w:p>
                  <w:pPr>
                    <w:pStyle w:val="136"/>
                    <w:adjustRightInd w:val="0"/>
                    <w:snapToGrid w:val="0"/>
                  </w:pPr>
                  <w:r>
                    <w:rPr>
                      <w:rFonts w:hint="eastAsia"/>
                    </w:rPr>
                    <w:t>2</w:t>
                  </w:r>
                  <w:r>
                    <w:t>5</w:t>
                  </w:r>
                </w:p>
              </w:tc>
              <w:tc>
                <w:tcPr>
                  <w:tcW w:w="595" w:type="pct"/>
                  <w:vAlign w:val="center"/>
                </w:tcPr>
                <w:p>
                  <w:pPr>
                    <w:pStyle w:val="136"/>
                    <w:adjustRightInd w:val="0"/>
                    <w:snapToGrid w:val="0"/>
                  </w:pPr>
                  <w:r>
                    <w:t>2.7</w:t>
                  </w:r>
                </w:p>
              </w:tc>
              <w:tc>
                <w:tcPr>
                  <w:tcW w:w="339" w:type="pct"/>
                  <w:vMerge w:val="continue"/>
                  <w:vAlign w:val="center"/>
                </w:tcPr>
                <w:p>
                  <w:pPr>
                    <w:pStyle w:val="136"/>
                    <w:adjustRightInd w:val="0"/>
                    <w:snapToGrid w:val="0"/>
                  </w:pPr>
                </w:p>
              </w:tc>
              <w:tc>
                <w:tcPr>
                  <w:tcW w:w="1083" w:type="pct"/>
                  <w:vAlign w:val="center"/>
                </w:tcPr>
                <w:p>
                  <w:pPr>
                    <w:pStyle w:val="136"/>
                    <w:adjustRightInd w:val="0"/>
                    <w:snapToGrid w:val="0"/>
                  </w:pPr>
                  <w:r>
                    <w:rPr>
                      <w:rFonts w:hint="eastAsia"/>
                    </w:rPr>
                    <w:t>0</w:t>
                  </w:r>
                  <w:r>
                    <w:t>.8</w:t>
                  </w:r>
                </w:p>
              </w:tc>
              <w:tc>
                <w:tcPr>
                  <w:tcW w:w="1552" w:type="pct"/>
                  <w:vMerge w:val="continue"/>
                  <w:vAlign w:val="center"/>
                </w:tcPr>
                <w:p>
                  <w:pPr>
                    <w:pStyle w:val="136"/>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04" w:type="pct"/>
                  <w:vAlign w:val="center"/>
                </w:tcPr>
                <w:p>
                  <w:pPr>
                    <w:pStyle w:val="136"/>
                    <w:adjustRightInd w:val="0"/>
                    <w:snapToGrid w:val="0"/>
                  </w:pPr>
                  <w:r>
                    <w:t>氯化氢</w:t>
                  </w:r>
                </w:p>
              </w:tc>
              <w:tc>
                <w:tcPr>
                  <w:tcW w:w="548" w:type="pct"/>
                  <w:vAlign w:val="center"/>
                </w:tcPr>
                <w:p>
                  <w:pPr>
                    <w:pStyle w:val="136"/>
                    <w:adjustRightInd w:val="0"/>
                    <w:snapToGrid w:val="0"/>
                  </w:pPr>
                  <w:r>
                    <w:t>100</w:t>
                  </w:r>
                </w:p>
              </w:tc>
              <w:tc>
                <w:tcPr>
                  <w:tcW w:w="379" w:type="pct"/>
                  <w:vAlign w:val="center"/>
                </w:tcPr>
                <w:p>
                  <w:pPr>
                    <w:pStyle w:val="136"/>
                    <w:adjustRightInd w:val="0"/>
                    <w:snapToGrid w:val="0"/>
                  </w:pPr>
                  <w:r>
                    <w:t>25</w:t>
                  </w:r>
                </w:p>
              </w:tc>
              <w:tc>
                <w:tcPr>
                  <w:tcW w:w="595" w:type="pct"/>
                  <w:vAlign w:val="center"/>
                </w:tcPr>
                <w:p>
                  <w:pPr>
                    <w:pStyle w:val="136"/>
                    <w:adjustRightInd w:val="0"/>
                    <w:snapToGrid w:val="0"/>
                  </w:pPr>
                  <w:r>
                    <w:t>0.46</w:t>
                  </w:r>
                </w:p>
              </w:tc>
              <w:tc>
                <w:tcPr>
                  <w:tcW w:w="339" w:type="pct"/>
                  <w:vMerge w:val="continue"/>
                  <w:vAlign w:val="center"/>
                </w:tcPr>
                <w:p>
                  <w:pPr>
                    <w:pStyle w:val="136"/>
                    <w:adjustRightInd w:val="0"/>
                    <w:snapToGrid w:val="0"/>
                  </w:pPr>
                </w:p>
              </w:tc>
              <w:tc>
                <w:tcPr>
                  <w:tcW w:w="1083" w:type="pct"/>
                  <w:vAlign w:val="center"/>
                </w:tcPr>
                <w:p>
                  <w:pPr>
                    <w:pStyle w:val="136"/>
                    <w:adjustRightInd w:val="0"/>
                    <w:snapToGrid w:val="0"/>
                  </w:pPr>
                  <w:r>
                    <w:t>0.2</w:t>
                  </w:r>
                </w:p>
              </w:tc>
              <w:tc>
                <w:tcPr>
                  <w:tcW w:w="1552" w:type="pct"/>
                  <w:vMerge w:val="restart"/>
                  <w:vAlign w:val="center"/>
                </w:tcPr>
                <w:p>
                  <w:pPr>
                    <w:pStyle w:val="136"/>
                    <w:adjustRightInd w:val="0"/>
                    <w:snapToGrid w:val="0"/>
                  </w:pPr>
                  <w:r>
                    <w:rPr>
                      <w:rFonts w:hint="eastAsia"/>
                    </w:rPr>
                    <w:t>《大气污染物综合排放标准》（GB 16297-1996）表2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04" w:type="pct"/>
                  <w:vAlign w:val="center"/>
                </w:tcPr>
                <w:p>
                  <w:pPr>
                    <w:pStyle w:val="136"/>
                    <w:adjustRightInd w:val="0"/>
                    <w:snapToGrid w:val="0"/>
                  </w:pPr>
                  <w:r>
                    <w:rPr>
                      <w:rFonts w:hint="eastAsia"/>
                    </w:rPr>
                    <w:t>硫酸雾</w:t>
                  </w:r>
                </w:p>
              </w:tc>
              <w:tc>
                <w:tcPr>
                  <w:tcW w:w="548" w:type="pct"/>
                  <w:vAlign w:val="center"/>
                </w:tcPr>
                <w:p>
                  <w:pPr>
                    <w:pStyle w:val="136"/>
                    <w:adjustRightInd w:val="0"/>
                    <w:snapToGrid w:val="0"/>
                  </w:pPr>
                  <w:r>
                    <w:t>45</w:t>
                  </w:r>
                </w:p>
              </w:tc>
              <w:tc>
                <w:tcPr>
                  <w:tcW w:w="379" w:type="pct"/>
                  <w:vAlign w:val="center"/>
                </w:tcPr>
                <w:p>
                  <w:pPr>
                    <w:pStyle w:val="136"/>
                    <w:adjustRightInd w:val="0"/>
                    <w:snapToGrid w:val="0"/>
                  </w:pPr>
                  <w:r>
                    <w:t>25</w:t>
                  </w:r>
                </w:p>
              </w:tc>
              <w:tc>
                <w:tcPr>
                  <w:tcW w:w="595" w:type="pct"/>
                  <w:vAlign w:val="center"/>
                </w:tcPr>
                <w:p>
                  <w:pPr>
                    <w:pStyle w:val="136"/>
                    <w:adjustRightInd w:val="0"/>
                    <w:snapToGrid w:val="0"/>
                  </w:pPr>
                  <w:r>
                    <w:t>2.9</w:t>
                  </w:r>
                </w:p>
              </w:tc>
              <w:tc>
                <w:tcPr>
                  <w:tcW w:w="339" w:type="pct"/>
                  <w:vMerge w:val="continue"/>
                  <w:vAlign w:val="center"/>
                </w:tcPr>
                <w:p>
                  <w:pPr>
                    <w:pStyle w:val="136"/>
                    <w:adjustRightInd w:val="0"/>
                    <w:snapToGrid w:val="0"/>
                  </w:pPr>
                </w:p>
              </w:tc>
              <w:tc>
                <w:tcPr>
                  <w:tcW w:w="1083" w:type="pct"/>
                  <w:vAlign w:val="center"/>
                </w:tcPr>
                <w:p>
                  <w:pPr>
                    <w:pStyle w:val="136"/>
                    <w:adjustRightInd w:val="0"/>
                    <w:snapToGrid w:val="0"/>
                  </w:pPr>
                  <w:r>
                    <w:t>1.2</w:t>
                  </w:r>
                </w:p>
              </w:tc>
              <w:tc>
                <w:tcPr>
                  <w:tcW w:w="1552" w:type="pct"/>
                  <w:vMerge w:val="continue"/>
                  <w:vAlign w:val="center"/>
                </w:tcPr>
                <w:p>
                  <w:pPr>
                    <w:pStyle w:val="136"/>
                    <w:adjustRightInd w:val="0"/>
                    <w:snapToGrid w:val="0"/>
                  </w:pPr>
                </w:p>
              </w:tc>
            </w:tr>
          </w:tbl>
          <w:p>
            <w:pPr>
              <w:pStyle w:val="157"/>
              <w:jc w:val="both"/>
            </w:pPr>
            <w:r>
              <w:rPr>
                <w:rFonts w:hint="eastAsia"/>
              </w:rPr>
              <w:t>注：由于本项目排气筒周边2</w:t>
            </w:r>
            <w:r>
              <w:t>00</w:t>
            </w:r>
            <w:r>
              <w:rPr>
                <w:rFonts w:hint="eastAsia"/>
              </w:rPr>
              <w:t>m建筑物高度高于排口高度，本次评价废气排放速率限值采用内插法计算值，并严格5</w:t>
            </w:r>
            <w:r>
              <w:t>0</w:t>
            </w:r>
            <w:r>
              <w:rPr>
                <w:rFonts w:hint="eastAsia"/>
              </w:rPr>
              <w:t>%执行。</w:t>
            </w:r>
          </w:p>
          <w:p>
            <w:pPr>
              <w:pStyle w:val="158"/>
              <w:adjustRightInd w:val="0"/>
              <w:snapToGrid w:val="0"/>
            </w:pPr>
            <w:r>
              <w:t>3、噪声排放标准</w:t>
            </w:r>
          </w:p>
          <w:p>
            <w:pPr>
              <w:adjustRightInd w:val="0"/>
              <w:snapToGrid w:val="0"/>
              <w:ind w:firstLine="480"/>
            </w:pPr>
            <w:r>
              <w:t>施工期执行《</w:t>
            </w:r>
            <w:r>
              <w:rPr>
                <w:rFonts w:hint="eastAsia"/>
                <w:lang w:eastAsia="zh-CN"/>
              </w:rPr>
              <w:t>建筑施工场界环境噪声排放标准</w:t>
            </w:r>
            <w:r>
              <w:t>》（GB12523-2011）有关标准；</w:t>
            </w:r>
            <w:r>
              <w:rPr>
                <w:rFonts w:hint="eastAsia"/>
              </w:rPr>
              <w:t>根据《关于印发巴中市城区噪声功能区调整划分方案的通知》（巴府办发〔</w:t>
            </w:r>
            <w:r>
              <w:t>2019</w:t>
            </w:r>
            <w:r>
              <w:rPr>
                <w:rFonts w:hint="eastAsia"/>
              </w:rPr>
              <w:t>〕</w:t>
            </w:r>
            <w:r>
              <w:t>2</w:t>
            </w:r>
            <w:r>
              <w:rPr>
                <w:rFonts w:hint="eastAsia"/>
              </w:rPr>
              <w:t>号），本项目位于</w:t>
            </w:r>
            <w:r>
              <w:t>2</w:t>
            </w:r>
            <w:r>
              <w:rPr>
                <w:rFonts w:hint="eastAsia"/>
              </w:rPr>
              <w:t>类声功能区。</w:t>
            </w:r>
            <w:r>
              <w:t>运营期厂界噪声执行《工业企业厂界环境噪声排放标准》（GB12348-2008）2类区标准。具体见下表：</w:t>
            </w:r>
          </w:p>
          <w:p>
            <w:pPr>
              <w:pStyle w:val="157"/>
              <w:keepNext/>
            </w:pPr>
            <w:r>
              <w:t>表3-9  噪声排放标准</w:t>
            </w:r>
          </w:p>
          <w:tbl>
            <w:tblPr>
              <w:tblStyle w:val="19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030"/>
              <w:gridCol w:w="2030"/>
              <w:gridCol w:w="2031"/>
              <w:gridCol w:w="20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250" w:type="pct"/>
                  <w:vAlign w:val="center"/>
                </w:tcPr>
                <w:p>
                  <w:pPr>
                    <w:pStyle w:val="136"/>
                    <w:adjustRightInd w:val="0"/>
                    <w:snapToGrid w:val="0"/>
                    <w:rPr>
                      <w:rFonts w:cs="Times New Roman"/>
                      <w:b/>
                    </w:rPr>
                  </w:pPr>
                  <w:r>
                    <w:rPr>
                      <w:rFonts w:cs="Times New Roman"/>
                      <w:b/>
                    </w:rPr>
                    <w:t>类别</w:t>
                  </w:r>
                </w:p>
              </w:tc>
              <w:tc>
                <w:tcPr>
                  <w:tcW w:w="1250" w:type="pct"/>
                  <w:vAlign w:val="center"/>
                </w:tcPr>
                <w:p>
                  <w:pPr>
                    <w:pStyle w:val="136"/>
                    <w:adjustRightInd w:val="0"/>
                    <w:snapToGrid w:val="0"/>
                    <w:rPr>
                      <w:rFonts w:cs="Times New Roman"/>
                      <w:b/>
                    </w:rPr>
                  </w:pPr>
                  <w:r>
                    <w:rPr>
                      <w:rFonts w:cs="Times New Roman"/>
                      <w:b/>
                    </w:rPr>
                    <w:t>时段</w:t>
                  </w:r>
                </w:p>
              </w:tc>
              <w:tc>
                <w:tcPr>
                  <w:tcW w:w="1250" w:type="pct"/>
                  <w:vAlign w:val="center"/>
                </w:tcPr>
                <w:p>
                  <w:pPr>
                    <w:pStyle w:val="136"/>
                    <w:adjustRightInd w:val="0"/>
                    <w:snapToGrid w:val="0"/>
                    <w:rPr>
                      <w:rFonts w:cs="Times New Roman"/>
                      <w:b/>
                    </w:rPr>
                  </w:pPr>
                  <w:r>
                    <w:rPr>
                      <w:rFonts w:cs="Times New Roman"/>
                      <w:b/>
                    </w:rPr>
                    <w:t>标准限值</w:t>
                  </w:r>
                </w:p>
              </w:tc>
              <w:tc>
                <w:tcPr>
                  <w:tcW w:w="1250" w:type="pct"/>
                  <w:vAlign w:val="center"/>
                </w:tcPr>
                <w:p>
                  <w:pPr>
                    <w:pStyle w:val="136"/>
                    <w:adjustRightInd w:val="0"/>
                    <w:snapToGrid w:val="0"/>
                    <w:rPr>
                      <w:rFonts w:cs="Times New Roman"/>
                      <w:b/>
                    </w:rPr>
                  </w:pPr>
                  <w:r>
                    <w:rPr>
                      <w:rFonts w:cs="Times New Roman"/>
                      <w:b/>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250" w:type="pct"/>
                  <w:vMerge w:val="restart"/>
                  <w:vAlign w:val="center"/>
                </w:tcPr>
                <w:p>
                  <w:pPr>
                    <w:pStyle w:val="136"/>
                    <w:adjustRightInd w:val="0"/>
                    <w:snapToGrid w:val="0"/>
                    <w:rPr>
                      <w:rFonts w:cs="Times New Roman"/>
                    </w:rPr>
                  </w:pPr>
                  <w:r>
                    <w:rPr>
                      <w:rFonts w:cs="Times New Roman"/>
                    </w:rPr>
                    <w:t>施工期</w:t>
                  </w:r>
                </w:p>
              </w:tc>
              <w:tc>
                <w:tcPr>
                  <w:tcW w:w="1250" w:type="pct"/>
                  <w:vAlign w:val="center"/>
                </w:tcPr>
                <w:p>
                  <w:pPr>
                    <w:pStyle w:val="136"/>
                    <w:adjustRightInd w:val="0"/>
                    <w:snapToGrid w:val="0"/>
                    <w:rPr>
                      <w:rFonts w:cs="Times New Roman"/>
                    </w:rPr>
                  </w:pPr>
                  <w:r>
                    <w:rPr>
                      <w:rFonts w:cs="Times New Roman"/>
                    </w:rPr>
                    <w:t>昼间</w:t>
                  </w:r>
                </w:p>
              </w:tc>
              <w:tc>
                <w:tcPr>
                  <w:tcW w:w="1250" w:type="pct"/>
                  <w:vAlign w:val="center"/>
                </w:tcPr>
                <w:p>
                  <w:pPr>
                    <w:pStyle w:val="136"/>
                    <w:adjustRightInd w:val="0"/>
                    <w:snapToGrid w:val="0"/>
                    <w:rPr>
                      <w:rFonts w:cs="Times New Roman"/>
                    </w:rPr>
                  </w:pPr>
                  <w:r>
                    <w:rPr>
                      <w:rFonts w:cs="Times New Roman"/>
                    </w:rPr>
                    <w:t>75dB（A）</w:t>
                  </w:r>
                </w:p>
              </w:tc>
              <w:tc>
                <w:tcPr>
                  <w:tcW w:w="1250" w:type="pct"/>
                  <w:vMerge w:val="restart"/>
                  <w:vAlign w:val="center"/>
                </w:tcPr>
                <w:p>
                  <w:pPr>
                    <w:pStyle w:val="136"/>
                    <w:adjustRightInd w:val="0"/>
                    <w:snapToGrid w:val="0"/>
                    <w:rPr>
                      <w:rFonts w:cs="Times New Roman"/>
                    </w:rPr>
                  </w:pPr>
                  <w:r>
                    <w:rPr>
                      <w:rFonts w:cs="Times New Roman"/>
                    </w:rPr>
                    <w:t>（GB12523-2011）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250" w:type="pct"/>
                  <w:vMerge w:val="continue"/>
                  <w:vAlign w:val="center"/>
                </w:tcPr>
                <w:p>
                  <w:pPr>
                    <w:pStyle w:val="136"/>
                    <w:adjustRightInd w:val="0"/>
                    <w:snapToGrid w:val="0"/>
                    <w:rPr>
                      <w:rFonts w:cs="Times New Roman"/>
                    </w:rPr>
                  </w:pPr>
                </w:p>
              </w:tc>
              <w:tc>
                <w:tcPr>
                  <w:tcW w:w="1250" w:type="pct"/>
                  <w:vAlign w:val="center"/>
                </w:tcPr>
                <w:p>
                  <w:pPr>
                    <w:pStyle w:val="136"/>
                    <w:adjustRightInd w:val="0"/>
                    <w:snapToGrid w:val="0"/>
                    <w:rPr>
                      <w:rFonts w:cs="Times New Roman"/>
                    </w:rPr>
                  </w:pPr>
                  <w:r>
                    <w:rPr>
                      <w:rFonts w:cs="Times New Roman"/>
                    </w:rPr>
                    <w:t>夜间</w:t>
                  </w:r>
                </w:p>
              </w:tc>
              <w:tc>
                <w:tcPr>
                  <w:tcW w:w="1250" w:type="pct"/>
                  <w:vAlign w:val="center"/>
                </w:tcPr>
                <w:p>
                  <w:pPr>
                    <w:pStyle w:val="136"/>
                    <w:adjustRightInd w:val="0"/>
                    <w:snapToGrid w:val="0"/>
                    <w:rPr>
                      <w:rFonts w:cs="Times New Roman"/>
                    </w:rPr>
                  </w:pPr>
                  <w:r>
                    <w:rPr>
                      <w:rFonts w:cs="Times New Roman"/>
                    </w:rPr>
                    <w:t>55dB（A）</w:t>
                  </w:r>
                </w:p>
              </w:tc>
              <w:tc>
                <w:tcPr>
                  <w:tcW w:w="1250" w:type="pct"/>
                  <w:vMerge w:val="continue"/>
                  <w:vAlign w:val="center"/>
                </w:tcPr>
                <w:p>
                  <w:pPr>
                    <w:pStyle w:val="136"/>
                    <w:adjustRightInd w:val="0"/>
                    <w:snapToGrid w:val="0"/>
                    <w:rPr>
                      <w:rFonts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250" w:type="pct"/>
                  <w:vMerge w:val="restart"/>
                  <w:vAlign w:val="center"/>
                </w:tcPr>
                <w:p>
                  <w:pPr>
                    <w:pStyle w:val="136"/>
                    <w:adjustRightInd w:val="0"/>
                    <w:snapToGrid w:val="0"/>
                    <w:rPr>
                      <w:rFonts w:cs="Times New Roman"/>
                    </w:rPr>
                  </w:pPr>
                  <w:r>
                    <w:rPr>
                      <w:rFonts w:cs="Times New Roman"/>
                    </w:rPr>
                    <w:t>运营期</w:t>
                  </w:r>
                </w:p>
              </w:tc>
              <w:tc>
                <w:tcPr>
                  <w:tcW w:w="1250" w:type="pct"/>
                  <w:vAlign w:val="center"/>
                </w:tcPr>
                <w:p>
                  <w:pPr>
                    <w:pStyle w:val="136"/>
                    <w:adjustRightInd w:val="0"/>
                    <w:snapToGrid w:val="0"/>
                    <w:rPr>
                      <w:rFonts w:cs="Times New Roman"/>
                    </w:rPr>
                  </w:pPr>
                  <w:r>
                    <w:rPr>
                      <w:rFonts w:cs="Times New Roman"/>
                    </w:rPr>
                    <w:t>昼间</w:t>
                  </w:r>
                </w:p>
              </w:tc>
              <w:tc>
                <w:tcPr>
                  <w:tcW w:w="1250" w:type="pct"/>
                  <w:vAlign w:val="center"/>
                </w:tcPr>
                <w:p>
                  <w:pPr>
                    <w:pStyle w:val="136"/>
                    <w:adjustRightInd w:val="0"/>
                    <w:snapToGrid w:val="0"/>
                    <w:rPr>
                      <w:rFonts w:cs="Times New Roman"/>
                    </w:rPr>
                  </w:pPr>
                  <w:r>
                    <w:rPr>
                      <w:rFonts w:cs="Times New Roman"/>
                    </w:rPr>
                    <w:t>60dB（A）</w:t>
                  </w:r>
                </w:p>
              </w:tc>
              <w:tc>
                <w:tcPr>
                  <w:tcW w:w="1250" w:type="pct"/>
                  <w:vMerge w:val="restart"/>
                  <w:vAlign w:val="center"/>
                </w:tcPr>
                <w:p>
                  <w:pPr>
                    <w:pStyle w:val="136"/>
                    <w:adjustRightInd w:val="0"/>
                    <w:snapToGrid w:val="0"/>
                    <w:rPr>
                      <w:rFonts w:cs="Times New Roman"/>
                    </w:rPr>
                  </w:pPr>
                  <w:r>
                    <w:rPr>
                      <w:rFonts w:cs="Times New Roman"/>
                    </w:rPr>
                    <w:t>（GB12348-2008）</w:t>
                  </w:r>
                </w:p>
                <w:p>
                  <w:pPr>
                    <w:pStyle w:val="136"/>
                    <w:adjustRightInd w:val="0"/>
                    <w:snapToGrid w:val="0"/>
                    <w:rPr>
                      <w:rFonts w:cs="Times New Roman"/>
                    </w:rPr>
                  </w:pPr>
                  <w:r>
                    <w:rPr>
                      <w:rFonts w:cs="Times New Roman"/>
                    </w:rPr>
                    <w:t>2类区标准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250" w:type="pct"/>
                  <w:vMerge w:val="continue"/>
                  <w:vAlign w:val="center"/>
                </w:tcPr>
                <w:p>
                  <w:pPr>
                    <w:pStyle w:val="136"/>
                    <w:adjustRightInd w:val="0"/>
                    <w:snapToGrid w:val="0"/>
                    <w:rPr>
                      <w:rFonts w:cs="Times New Roman"/>
                    </w:rPr>
                  </w:pPr>
                </w:p>
              </w:tc>
              <w:tc>
                <w:tcPr>
                  <w:tcW w:w="1250" w:type="pct"/>
                  <w:vAlign w:val="center"/>
                </w:tcPr>
                <w:p>
                  <w:pPr>
                    <w:pStyle w:val="136"/>
                    <w:adjustRightInd w:val="0"/>
                    <w:snapToGrid w:val="0"/>
                    <w:rPr>
                      <w:rFonts w:cs="Times New Roman"/>
                    </w:rPr>
                  </w:pPr>
                  <w:r>
                    <w:rPr>
                      <w:rFonts w:cs="Times New Roman"/>
                    </w:rPr>
                    <w:t>夜间</w:t>
                  </w:r>
                </w:p>
              </w:tc>
              <w:tc>
                <w:tcPr>
                  <w:tcW w:w="1250" w:type="pct"/>
                  <w:vAlign w:val="center"/>
                </w:tcPr>
                <w:p>
                  <w:pPr>
                    <w:pStyle w:val="136"/>
                    <w:adjustRightInd w:val="0"/>
                    <w:snapToGrid w:val="0"/>
                    <w:rPr>
                      <w:rFonts w:cs="Times New Roman"/>
                    </w:rPr>
                  </w:pPr>
                  <w:r>
                    <w:rPr>
                      <w:rFonts w:cs="Times New Roman"/>
                    </w:rPr>
                    <w:t>50 dB（A）</w:t>
                  </w:r>
                </w:p>
              </w:tc>
              <w:tc>
                <w:tcPr>
                  <w:tcW w:w="1250" w:type="pct"/>
                  <w:vMerge w:val="continue"/>
                  <w:vAlign w:val="center"/>
                </w:tcPr>
                <w:p>
                  <w:pPr>
                    <w:pStyle w:val="136"/>
                    <w:adjustRightInd w:val="0"/>
                    <w:snapToGrid w:val="0"/>
                    <w:rPr>
                      <w:rFonts w:cs="Times New Roman"/>
                    </w:rPr>
                  </w:pPr>
                </w:p>
              </w:tc>
            </w:tr>
          </w:tbl>
          <w:p>
            <w:pPr>
              <w:pStyle w:val="158"/>
              <w:adjustRightInd w:val="0"/>
              <w:snapToGrid w:val="0"/>
            </w:pPr>
            <w:r>
              <w:t>4、固体废弃物排放标准</w:t>
            </w:r>
          </w:p>
          <w:p>
            <w:pPr>
              <w:adjustRightInd w:val="0"/>
              <w:snapToGrid w:val="0"/>
              <w:ind w:firstLine="480"/>
            </w:pPr>
            <w:r>
              <w:rPr>
                <w:rFonts w:hint="eastAsia"/>
              </w:rPr>
              <w:t>一般固体废物管理参照执行《中华人民共和国固体废物污染环境防治法》（2020年4月29日修订）相关要求，一般固体废物贮存应满足防渗漏、防风雨、防扬尘等环保要求，对固体废物进行综合利用或集中处置；危险废物管理执行《国家危险废物名录》（2021版）、《危险废物贮存污染控制标准》（GB18597-2023）、《危险废物管理计划和管理台账制定技术导则》（</w:t>
            </w:r>
            <w:r>
              <w:t>HJ1259-2022</w:t>
            </w:r>
            <w:r>
              <w:rPr>
                <w:rFonts w:hint="eastAsia"/>
              </w:rPr>
              <w:t>）、《危险废物识别标志设置技术规范》（</w:t>
            </w:r>
            <w:r>
              <w:t>HJ1276-2022</w:t>
            </w:r>
            <w:r>
              <w:rPr>
                <w:rFonts w:hint="eastAsia"/>
              </w:rPr>
              <w:t>）中相关要求。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 w:hRule="atLeast"/>
          <w:jc w:val="center"/>
        </w:trPr>
        <w:tc>
          <w:tcPr>
            <w:tcW w:w="294" w:type="dxa"/>
            <w:vAlign w:val="center"/>
          </w:tcPr>
          <w:p>
            <w:pPr>
              <w:adjustRightInd w:val="0"/>
              <w:snapToGrid w:val="0"/>
              <w:ind w:firstLine="0" w:firstLineChars="0"/>
              <w:jc w:val="center"/>
              <w:rPr>
                <w:kern w:val="0"/>
                <w:szCs w:val="21"/>
              </w:rPr>
            </w:pPr>
            <w:r>
              <w:rPr>
                <w:kern w:val="0"/>
                <w:szCs w:val="21"/>
              </w:rPr>
              <w:t>总量控制指标</w:t>
            </w:r>
          </w:p>
        </w:tc>
        <w:tc>
          <w:tcPr>
            <w:tcW w:w="8137" w:type="dxa"/>
            <w:vAlign w:val="center"/>
          </w:tcPr>
          <w:p>
            <w:pPr>
              <w:pStyle w:val="158"/>
              <w:adjustRightInd w:val="0"/>
              <w:snapToGrid w:val="0"/>
            </w:pPr>
            <w:r>
              <w:t>1、废水总量指标</w:t>
            </w:r>
          </w:p>
          <w:p>
            <w:pPr>
              <w:ind w:firstLine="480"/>
            </w:pPr>
            <w:r>
              <w:rPr>
                <w:rFonts w:hint="eastAsia"/>
              </w:rPr>
              <w:t>本项目生活污水和实验室废水经处理后均排入巴中经开区污水处理厂，废水经巴中经开区污水处理厂处理达《</w:t>
            </w:r>
            <w:r>
              <w:t>城镇污水处理厂污染物排放标准》（GB18918-2002）中的一级A标准后排入巴河</w:t>
            </w:r>
            <w:r>
              <w:rPr>
                <w:rFonts w:hint="eastAsia"/>
              </w:rPr>
              <w:t>。</w:t>
            </w:r>
          </w:p>
          <w:p>
            <w:pPr>
              <w:ind w:firstLine="482"/>
              <w:rPr>
                <w:b/>
                <w:bCs/>
              </w:rPr>
            </w:pPr>
            <w:r>
              <w:rPr>
                <w:rFonts w:hint="eastAsia"/>
                <w:b/>
                <w:bCs/>
              </w:rPr>
              <w:t>排入巴中经开区污水处理厂总量指标：</w:t>
            </w:r>
          </w:p>
          <w:p>
            <w:pPr>
              <w:ind w:firstLine="480"/>
            </w:pPr>
            <w:r>
              <w:rPr>
                <w:rFonts w:hint="eastAsia"/>
              </w:rPr>
              <w:t>COD</w:t>
            </w:r>
            <w:r>
              <w:rPr>
                <w:rFonts w:hint="eastAsia"/>
                <w:vertAlign w:val="subscript"/>
              </w:rPr>
              <w:t>Cr</w:t>
            </w:r>
            <w:r>
              <w:t xml:space="preserve"> =203.32m</w:t>
            </w:r>
            <w:r>
              <w:rPr>
                <w:vertAlign w:val="superscript"/>
              </w:rPr>
              <w:t>3</w:t>
            </w:r>
            <w:r>
              <w:t>/a×500mg/L×10</w:t>
            </w:r>
            <w:r>
              <w:rPr>
                <w:rFonts w:hint="eastAsia"/>
                <w:vertAlign w:val="superscript"/>
              </w:rPr>
              <w:t>-</w:t>
            </w:r>
            <w:r>
              <w:rPr>
                <w:vertAlign w:val="superscript"/>
              </w:rPr>
              <w:t>6</w:t>
            </w:r>
            <w:r>
              <w:rPr>
                <w:rFonts w:hint="eastAsia"/>
              </w:rPr>
              <w:t>=</w:t>
            </w:r>
            <w:r>
              <w:t>0.102t/a；</w:t>
            </w:r>
          </w:p>
          <w:p>
            <w:pPr>
              <w:ind w:firstLine="480"/>
            </w:pPr>
            <w:r>
              <w:t>NH</w:t>
            </w:r>
            <w:r>
              <w:rPr>
                <w:vertAlign w:val="subscript"/>
              </w:rPr>
              <w:t>3</w:t>
            </w:r>
            <w:r>
              <w:t>-N=203.32m</w:t>
            </w:r>
            <w:r>
              <w:rPr>
                <w:vertAlign w:val="superscript"/>
              </w:rPr>
              <w:t>3</w:t>
            </w:r>
            <w:r>
              <w:t>/a×45mg/L×10</w:t>
            </w:r>
            <w:r>
              <w:rPr>
                <w:rFonts w:hint="eastAsia"/>
                <w:vertAlign w:val="superscript"/>
              </w:rPr>
              <w:t>-</w:t>
            </w:r>
            <w:r>
              <w:rPr>
                <w:vertAlign w:val="superscript"/>
              </w:rPr>
              <w:t>6</w:t>
            </w:r>
            <w:r>
              <w:rPr>
                <w:rFonts w:hint="eastAsia"/>
              </w:rPr>
              <w:t>=</w:t>
            </w:r>
            <w:r>
              <w:t>0.009t/a；</w:t>
            </w:r>
          </w:p>
          <w:p>
            <w:pPr>
              <w:ind w:firstLine="480"/>
            </w:pPr>
            <w:r>
              <w:rPr>
                <w:rFonts w:hint="eastAsia"/>
              </w:rPr>
              <w:t>TP=</w:t>
            </w:r>
            <w:r>
              <w:t>203.32m</w:t>
            </w:r>
            <w:r>
              <w:rPr>
                <w:vertAlign w:val="superscript"/>
              </w:rPr>
              <w:t>3</w:t>
            </w:r>
            <w:r>
              <w:t>/a×8mg/L×10</w:t>
            </w:r>
            <w:r>
              <w:rPr>
                <w:rFonts w:hint="eastAsia"/>
                <w:vertAlign w:val="superscript"/>
              </w:rPr>
              <w:t>-</w:t>
            </w:r>
            <w:r>
              <w:rPr>
                <w:vertAlign w:val="superscript"/>
              </w:rPr>
              <w:t>6</w:t>
            </w:r>
            <w:r>
              <w:rPr>
                <w:rFonts w:hint="eastAsia"/>
              </w:rPr>
              <w:t>=</w:t>
            </w:r>
            <w:r>
              <w:t>0.001t/a；</w:t>
            </w:r>
          </w:p>
          <w:p>
            <w:pPr>
              <w:ind w:firstLine="482"/>
              <w:rPr>
                <w:b/>
                <w:bCs/>
              </w:rPr>
            </w:pPr>
            <w:r>
              <w:rPr>
                <w:rFonts w:hint="eastAsia"/>
                <w:b/>
                <w:bCs/>
              </w:rPr>
              <w:t>排入巴河总量指标：</w:t>
            </w:r>
          </w:p>
          <w:p>
            <w:pPr>
              <w:ind w:firstLine="480"/>
            </w:pPr>
            <w:r>
              <w:rPr>
                <w:rFonts w:hint="eastAsia"/>
              </w:rPr>
              <w:t>COD</w:t>
            </w:r>
            <w:r>
              <w:rPr>
                <w:rFonts w:hint="eastAsia"/>
                <w:vertAlign w:val="subscript"/>
              </w:rPr>
              <w:t>Cr</w:t>
            </w:r>
            <w:r>
              <w:t xml:space="preserve"> =203.32m</w:t>
            </w:r>
            <w:r>
              <w:rPr>
                <w:vertAlign w:val="superscript"/>
              </w:rPr>
              <w:t>3</w:t>
            </w:r>
            <w:r>
              <w:t>/a×50mg/L×10</w:t>
            </w:r>
            <w:r>
              <w:rPr>
                <w:rFonts w:hint="eastAsia"/>
                <w:vertAlign w:val="superscript"/>
              </w:rPr>
              <w:t>-</w:t>
            </w:r>
            <w:r>
              <w:rPr>
                <w:vertAlign w:val="superscript"/>
              </w:rPr>
              <w:t>6</w:t>
            </w:r>
            <w:r>
              <w:rPr>
                <w:rFonts w:hint="eastAsia"/>
              </w:rPr>
              <w:t>=</w:t>
            </w:r>
            <w:r>
              <w:t>0.010t/a；</w:t>
            </w:r>
          </w:p>
          <w:p>
            <w:pPr>
              <w:ind w:firstLine="480"/>
            </w:pPr>
            <w:r>
              <w:t>NH</w:t>
            </w:r>
            <w:r>
              <w:rPr>
                <w:vertAlign w:val="subscript"/>
              </w:rPr>
              <w:t>3</w:t>
            </w:r>
            <w:r>
              <w:t>-N=203.32m</w:t>
            </w:r>
            <w:r>
              <w:rPr>
                <w:vertAlign w:val="superscript"/>
              </w:rPr>
              <w:t>3</w:t>
            </w:r>
            <w:r>
              <w:t>/a×5mg/L×10</w:t>
            </w:r>
            <w:r>
              <w:rPr>
                <w:rFonts w:hint="eastAsia"/>
                <w:vertAlign w:val="superscript"/>
              </w:rPr>
              <w:t>-</w:t>
            </w:r>
            <w:r>
              <w:rPr>
                <w:vertAlign w:val="superscript"/>
              </w:rPr>
              <w:t>6</w:t>
            </w:r>
            <w:r>
              <w:rPr>
                <w:rFonts w:hint="eastAsia"/>
              </w:rPr>
              <w:t>=</w:t>
            </w:r>
            <w:r>
              <w:t>0.002t/a；</w:t>
            </w:r>
          </w:p>
          <w:p>
            <w:pPr>
              <w:ind w:firstLine="480"/>
            </w:pPr>
            <w:r>
              <w:rPr>
                <w:rFonts w:hint="eastAsia"/>
              </w:rPr>
              <w:t>TP=</w:t>
            </w:r>
            <w:r>
              <w:t>203.32m</w:t>
            </w:r>
            <w:r>
              <w:rPr>
                <w:vertAlign w:val="superscript"/>
              </w:rPr>
              <w:t>3</w:t>
            </w:r>
            <w:r>
              <w:t>/a×0.5mg/L×10</w:t>
            </w:r>
            <w:r>
              <w:rPr>
                <w:rFonts w:hint="eastAsia"/>
                <w:vertAlign w:val="superscript"/>
              </w:rPr>
              <w:t>-</w:t>
            </w:r>
            <w:r>
              <w:rPr>
                <w:vertAlign w:val="superscript"/>
              </w:rPr>
              <w:t>6</w:t>
            </w:r>
            <w:r>
              <w:rPr>
                <w:rFonts w:hint="eastAsia"/>
              </w:rPr>
              <w:t>=</w:t>
            </w:r>
            <w:r>
              <w:t>0.0001t/a；</w:t>
            </w:r>
          </w:p>
          <w:p>
            <w:pPr>
              <w:pStyle w:val="158"/>
            </w:pPr>
            <w:r>
              <w:t>2、废气总量指标</w:t>
            </w:r>
          </w:p>
          <w:p>
            <w:pPr>
              <w:adjustRightInd w:val="0"/>
              <w:snapToGrid w:val="0"/>
              <w:ind w:firstLine="480"/>
            </w:pPr>
            <w:r>
              <w:rPr>
                <w:rFonts w:hint="eastAsia"/>
              </w:rPr>
              <w:t>根据工程分析，本项目总量控制指标的污染物为VOCs，根据计算本项目VOCs总量控制指标为</w:t>
            </w:r>
            <w:r>
              <w:t>1.423</w:t>
            </w:r>
            <w:r>
              <w:rPr>
                <w:rFonts w:hint="eastAsia"/>
              </w:rPr>
              <w:t>kg</w:t>
            </w:r>
            <w:r>
              <w:t>/</w:t>
            </w:r>
            <w:r>
              <w:rPr>
                <w:rFonts w:hint="eastAsia"/>
              </w:rPr>
              <w:t>a。</w:t>
            </w:r>
          </w:p>
        </w:tc>
      </w:tr>
    </w:tbl>
    <w:p>
      <w:pPr>
        <w:ind w:firstLine="480"/>
        <w:rPr>
          <w:snapToGrid w:val="0"/>
        </w:rPr>
        <w:sectPr>
          <w:pgSz w:w="11907" w:h="16840"/>
          <w:pgMar w:top="1418" w:right="1701" w:bottom="2127" w:left="1701" w:header="851" w:footer="851" w:gutter="0"/>
          <w:pgNumType w:fmt="numberInDash"/>
          <w:cols w:space="720" w:num="1"/>
          <w:docGrid w:linePitch="312" w:charSpace="0"/>
        </w:sectPr>
      </w:pPr>
    </w:p>
    <w:p>
      <w:pPr>
        <w:pStyle w:val="29"/>
        <w:spacing w:before="0" w:beforeAutospacing="0" w:after="0" w:afterAutospacing="0" w:line="240" w:lineRule="auto"/>
        <w:ind w:firstLine="0" w:firstLineChars="0"/>
        <w:outlineLvl w:val="0"/>
        <w:rPr>
          <w:rFonts w:cs="宋体"/>
          <w:b/>
          <w:bCs/>
          <w:snapToGrid w:val="0"/>
          <w:sz w:val="30"/>
          <w:szCs w:val="30"/>
        </w:rPr>
      </w:pPr>
      <w:r>
        <w:rPr>
          <w:rFonts w:cs="宋体"/>
          <w:b/>
          <w:bCs/>
          <w:snapToGrid w:val="0"/>
          <w:sz w:val="30"/>
          <w:szCs w:val="30"/>
        </w:rPr>
        <w:t>四、主要环境影响和保护措施</w:t>
      </w:r>
      <w:bookmarkEnd w:id="6"/>
    </w:p>
    <w:tbl>
      <w:tblPr>
        <w:tblStyle w:val="34"/>
        <w:tblW w:w="84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9"/>
        <w:gridCol w:w="8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9" w:type="dxa"/>
          </w:tcPr>
          <w:p>
            <w:pPr>
              <w:pStyle w:val="29"/>
              <w:adjustRightInd w:val="0"/>
              <w:snapToGrid w:val="0"/>
              <w:spacing w:before="0" w:beforeAutospacing="0" w:after="0" w:afterAutospacing="0"/>
              <w:ind w:firstLine="0" w:firstLineChars="0"/>
              <w:jc w:val="center"/>
              <w:rPr>
                <w:rFonts w:ascii="Times New Roman" w:hAnsi="Times New Roman"/>
                <w:bCs/>
                <w:kern w:val="2"/>
                <w:sz w:val="21"/>
                <w:szCs w:val="21"/>
              </w:rPr>
            </w:pPr>
            <w:r>
              <w:rPr>
                <w:rFonts w:ascii="Times New Roman" w:hAnsi="Times New Roman"/>
                <w:kern w:val="2"/>
                <w:sz w:val="21"/>
                <w:szCs w:val="21"/>
              </w:rPr>
              <w:t>施工期环境保护措施</w:t>
            </w:r>
          </w:p>
        </w:tc>
        <w:tc>
          <w:tcPr>
            <w:tcW w:w="8166" w:type="dxa"/>
          </w:tcPr>
          <w:p>
            <w:pPr>
              <w:pStyle w:val="158"/>
            </w:pPr>
            <w:r>
              <w:t>一、施工期主要污染物</w:t>
            </w:r>
            <w:r>
              <w:rPr>
                <w:rFonts w:hint="eastAsia"/>
              </w:rPr>
              <w:t>产生情况</w:t>
            </w:r>
          </w:p>
          <w:p>
            <w:pPr>
              <w:ind w:firstLine="480"/>
            </w:pPr>
            <w:r>
              <w:rPr>
                <w:rFonts w:hint="eastAsia"/>
              </w:rPr>
              <w:t>本项目在现有项目预留房间内建设，本次施工期间仅涉及实验室装修、设备安装，不涉及基础开挖、土石方工程。</w:t>
            </w:r>
          </w:p>
          <w:p>
            <w:pPr>
              <w:ind w:firstLine="480"/>
            </w:pPr>
            <w:r>
              <w:rPr>
                <w:rFonts w:hint="eastAsia"/>
              </w:rPr>
              <w:t>1、施工期废气排放</w:t>
            </w:r>
          </w:p>
          <w:p>
            <w:pPr>
              <w:ind w:firstLine="480"/>
            </w:pPr>
            <w:r>
              <w:rPr>
                <w:rFonts w:hint="eastAsia"/>
              </w:rPr>
              <w:t>本项目施工期不涉及基础开挖、土石方工程，施工期废气主要为实验室装修过程产生的装修废气。</w:t>
            </w:r>
          </w:p>
          <w:p>
            <w:pPr>
              <w:ind w:firstLine="480"/>
            </w:pPr>
            <w:r>
              <w:rPr>
                <w:rFonts w:hint="eastAsia"/>
              </w:rPr>
              <w:t>2、施工期废水排放</w:t>
            </w:r>
          </w:p>
          <w:p>
            <w:pPr>
              <w:ind w:firstLine="480"/>
            </w:pPr>
            <w:r>
              <w:rPr>
                <w:rFonts w:hint="eastAsia"/>
              </w:rPr>
              <w:t>施工期废水主要为设备安装、调试人员的生活污水。施工期工人生活污水依托预处理池处理达到满足《污水综合排放标准》（GB</w:t>
            </w:r>
            <w:r>
              <w:t>8978-1996</w:t>
            </w:r>
            <w:r>
              <w:rPr>
                <w:rFonts w:hint="eastAsia"/>
              </w:rPr>
              <w:t>）三级标准后，排入市政污水管网，经巴中经开区污水处理厂处理达标后排入巴河，对周围地表水环境影响较小。</w:t>
            </w:r>
          </w:p>
          <w:p>
            <w:pPr>
              <w:ind w:firstLine="480"/>
            </w:pPr>
            <w:r>
              <w:rPr>
                <w:rFonts w:hint="eastAsia"/>
              </w:rPr>
              <w:t>3、施工期噪声排放</w:t>
            </w:r>
          </w:p>
          <w:p>
            <w:pPr>
              <w:ind w:firstLine="480"/>
            </w:pPr>
            <w:r>
              <w:rPr>
                <w:rFonts w:hint="eastAsia"/>
              </w:rPr>
              <w:t>项目施工期不涉及基础开挖、土石方工程，噪声源主要为装修和设备安装过程的电动螺丝刀、电钻等设备产生的噪声。</w:t>
            </w:r>
          </w:p>
          <w:p>
            <w:pPr>
              <w:ind w:firstLine="480"/>
            </w:pPr>
            <w:r>
              <w:rPr>
                <w:rFonts w:hint="eastAsia"/>
              </w:rPr>
              <w:t>施工期主要噪声设备及声级值见下表：</w:t>
            </w:r>
          </w:p>
          <w:p>
            <w:pPr>
              <w:pStyle w:val="157"/>
            </w:pPr>
            <w:r>
              <w:rPr>
                <w:rFonts w:hint="eastAsia"/>
              </w:rPr>
              <w:t>表4</w:t>
            </w:r>
            <w:r>
              <w:t>.1</w:t>
            </w:r>
            <w:r>
              <w:rPr>
                <w:rFonts w:hint="eastAsia"/>
              </w:rPr>
              <w:t xml:space="preserve">-1 </w:t>
            </w:r>
            <w:r>
              <w:t xml:space="preserve"> </w:t>
            </w:r>
            <w:r>
              <w:rPr>
                <w:rFonts w:hint="eastAsia"/>
              </w:rPr>
              <w:t>施工期主要噪声设备及声级值</w:t>
            </w:r>
          </w:p>
          <w:tbl>
            <w:tblPr>
              <w:tblStyle w:val="19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587"/>
              <w:gridCol w:w="2910"/>
              <w:gridCol w:w="36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trPr>
              <w:tc>
                <w:tcPr>
                  <w:tcW w:w="973" w:type="pct"/>
                  <w:vAlign w:val="center"/>
                </w:tcPr>
                <w:p>
                  <w:pPr>
                    <w:pStyle w:val="136"/>
                    <w:adjustRightInd w:val="0"/>
                    <w:snapToGrid w:val="0"/>
                    <w:rPr>
                      <w:b/>
                      <w:bCs/>
                    </w:rPr>
                  </w:pPr>
                  <w:r>
                    <w:rPr>
                      <w:rFonts w:hint="eastAsia"/>
                      <w:b/>
                      <w:bCs/>
                    </w:rPr>
                    <w:t>序号</w:t>
                  </w:r>
                </w:p>
              </w:tc>
              <w:tc>
                <w:tcPr>
                  <w:tcW w:w="1784" w:type="pct"/>
                  <w:vAlign w:val="center"/>
                </w:tcPr>
                <w:p>
                  <w:pPr>
                    <w:pStyle w:val="136"/>
                    <w:adjustRightInd w:val="0"/>
                    <w:snapToGrid w:val="0"/>
                    <w:rPr>
                      <w:b/>
                      <w:bCs/>
                    </w:rPr>
                  </w:pPr>
                  <w:r>
                    <w:rPr>
                      <w:rFonts w:hint="eastAsia"/>
                      <w:b/>
                      <w:bCs/>
                    </w:rPr>
                    <w:t>声源</w:t>
                  </w:r>
                </w:p>
              </w:tc>
              <w:tc>
                <w:tcPr>
                  <w:tcW w:w="2243" w:type="pct"/>
                  <w:vAlign w:val="center"/>
                </w:tcPr>
                <w:p>
                  <w:pPr>
                    <w:pStyle w:val="136"/>
                    <w:adjustRightInd w:val="0"/>
                    <w:snapToGrid w:val="0"/>
                    <w:rPr>
                      <w:b/>
                      <w:bCs/>
                    </w:rPr>
                  </w:pPr>
                  <w:r>
                    <w:rPr>
                      <w:rFonts w:hint="eastAsia"/>
                      <w:b/>
                      <w:bCs/>
                    </w:rPr>
                    <w:t>声源强度</w:t>
                  </w:r>
                  <w:r>
                    <w:rPr>
                      <w:b/>
                      <w:bCs/>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1" w:hRule="atLeast"/>
              </w:trPr>
              <w:tc>
                <w:tcPr>
                  <w:tcW w:w="973" w:type="pct"/>
                  <w:vAlign w:val="center"/>
                </w:tcPr>
                <w:p>
                  <w:pPr>
                    <w:pStyle w:val="136"/>
                    <w:adjustRightInd w:val="0"/>
                    <w:snapToGrid w:val="0"/>
                  </w:pPr>
                  <w:r>
                    <w:t>1</w:t>
                  </w:r>
                </w:p>
              </w:tc>
              <w:tc>
                <w:tcPr>
                  <w:tcW w:w="1784" w:type="pct"/>
                  <w:vAlign w:val="center"/>
                </w:tcPr>
                <w:p>
                  <w:pPr>
                    <w:pStyle w:val="136"/>
                    <w:adjustRightInd w:val="0"/>
                    <w:snapToGrid w:val="0"/>
                  </w:pPr>
                  <w:r>
                    <w:rPr>
                      <w:rFonts w:hint="eastAsia"/>
                    </w:rPr>
                    <w:t>电钻</w:t>
                  </w:r>
                </w:p>
              </w:tc>
              <w:tc>
                <w:tcPr>
                  <w:tcW w:w="2243" w:type="pct"/>
                  <w:vAlign w:val="center"/>
                </w:tcPr>
                <w:p>
                  <w:pPr>
                    <w:pStyle w:val="136"/>
                    <w:adjustRightInd w:val="0"/>
                    <w:snapToGrid w:val="0"/>
                  </w:pPr>
                  <w:r>
                    <w:t>100~105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9" w:hRule="atLeast"/>
              </w:trPr>
              <w:tc>
                <w:tcPr>
                  <w:tcW w:w="973" w:type="pct"/>
                  <w:vAlign w:val="center"/>
                </w:tcPr>
                <w:p>
                  <w:pPr>
                    <w:pStyle w:val="136"/>
                    <w:adjustRightInd w:val="0"/>
                    <w:snapToGrid w:val="0"/>
                  </w:pPr>
                  <w:r>
                    <w:t>2</w:t>
                  </w:r>
                </w:p>
              </w:tc>
              <w:tc>
                <w:tcPr>
                  <w:tcW w:w="1784" w:type="pct"/>
                  <w:vAlign w:val="center"/>
                </w:tcPr>
                <w:p>
                  <w:pPr>
                    <w:pStyle w:val="136"/>
                    <w:adjustRightInd w:val="0"/>
                    <w:snapToGrid w:val="0"/>
                  </w:pPr>
                  <w:r>
                    <w:rPr>
                      <w:rFonts w:hint="eastAsia"/>
                    </w:rPr>
                    <w:t>电动螺丝刀</w:t>
                  </w:r>
                </w:p>
              </w:tc>
              <w:tc>
                <w:tcPr>
                  <w:tcW w:w="2243" w:type="pct"/>
                  <w:vAlign w:val="center"/>
                </w:tcPr>
                <w:p>
                  <w:pPr>
                    <w:pStyle w:val="136"/>
                    <w:adjustRightInd w:val="0"/>
                    <w:snapToGrid w:val="0"/>
                  </w:pPr>
                  <w:r>
                    <w:t>80~95</w:t>
                  </w:r>
                </w:p>
              </w:tc>
            </w:tr>
          </w:tbl>
          <w:p>
            <w:pPr>
              <w:ind w:firstLine="480"/>
            </w:pPr>
            <w:r>
              <w:rPr>
                <w:rFonts w:hint="eastAsia"/>
              </w:rPr>
              <w:t>从以上分析可知，建筑施工期间使用的建筑设备较少，噪声声源较强，而且噪声源叠加后噪声声级增加，因此在施工阶段应按照《建筑施工场界环境噪声排放标准》（GB12523-2011）对施工场界进行噪声控制。</w:t>
            </w:r>
          </w:p>
          <w:p>
            <w:pPr>
              <w:ind w:firstLine="480"/>
            </w:pPr>
            <w:r>
              <w:rPr>
                <w:rFonts w:hint="eastAsia"/>
              </w:rPr>
              <w:t>项目施工期应采取以下措施：</w:t>
            </w:r>
          </w:p>
          <w:p>
            <w:pPr>
              <w:ind w:firstLine="480"/>
            </w:pPr>
            <w:r>
              <w:rPr>
                <w:rFonts w:hint="eastAsia"/>
              </w:rPr>
              <w:t>①合理安排施工计划和施工机械设备组合以及施工时间，禁止在中午（12:00~14:00）和夜间（22:00~6:00）施工，以免影响周边办公企业休息。避免在同一时间集中使用大量的动力机械设备。严格执行《建筑施工场界环境噪声排放标准》（GB12523-2011）的要求，在施工过程中，尽量减少运行动力机械设备的数量，尽可能使动力机械设备比较均匀地使用。</w:t>
            </w:r>
          </w:p>
          <w:p>
            <w:pPr>
              <w:ind w:firstLine="480"/>
            </w:pPr>
            <w:r>
              <w:rPr>
                <w:rFonts w:hint="eastAsia"/>
              </w:rPr>
              <w:t>②施工单位要合理安排工期，缩短夜间施工时间，减少夜间施工噪声对项目周边办公企业的影响。通过选用低噪声设备，合理进行施工布置，文明施工方式，装卸、搬运不抛掷等措施。</w:t>
            </w:r>
          </w:p>
          <w:p>
            <w:pPr>
              <w:ind w:firstLine="480"/>
            </w:pPr>
            <w:r>
              <w:rPr>
                <w:rFonts w:hint="eastAsia"/>
              </w:rPr>
              <w:t>③施工单位要合理安排施工工序，尽可能减少夜间施工作业时间。施工进行合理布局，尽量使高噪声的机械设备远离周围敏感点。</w:t>
            </w:r>
          </w:p>
          <w:p>
            <w:pPr>
              <w:ind w:firstLine="480"/>
            </w:pPr>
            <w:r>
              <w:rPr>
                <w:rFonts w:hint="eastAsia"/>
              </w:rPr>
              <w:t>④夜间施工严禁捶打、敲击和金属切割、装卸钢管钢筋等易产生高噪音的作业。</w:t>
            </w:r>
          </w:p>
          <w:p>
            <w:pPr>
              <w:ind w:firstLine="480"/>
            </w:pPr>
            <w:r>
              <w:rPr>
                <w:rFonts w:hint="eastAsia"/>
              </w:rPr>
              <w:t>⑤施工单位应在建设工程项目周边公示夜间施工许可情况，明确施工现场噪声污染防治责任人，畅通反映问题渠道，接受社会、市民的监督。主动采取多种方式提前与周边社区、市民做好沟通解释工作，积极妥善处理夜间施工噪音投诉，争取周边居民对建设工程项目的理解和支持。</w:t>
            </w:r>
          </w:p>
          <w:p>
            <w:pPr>
              <w:ind w:firstLine="480"/>
            </w:pPr>
            <w:r>
              <w:rPr>
                <w:rFonts w:hint="eastAsia"/>
              </w:rPr>
              <w:t>4、施工期固体废物处置</w:t>
            </w:r>
          </w:p>
          <w:p>
            <w:pPr>
              <w:ind w:firstLine="480"/>
            </w:pPr>
            <w:r>
              <w:rPr>
                <w:rFonts w:hint="eastAsia"/>
              </w:rPr>
              <w:t>项目施工期不涉及基础开挖、土石方工程，施工期固体废物主要为装修废料、设备废包装、废金属零件、废木料、生活垃圾等。</w:t>
            </w:r>
          </w:p>
          <w:p>
            <w:pPr>
              <w:ind w:firstLine="480"/>
            </w:pPr>
            <w:r>
              <w:rPr>
                <w:rFonts w:hint="eastAsia"/>
              </w:rPr>
              <w:t>针对施工过程中产生的固体废物，建设单位在施工期应采取如下固废处置措施：</w:t>
            </w:r>
          </w:p>
          <w:p>
            <w:pPr>
              <w:ind w:firstLine="480"/>
            </w:pPr>
            <w:r>
              <w:rPr>
                <w:rFonts w:hint="eastAsia"/>
              </w:rPr>
              <w:t>（1）对施工产生的废料首先应考虑回收利用，对金属件、木料可分类回收，交由有回收资质的废品收购站处理；对不能回收的建筑垃圾，如碎砖、砂石等材料交由专业的运渣公司定期运至当地指定的建筑垃圾堆放点进行处置，严禁倾弃置于城建、规划部门非指定堆放点；</w:t>
            </w:r>
          </w:p>
          <w:p>
            <w:pPr>
              <w:ind w:firstLine="480"/>
            </w:pPr>
            <w:r>
              <w:rPr>
                <w:rFonts w:hint="eastAsia"/>
              </w:rPr>
              <w:t>（</w:t>
            </w:r>
            <w:r>
              <w:t>2</w:t>
            </w:r>
            <w:r>
              <w:rPr>
                <w:rFonts w:hint="eastAsia"/>
              </w:rPr>
              <w:t>）生活垃圾由现场垃圾桶收集，交由巴中市政环卫部门定期清运。</w:t>
            </w:r>
          </w:p>
          <w:p>
            <w:pPr>
              <w:ind w:firstLine="480"/>
            </w:pPr>
            <w:r>
              <w:rPr>
                <w:rFonts w:hint="eastAsia"/>
              </w:rPr>
              <w:t>施工期间固废按照相关要求，做到定点堆放、合理收集处置，则不会对环境造成二次污染。</w:t>
            </w:r>
          </w:p>
          <w:p>
            <w:pPr>
              <w:ind w:firstLine="480"/>
            </w:pPr>
            <w:r>
              <w:t>本项目施工期的影响是暂时的，在施工结束后，影响区域的各环境要素基本都可以得以恢复。只要严格按施工规范文明施工，认真制定和落实工程施工期应 采取的环保对策措施，可以将工程施工期对环境产生的影响降到最小</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79" w:type="dxa"/>
          </w:tcPr>
          <w:p>
            <w:pPr>
              <w:pStyle w:val="29"/>
              <w:adjustRightInd w:val="0"/>
              <w:snapToGrid w:val="0"/>
              <w:spacing w:before="0" w:beforeAutospacing="0" w:after="0" w:afterAutospacing="0"/>
              <w:ind w:firstLine="0" w:firstLineChars="0"/>
              <w:jc w:val="center"/>
              <w:rPr>
                <w:rFonts w:ascii="Times New Roman" w:hAnsi="Times New Roman"/>
                <w:kern w:val="2"/>
                <w:sz w:val="21"/>
                <w:szCs w:val="21"/>
              </w:rPr>
            </w:pPr>
            <w:r>
              <w:rPr>
                <w:rFonts w:ascii="Times New Roman" w:hAnsi="Times New Roman"/>
                <w:kern w:val="2"/>
                <w:sz w:val="21"/>
                <w:szCs w:val="21"/>
              </w:rPr>
              <w:t>运营期环境影响和保护措施</w:t>
            </w:r>
          </w:p>
        </w:tc>
        <w:tc>
          <w:tcPr>
            <w:tcW w:w="8166" w:type="dxa"/>
          </w:tcPr>
          <w:p>
            <w:pPr>
              <w:pStyle w:val="158"/>
            </w:pPr>
            <w:r>
              <w:rPr>
                <w:rFonts w:hint="eastAsia"/>
              </w:rPr>
              <w:t>一、</w:t>
            </w:r>
            <w:r>
              <w:t>废水</w:t>
            </w:r>
          </w:p>
          <w:p>
            <w:pPr>
              <w:ind w:firstLine="482"/>
              <w:rPr>
                <w:b/>
              </w:rPr>
            </w:pPr>
            <w:r>
              <w:rPr>
                <w:rFonts w:hint="eastAsia"/>
                <w:b/>
              </w:rPr>
              <w:t>1、产排污分析</w:t>
            </w:r>
          </w:p>
          <w:p>
            <w:pPr>
              <w:ind w:firstLine="480"/>
            </w:pPr>
            <w:r>
              <w:rPr>
                <w:rFonts w:hint="eastAsia"/>
              </w:rPr>
              <w:t>本项目废水包括实验室废水（仪器清洗废水、实验人员洗手废水、碱液喷淋塔废水、拖布清洁废水、纯水制备浓水）和生活污水。</w:t>
            </w:r>
          </w:p>
          <w:p>
            <w:pPr>
              <w:ind w:firstLine="480"/>
            </w:pPr>
            <w:r>
              <w:rPr>
                <w:rFonts w:hint="eastAsia"/>
              </w:rPr>
              <w:t>（1）仪器清洗废水</w:t>
            </w:r>
          </w:p>
          <w:p>
            <w:pPr>
              <w:ind w:firstLine="480"/>
            </w:pPr>
            <w:r>
              <w:rPr>
                <w:rFonts w:hint="eastAsia"/>
              </w:rPr>
              <w:t>根据建设单位提供的资料，项目实验室仪器清洗用水量为</w:t>
            </w:r>
            <w:r>
              <w:t>0.096</w:t>
            </w:r>
            <w:r>
              <w:rPr>
                <w:rFonts w:hint="eastAsia"/>
              </w:rPr>
              <w:t>m</w:t>
            </w:r>
            <w:r>
              <w:rPr>
                <w:vertAlign w:val="superscript"/>
              </w:rPr>
              <w:t>3</w:t>
            </w:r>
            <w:r>
              <w:t>/</w:t>
            </w:r>
            <w:r>
              <w:rPr>
                <w:rFonts w:hint="eastAsia"/>
              </w:rPr>
              <w:t>d，其中前三次清洗用水量为</w:t>
            </w:r>
            <w:r>
              <w:t>0.024</w:t>
            </w:r>
            <w:r>
              <w:rPr>
                <w:rFonts w:hint="eastAsia"/>
              </w:rPr>
              <w:t>m</w:t>
            </w:r>
            <w:r>
              <w:rPr>
                <w:vertAlign w:val="superscript"/>
              </w:rPr>
              <w:t>3</w:t>
            </w:r>
            <w:r>
              <w:t>/</w:t>
            </w:r>
            <w:r>
              <w:rPr>
                <w:rFonts w:hint="eastAsia"/>
              </w:rPr>
              <w:t>d，前三次清洗废水由废液桶收集后作为危废处理。三次后清洗用水量为</w:t>
            </w:r>
            <w:r>
              <w:t>0.072</w:t>
            </w:r>
            <w:r>
              <w:rPr>
                <w:rFonts w:hint="eastAsia"/>
              </w:rPr>
              <w:t>m</w:t>
            </w:r>
            <w:r>
              <w:rPr>
                <w:vertAlign w:val="superscript"/>
              </w:rPr>
              <w:t>3</w:t>
            </w:r>
            <w:r>
              <w:t>/</w:t>
            </w:r>
            <w:r>
              <w:rPr>
                <w:rFonts w:hint="eastAsia"/>
              </w:rPr>
              <w:t>d，产污系数按0</w:t>
            </w:r>
            <w:r>
              <w:t>.8</w:t>
            </w:r>
            <w:r>
              <w:rPr>
                <w:rFonts w:hint="eastAsia"/>
              </w:rPr>
              <w:t>计，仪器设备三次后清洗废水产生量为</w:t>
            </w:r>
            <w:r>
              <w:t>0.058</w:t>
            </w:r>
            <w:r>
              <w:rPr>
                <w:rFonts w:hint="eastAsia"/>
              </w:rPr>
              <w:t>m</w:t>
            </w:r>
            <w:r>
              <w:rPr>
                <w:vertAlign w:val="superscript"/>
              </w:rPr>
              <w:t>3</w:t>
            </w:r>
            <w:r>
              <w:t>/</w:t>
            </w:r>
            <w:r>
              <w:rPr>
                <w:rFonts w:hint="eastAsia"/>
              </w:rPr>
              <w:t>d，其主要污染物为pH、COD、SS、氨氮、TP等。</w:t>
            </w:r>
          </w:p>
          <w:p>
            <w:pPr>
              <w:ind w:firstLine="480"/>
            </w:pPr>
            <w:r>
              <w:rPr>
                <w:rFonts w:hint="eastAsia"/>
              </w:rPr>
              <w:t>（2）实验人员洗手废水</w:t>
            </w:r>
          </w:p>
          <w:p>
            <w:pPr>
              <w:ind w:firstLine="480"/>
            </w:pPr>
            <w:r>
              <w:rPr>
                <w:rFonts w:hint="eastAsia"/>
              </w:rPr>
              <w:t>实验人员洗手用水量按照5L</w:t>
            </w:r>
            <w:r>
              <w:t>/</w:t>
            </w:r>
            <w:r>
              <w:rPr>
                <w:rFonts w:hint="eastAsia"/>
              </w:rPr>
              <w:t>d·人估算，本项目新增实验人员</w:t>
            </w:r>
            <w:r>
              <w:t>10</w:t>
            </w:r>
            <w:r>
              <w:rPr>
                <w:rFonts w:hint="eastAsia"/>
              </w:rPr>
              <w:t>人，用水量为</w:t>
            </w:r>
            <w:r>
              <w:t>0.05</w:t>
            </w:r>
            <w:r>
              <w:rPr>
                <w:rFonts w:hint="eastAsia"/>
              </w:rPr>
              <w:t>m</w:t>
            </w:r>
            <w:r>
              <w:rPr>
                <w:vertAlign w:val="superscript"/>
              </w:rPr>
              <w:t>3</w:t>
            </w:r>
            <w:r>
              <w:t>/</w:t>
            </w:r>
            <w:r>
              <w:rPr>
                <w:rFonts w:hint="eastAsia"/>
              </w:rPr>
              <w:t>d，产污系数按0</w:t>
            </w:r>
            <w:r>
              <w:t>.8</w:t>
            </w:r>
            <w:r>
              <w:rPr>
                <w:rFonts w:hint="eastAsia"/>
              </w:rPr>
              <w:t>计，则实验人员洗手废水产生量为</w:t>
            </w:r>
            <w:r>
              <w:t>0.04</w:t>
            </w:r>
            <w:r>
              <w:rPr>
                <w:rFonts w:hint="eastAsia"/>
              </w:rPr>
              <w:t>m</w:t>
            </w:r>
            <w:r>
              <w:rPr>
                <w:vertAlign w:val="superscript"/>
              </w:rPr>
              <w:t>3</w:t>
            </w:r>
            <w:r>
              <w:t>/</w:t>
            </w:r>
            <w:r>
              <w:rPr>
                <w:rFonts w:hint="eastAsia"/>
              </w:rPr>
              <w:t>d，其主要污染物为COD等。</w:t>
            </w:r>
          </w:p>
          <w:p>
            <w:pPr>
              <w:ind w:firstLine="480"/>
            </w:pPr>
            <w:r>
              <w:rPr>
                <w:rFonts w:hint="eastAsia"/>
              </w:rPr>
              <w:t>（3）纯水制备废水</w:t>
            </w:r>
          </w:p>
          <w:p>
            <w:pPr>
              <w:ind w:firstLine="480"/>
            </w:pPr>
            <w:r>
              <w:rPr>
                <w:rFonts w:hint="eastAsia"/>
              </w:rPr>
              <w:t>本项目设置</w:t>
            </w:r>
            <w:r>
              <w:t>2</w:t>
            </w:r>
            <w:r>
              <w:rPr>
                <w:rFonts w:hint="eastAsia"/>
              </w:rPr>
              <w:t>台纯水机，</w:t>
            </w:r>
            <w:r>
              <w:t>根据建设单位提供资料，项目采用反渗透纯水机，所用核心元件为反渗透膜，将自来水转化为超纯水。</w:t>
            </w:r>
            <w:r>
              <w:rPr>
                <w:rFonts w:hint="eastAsia"/>
              </w:rPr>
              <w:t>根据前文分析，本项目实验室纯水使用量为0</w:t>
            </w:r>
            <w:r>
              <w:t>.162</w:t>
            </w:r>
            <w:r>
              <w:rPr>
                <w:rFonts w:hint="eastAsia"/>
              </w:rPr>
              <w:t>m</w:t>
            </w:r>
            <w:r>
              <w:rPr>
                <w:vertAlign w:val="superscript"/>
              </w:rPr>
              <w:t>3</w:t>
            </w:r>
            <w:r>
              <w:t>/</w:t>
            </w:r>
            <w:r>
              <w:rPr>
                <w:rFonts w:hint="eastAsia"/>
              </w:rPr>
              <w:t>批次样本（2</w:t>
            </w:r>
            <w:r>
              <w:t>0.088</w:t>
            </w:r>
            <w:r>
              <w:rPr>
                <w:rFonts w:hint="eastAsia"/>
              </w:rPr>
              <w:t>m</w:t>
            </w:r>
            <w:r>
              <w:rPr>
                <w:vertAlign w:val="superscript"/>
              </w:rPr>
              <w:t>3</w:t>
            </w:r>
            <w:r>
              <w:t>/</w:t>
            </w:r>
            <w:r>
              <w:rPr>
                <w:rFonts w:hint="eastAsia"/>
              </w:rPr>
              <w:t>a，平均约0</w:t>
            </w:r>
            <w:r>
              <w:t>.077</w:t>
            </w:r>
            <w:r>
              <w:rPr>
                <w:rFonts w:hint="eastAsia"/>
              </w:rPr>
              <w:t>m</w:t>
            </w:r>
            <w:r>
              <w:rPr>
                <w:vertAlign w:val="superscript"/>
              </w:rPr>
              <w:t>3</w:t>
            </w:r>
            <w:r>
              <w:t>/</w:t>
            </w:r>
            <w:r>
              <w:rPr>
                <w:rFonts w:hint="eastAsia"/>
              </w:rPr>
              <w:t>d），则纯水制备用水为0</w:t>
            </w:r>
            <w:r>
              <w:t>.27</w:t>
            </w:r>
            <w:r>
              <w:rPr>
                <w:rFonts w:hint="eastAsia"/>
              </w:rPr>
              <w:t>m</w:t>
            </w:r>
            <w:r>
              <w:rPr>
                <w:vertAlign w:val="superscript"/>
              </w:rPr>
              <w:t>3</w:t>
            </w:r>
            <w:r>
              <w:rPr>
                <w:rFonts w:hint="eastAsia"/>
              </w:rPr>
              <w:t>/批次样本（3</w:t>
            </w:r>
            <w:r>
              <w:t>3.48</w:t>
            </w:r>
            <w:r>
              <w:rPr>
                <w:rFonts w:hint="eastAsia"/>
              </w:rPr>
              <w:t>m</w:t>
            </w:r>
            <w:r>
              <w:rPr>
                <w:vertAlign w:val="superscript"/>
              </w:rPr>
              <w:t>3</w:t>
            </w:r>
            <w:r>
              <w:t>/</w:t>
            </w:r>
            <w:r>
              <w:rPr>
                <w:rFonts w:hint="eastAsia"/>
              </w:rPr>
              <w:t>a，平均约0</w:t>
            </w:r>
            <w:r>
              <w:t>.129</w:t>
            </w:r>
            <w:r>
              <w:rPr>
                <w:rFonts w:hint="eastAsia"/>
              </w:rPr>
              <w:t>m</w:t>
            </w:r>
            <w:r>
              <w:rPr>
                <w:vertAlign w:val="superscript"/>
              </w:rPr>
              <w:t>3</w:t>
            </w:r>
            <w:r>
              <w:t>/</w:t>
            </w:r>
            <w:r>
              <w:rPr>
                <w:rFonts w:hint="eastAsia"/>
              </w:rPr>
              <w:t>d），纯水制备浓水产生量为0</w:t>
            </w:r>
            <w:r>
              <w:t>.052</w:t>
            </w:r>
            <w:r>
              <w:rPr>
                <w:rFonts w:hint="eastAsia"/>
              </w:rPr>
              <w:t>m</w:t>
            </w:r>
            <w:r>
              <w:rPr>
                <w:vertAlign w:val="superscript"/>
              </w:rPr>
              <w:t>3</w:t>
            </w:r>
            <w:r>
              <w:t>/</w:t>
            </w:r>
            <w:r>
              <w:rPr>
                <w:rFonts w:hint="eastAsia"/>
              </w:rPr>
              <w:t>d。其主要污染物为悬浮物、盐分等。</w:t>
            </w:r>
          </w:p>
          <w:p>
            <w:pPr>
              <w:ind w:firstLine="480"/>
            </w:pPr>
            <w:r>
              <w:rPr>
                <w:rFonts w:hint="eastAsia"/>
              </w:rPr>
              <w:t>（4）碱液喷淋塔废水</w:t>
            </w:r>
          </w:p>
          <w:p>
            <w:pPr>
              <w:spacing w:line="510" w:lineRule="exact"/>
              <w:ind w:firstLine="480"/>
            </w:pPr>
            <w:r>
              <w:rPr>
                <w:rFonts w:hint="eastAsia"/>
              </w:rPr>
              <w:t>本项目采用两套碱洗喷淋塔处理酸性废气，</w:t>
            </w:r>
            <w:r>
              <w:t>根据建设单位提供资料</w:t>
            </w:r>
            <w:r>
              <w:rPr>
                <w:rFonts w:hint="eastAsia"/>
              </w:rPr>
              <w:t>的设计资料</w:t>
            </w:r>
            <w:r>
              <w:t>，</w:t>
            </w:r>
            <w:r>
              <w:rPr>
                <w:rFonts w:hint="eastAsia"/>
              </w:rPr>
              <w:t>液气比为</w:t>
            </w:r>
            <w:r>
              <w:t>1</w:t>
            </w:r>
            <w:r>
              <w:rPr>
                <w:rFonts w:hint="eastAsia"/>
              </w:rPr>
              <w:t>L</w:t>
            </w:r>
            <w:r>
              <w:t>/</w:t>
            </w:r>
            <w:r>
              <w:rPr>
                <w:rFonts w:hint="eastAsia"/>
              </w:rPr>
              <w:t>m</w:t>
            </w:r>
            <w:r>
              <w:rPr>
                <w:vertAlign w:val="superscript"/>
              </w:rPr>
              <w:t>3</w:t>
            </w:r>
            <w:r>
              <w:rPr>
                <w:rFonts w:hint="eastAsia"/>
              </w:rPr>
              <w:t>，两套喷淋塔设计风量均为</w:t>
            </w:r>
            <w:r>
              <w:t>12000</w:t>
            </w:r>
            <w:r>
              <w:rPr>
                <w:rFonts w:hint="eastAsia"/>
              </w:rPr>
              <w:t>m</w:t>
            </w:r>
            <w:r>
              <w:rPr>
                <w:vertAlign w:val="superscript"/>
              </w:rPr>
              <w:t>3</w:t>
            </w:r>
            <w:r>
              <w:t>/h</w:t>
            </w:r>
            <w:r>
              <w:rPr>
                <w:rFonts w:hint="eastAsia"/>
              </w:rPr>
              <w:t>，则喷淋塔循环水量约</w:t>
            </w:r>
            <w:r>
              <w:t>24</w:t>
            </w:r>
            <w:r>
              <w:rPr>
                <w:rFonts w:hint="eastAsia"/>
              </w:rPr>
              <w:t>m</w:t>
            </w:r>
            <w:r>
              <w:rPr>
                <w:rFonts w:hint="eastAsia"/>
                <w:vertAlign w:val="superscript"/>
              </w:rPr>
              <w:t>3</w:t>
            </w:r>
            <w:r>
              <w:rPr>
                <w:rFonts w:hint="eastAsia"/>
              </w:rPr>
              <w:t>/h（每台</w:t>
            </w:r>
            <w:r>
              <w:t>12</w:t>
            </w:r>
            <w:r>
              <w:rPr>
                <w:rFonts w:hint="eastAsia"/>
              </w:rPr>
              <w:t>m</w:t>
            </w:r>
            <w:r>
              <w:rPr>
                <w:vertAlign w:val="superscript"/>
              </w:rPr>
              <w:t>3</w:t>
            </w:r>
            <w:r>
              <w:t>/</w:t>
            </w:r>
            <w:r>
              <w:rPr>
                <w:rFonts w:hint="eastAsia"/>
              </w:rPr>
              <w:t>h），</w:t>
            </w:r>
            <w:r>
              <w:t>每天工作时长为</w:t>
            </w:r>
            <w:r>
              <w:rPr>
                <w:rFonts w:hint="eastAsia"/>
              </w:rPr>
              <w:t>8</w:t>
            </w:r>
            <w:r>
              <w:t>h</w:t>
            </w:r>
            <w:r>
              <w:rPr>
                <w:rFonts w:hint="eastAsia"/>
              </w:rPr>
              <w:t>，</w:t>
            </w:r>
            <w:r>
              <w:t>补水量按循环水量1%计，则本项目碱液喷淋塔补充水量1.92m</w:t>
            </w:r>
            <w:r>
              <w:rPr>
                <w:vertAlign w:val="superscript"/>
              </w:rPr>
              <w:t>3</w:t>
            </w:r>
            <w:r>
              <w:t>/d。其中蒸发损失量按0.9计，废水排污量按0.1计，则项目碱洗塔废水排放量为0.192m</w:t>
            </w:r>
            <w:r>
              <w:rPr>
                <w:vertAlign w:val="superscript"/>
              </w:rPr>
              <w:t>3</w:t>
            </w:r>
            <w:r>
              <w:t>/d。主要污染物为：pH、SS。</w:t>
            </w:r>
          </w:p>
          <w:p>
            <w:pPr>
              <w:spacing w:line="510" w:lineRule="exact"/>
              <w:ind w:firstLine="480"/>
            </w:pPr>
            <w:r>
              <w:rPr>
                <w:rFonts w:hint="eastAsia"/>
              </w:rPr>
              <w:t>谱尼测试集团四川有限公司“谱尼检验检测实验室增资扩能项目”主要从事环境检测工作，实验室性质与本项目相似，本项目实验室废水水质类比“谱尼检验检测实验室增资扩能项目”废水水质。“谱尼检验检测实验室增资扩能项目”实验室废水处理站废水进水水质情况如下：</w:t>
            </w:r>
          </w:p>
          <w:p>
            <w:pPr>
              <w:pStyle w:val="157"/>
            </w:pPr>
            <w:r>
              <w:rPr>
                <w:rFonts w:hint="eastAsia"/>
              </w:rPr>
              <w:t>表4</w:t>
            </w:r>
            <w:r>
              <w:t xml:space="preserve">.1-2  </w:t>
            </w:r>
            <w:r>
              <w:rPr>
                <w:rFonts w:hint="eastAsia"/>
              </w:rPr>
              <w:t xml:space="preserve">谱尼检验检测实验室增资扩能项目水质情况一览表 </w:t>
            </w:r>
            <w:r>
              <w:t xml:space="preserve"> </w:t>
            </w:r>
            <w:r>
              <w:rPr>
                <w:rFonts w:hint="eastAsia"/>
              </w:rPr>
              <w:t>单位：mg</w:t>
            </w:r>
            <w:r>
              <w:t>/</w:t>
            </w:r>
            <w:r>
              <w:rPr>
                <w:rFonts w:hint="eastAsia"/>
              </w:rPr>
              <w:t>L</w:t>
            </w:r>
          </w:p>
          <w:tbl>
            <w:tblPr>
              <w:tblStyle w:val="195"/>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67"/>
              <w:gridCol w:w="1159"/>
              <w:gridCol w:w="1159"/>
              <w:gridCol w:w="1182"/>
              <w:gridCol w:w="1180"/>
              <w:gridCol w:w="1205"/>
              <w:gridCol w:w="12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067" w:type="dxa"/>
                  <w:vAlign w:val="center"/>
                </w:tcPr>
                <w:p>
                  <w:pPr>
                    <w:pStyle w:val="136"/>
                    <w:adjustRightInd w:val="0"/>
                    <w:snapToGrid w:val="0"/>
                    <w:rPr>
                      <w:b/>
                      <w:bCs/>
                    </w:rPr>
                  </w:pPr>
                  <w:r>
                    <w:rPr>
                      <w:rFonts w:hint="eastAsia"/>
                      <w:b/>
                      <w:bCs/>
                    </w:rPr>
                    <w:t>污染物</w:t>
                  </w:r>
                </w:p>
              </w:tc>
              <w:tc>
                <w:tcPr>
                  <w:tcW w:w="1159" w:type="dxa"/>
                  <w:vAlign w:val="center"/>
                </w:tcPr>
                <w:p>
                  <w:pPr>
                    <w:pStyle w:val="136"/>
                    <w:adjustRightInd w:val="0"/>
                    <w:snapToGrid w:val="0"/>
                    <w:rPr>
                      <w:b/>
                      <w:bCs/>
                    </w:rPr>
                  </w:pPr>
                  <w:r>
                    <w:rPr>
                      <w:rFonts w:hint="eastAsia"/>
                      <w:b/>
                      <w:bCs/>
                    </w:rPr>
                    <w:t>pH（无量纲）</w:t>
                  </w:r>
                </w:p>
              </w:tc>
              <w:tc>
                <w:tcPr>
                  <w:tcW w:w="1159" w:type="dxa"/>
                  <w:vAlign w:val="center"/>
                </w:tcPr>
                <w:p>
                  <w:pPr>
                    <w:pStyle w:val="136"/>
                    <w:adjustRightInd w:val="0"/>
                    <w:snapToGrid w:val="0"/>
                    <w:rPr>
                      <w:b/>
                      <w:bCs/>
                    </w:rPr>
                  </w:pPr>
                  <w:r>
                    <w:rPr>
                      <w:rFonts w:hint="eastAsia"/>
                      <w:b/>
                      <w:bCs/>
                    </w:rPr>
                    <w:t>SS</w:t>
                  </w:r>
                </w:p>
              </w:tc>
              <w:tc>
                <w:tcPr>
                  <w:tcW w:w="1182" w:type="dxa"/>
                  <w:vAlign w:val="center"/>
                </w:tcPr>
                <w:p>
                  <w:pPr>
                    <w:pStyle w:val="136"/>
                    <w:adjustRightInd w:val="0"/>
                    <w:snapToGrid w:val="0"/>
                    <w:rPr>
                      <w:b/>
                      <w:bCs/>
                    </w:rPr>
                  </w:pPr>
                  <w:r>
                    <w:rPr>
                      <w:rFonts w:hint="eastAsia"/>
                      <w:b/>
                      <w:bCs/>
                    </w:rPr>
                    <w:t>COD</w:t>
                  </w:r>
                  <w:r>
                    <w:rPr>
                      <w:rFonts w:hint="eastAsia"/>
                      <w:b/>
                      <w:bCs/>
                      <w:vertAlign w:val="subscript"/>
                    </w:rPr>
                    <w:t>Cr</w:t>
                  </w:r>
                </w:p>
              </w:tc>
              <w:tc>
                <w:tcPr>
                  <w:tcW w:w="1180" w:type="dxa"/>
                  <w:vAlign w:val="center"/>
                </w:tcPr>
                <w:p>
                  <w:pPr>
                    <w:pStyle w:val="136"/>
                    <w:adjustRightInd w:val="0"/>
                    <w:snapToGrid w:val="0"/>
                    <w:rPr>
                      <w:b/>
                      <w:bCs/>
                    </w:rPr>
                  </w:pPr>
                  <w:r>
                    <w:rPr>
                      <w:rFonts w:hint="eastAsia"/>
                      <w:b/>
                      <w:bCs/>
                    </w:rPr>
                    <w:t>BOD</w:t>
                  </w:r>
                  <w:r>
                    <w:rPr>
                      <w:b/>
                      <w:bCs/>
                      <w:vertAlign w:val="subscript"/>
                    </w:rPr>
                    <w:t>5</w:t>
                  </w:r>
                </w:p>
              </w:tc>
              <w:tc>
                <w:tcPr>
                  <w:tcW w:w="1205" w:type="dxa"/>
                  <w:vAlign w:val="center"/>
                </w:tcPr>
                <w:p>
                  <w:pPr>
                    <w:pStyle w:val="136"/>
                    <w:adjustRightInd w:val="0"/>
                    <w:snapToGrid w:val="0"/>
                    <w:rPr>
                      <w:b/>
                      <w:bCs/>
                    </w:rPr>
                  </w:pPr>
                  <w:r>
                    <w:rPr>
                      <w:rFonts w:hint="eastAsia"/>
                      <w:b/>
                      <w:bCs/>
                    </w:rPr>
                    <w:t>NH</w:t>
                  </w:r>
                  <w:r>
                    <w:rPr>
                      <w:rFonts w:hint="eastAsia"/>
                      <w:b/>
                      <w:bCs/>
                      <w:vertAlign w:val="subscript"/>
                    </w:rPr>
                    <w:t>3</w:t>
                  </w:r>
                  <w:r>
                    <w:rPr>
                      <w:rFonts w:hint="eastAsia"/>
                      <w:b/>
                      <w:bCs/>
                    </w:rPr>
                    <w:t>-N</w:t>
                  </w:r>
                </w:p>
              </w:tc>
              <w:tc>
                <w:tcPr>
                  <w:tcW w:w="1204" w:type="dxa"/>
                  <w:vAlign w:val="center"/>
                </w:tcPr>
                <w:p>
                  <w:pPr>
                    <w:pStyle w:val="136"/>
                    <w:adjustRightInd w:val="0"/>
                    <w:snapToGrid w:val="0"/>
                    <w:rPr>
                      <w:b/>
                      <w:bCs/>
                    </w:rPr>
                  </w:pPr>
                  <w:r>
                    <w:rPr>
                      <w:rFonts w:hint="eastAsia"/>
                      <w:b/>
                      <w:bCs/>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067" w:type="dxa"/>
                  <w:vAlign w:val="center"/>
                </w:tcPr>
                <w:p>
                  <w:pPr>
                    <w:pStyle w:val="136"/>
                    <w:adjustRightInd w:val="0"/>
                    <w:snapToGrid w:val="0"/>
                  </w:pPr>
                  <w:r>
                    <w:rPr>
                      <w:rFonts w:hint="eastAsia"/>
                    </w:rPr>
                    <w:t>浓度范围</w:t>
                  </w:r>
                </w:p>
              </w:tc>
              <w:tc>
                <w:tcPr>
                  <w:tcW w:w="1159" w:type="dxa"/>
                  <w:vAlign w:val="center"/>
                </w:tcPr>
                <w:p>
                  <w:pPr>
                    <w:pStyle w:val="136"/>
                    <w:adjustRightInd w:val="0"/>
                    <w:snapToGrid w:val="0"/>
                  </w:pPr>
                  <w:r>
                    <w:rPr>
                      <w:rFonts w:hint="eastAsia"/>
                    </w:rPr>
                    <w:t>6</w:t>
                  </w:r>
                  <w:r>
                    <w:t>.5</w:t>
                  </w:r>
                  <w:r>
                    <w:rPr>
                      <w:rFonts w:hint="eastAsia"/>
                    </w:rPr>
                    <w:t>~</w:t>
                  </w:r>
                  <w:r>
                    <w:t>7.3</w:t>
                  </w:r>
                </w:p>
              </w:tc>
              <w:tc>
                <w:tcPr>
                  <w:tcW w:w="1159" w:type="dxa"/>
                  <w:vAlign w:val="center"/>
                </w:tcPr>
                <w:p>
                  <w:pPr>
                    <w:pStyle w:val="136"/>
                    <w:adjustRightInd w:val="0"/>
                    <w:snapToGrid w:val="0"/>
                  </w:pPr>
                  <w:r>
                    <w:rPr>
                      <w:rFonts w:hint="eastAsia"/>
                    </w:rPr>
                    <w:t>6</w:t>
                  </w:r>
                  <w:r>
                    <w:t>3</w:t>
                  </w:r>
                  <w:r>
                    <w:rPr>
                      <w:rFonts w:hint="eastAsia"/>
                    </w:rPr>
                    <w:t>~</w:t>
                  </w:r>
                  <w:r>
                    <w:t>167</w:t>
                  </w:r>
                </w:p>
              </w:tc>
              <w:tc>
                <w:tcPr>
                  <w:tcW w:w="1182" w:type="dxa"/>
                  <w:vAlign w:val="center"/>
                </w:tcPr>
                <w:p>
                  <w:pPr>
                    <w:pStyle w:val="136"/>
                    <w:adjustRightInd w:val="0"/>
                    <w:snapToGrid w:val="0"/>
                  </w:pPr>
                  <w:r>
                    <w:rPr>
                      <w:rFonts w:hint="eastAsia"/>
                    </w:rPr>
                    <w:t>5</w:t>
                  </w:r>
                  <w:r>
                    <w:t>52</w:t>
                  </w:r>
                  <w:r>
                    <w:rPr>
                      <w:rFonts w:hint="eastAsia"/>
                    </w:rPr>
                    <w:t>~</w:t>
                  </w:r>
                  <w:r>
                    <w:t>642</w:t>
                  </w:r>
                </w:p>
              </w:tc>
              <w:tc>
                <w:tcPr>
                  <w:tcW w:w="1180" w:type="dxa"/>
                  <w:vAlign w:val="center"/>
                </w:tcPr>
                <w:p>
                  <w:pPr>
                    <w:pStyle w:val="136"/>
                    <w:adjustRightInd w:val="0"/>
                    <w:snapToGrid w:val="0"/>
                  </w:pPr>
                  <w:r>
                    <w:rPr>
                      <w:rFonts w:hint="eastAsia"/>
                    </w:rPr>
                    <w:t>1</w:t>
                  </w:r>
                  <w:r>
                    <w:t>10</w:t>
                  </w:r>
                  <w:r>
                    <w:rPr>
                      <w:rFonts w:hint="eastAsia"/>
                    </w:rPr>
                    <w:t>~</w:t>
                  </w:r>
                  <w:r>
                    <w:t>230</w:t>
                  </w:r>
                </w:p>
              </w:tc>
              <w:tc>
                <w:tcPr>
                  <w:tcW w:w="1205" w:type="dxa"/>
                  <w:vAlign w:val="center"/>
                </w:tcPr>
                <w:p>
                  <w:pPr>
                    <w:pStyle w:val="136"/>
                    <w:adjustRightInd w:val="0"/>
                    <w:snapToGrid w:val="0"/>
                  </w:pPr>
                  <w:r>
                    <w:rPr>
                      <w:rFonts w:hint="eastAsia"/>
                    </w:rPr>
                    <w:t>3</w:t>
                  </w:r>
                  <w:r>
                    <w:t>.79</w:t>
                  </w:r>
                  <w:r>
                    <w:rPr>
                      <w:rFonts w:hint="eastAsia"/>
                    </w:rPr>
                    <w:t>~</w:t>
                  </w:r>
                  <w:r>
                    <w:t>10.3</w:t>
                  </w:r>
                </w:p>
              </w:tc>
              <w:tc>
                <w:tcPr>
                  <w:tcW w:w="1204" w:type="dxa"/>
                  <w:vAlign w:val="center"/>
                </w:tcPr>
                <w:p>
                  <w:pPr>
                    <w:pStyle w:val="136"/>
                    <w:adjustRightInd w:val="0"/>
                    <w:snapToGrid w:val="0"/>
                  </w:pPr>
                  <w:r>
                    <w:rPr>
                      <w:rFonts w:hint="eastAsia"/>
                    </w:rPr>
                    <w:t>3</w:t>
                  </w:r>
                  <w:r>
                    <w:t>.13</w:t>
                  </w:r>
                  <w:r>
                    <w:rPr>
                      <w:rFonts w:hint="eastAsia"/>
                    </w:rPr>
                    <w:t>~</w:t>
                  </w:r>
                  <w:r>
                    <w:t>4.96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067" w:type="dxa"/>
                  <w:vAlign w:val="center"/>
                </w:tcPr>
                <w:p>
                  <w:pPr>
                    <w:pStyle w:val="136"/>
                    <w:adjustRightInd w:val="0"/>
                    <w:snapToGrid w:val="0"/>
                  </w:pPr>
                  <w:r>
                    <w:rPr>
                      <w:rFonts w:hint="eastAsia"/>
                    </w:rPr>
                    <w:t>本项目取值</w:t>
                  </w:r>
                </w:p>
              </w:tc>
              <w:tc>
                <w:tcPr>
                  <w:tcW w:w="1159" w:type="dxa"/>
                  <w:vAlign w:val="center"/>
                </w:tcPr>
                <w:p>
                  <w:pPr>
                    <w:pStyle w:val="136"/>
                    <w:adjustRightInd w:val="0"/>
                    <w:snapToGrid w:val="0"/>
                  </w:pPr>
                  <w:r>
                    <w:rPr>
                      <w:rFonts w:hint="eastAsia"/>
                    </w:rPr>
                    <w:t>6</w:t>
                  </w:r>
                  <w:r>
                    <w:t>.5</w:t>
                  </w:r>
                </w:p>
              </w:tc>
              <w:tc>
                <w:tcPr>
                  <w:tcW w:w="1159" w:type="dxa"/>
                  <w:vAlign w:val="center"/>
                </w:tcPr>
                <w:p>
                  <w:pPr>
                    <w:pStyle w:val="136"/>
                    <w:adjustRightInd w:val="0"/>
                    <w:snapToGrid w:val="0"/>
                  </w:pPr>
                  <w:r>
                    <w:rPr>
                      <w:rFonts w:hint="eastAsia"/>
                    </w:rPr>
                    <w:t>1</w:t>
                  </w:r>
                  <w:r>
                    <w:t>67</w:t>
                  </w:r>
                </w:p>
              </w:tc>
              <w:tc>
                <w:tcPr>
                  <w:tcW w:w="1182" w:type="dxa"/>
                  <w:vAlign w:val="center"/>
                </w:tcPr>
                <w:p>
                  <w:pPr>
                    <w:pStyle w:val="136"/>
                    <w:adjustRightInd w:val="0"/>
                    <w:snapToGrid w:val="0"/>
                  </w:pPr>
                  <w:r>
                    <w:rPr>
                      <w:rFonts w:hint="eastAsia"/>
                    </w:rPr>
                    <w:t>6</w:t>
                  </w:r>
                  <w:r>
                    <w:t>42</w:t>
                  </w:r>
                </w:p>
              </w:tc>
              <w:tc>
                <w:tcPr>
                  <w:tcW w:w="1180" w:type="dxa"/>
                  <w:vAlign w:val="center"/>
                </w:tcPr>
                <w:p>
                  <w:pPr>
                    <w:pStyle w:val="136"/>
                    <w:adjustRightInd w:val="0"/>
                    <w:snapToGrid w:val="0"/>
                  </w:pPr>
                  <w:r>
                    <w:rPr>
                      <w:rFonts w:hint="eastAsia"/>
                    </w:rPr>
                    <w:t>2</w:t>
                  </w:r>
                  <w:r>
                    <w:t>30</w:t>
                  </w:r>
                </w:p>
              </w:tc>
              <w:tc>
                <w:tcPr>
                  <w:tcW w:w="1205" w:type="dxa"/>
                  <w:vAlign w:val="center"/>
                </w:tcPr>
                <w:p>
                  <w:pPr>
                    <w:pStyle w:val="136"/>
                    <w:adjustRightInd w:val="0"/>
                    <w:snapToGrid w:val="0"/>
                  </w:pPr>
                  <w:r>
                    <w:rPr>
                      <w:rFonts w:hint="eastAsia"/>
                    </w:rPr>
                    <w:t>1</w:t>
                  </w:r>
                  <w:r>
                    <w:t>0.3</w:t>
                  </w:r>
                </w:p>
              </w:tc>
              <w:tc>
                <w:tcPr>
                  <w:tcW w:w="1204" w:type="dxa"/>
                  <w:vAlign w:val="center"/>
                </w:tcPr>
                <w:p>
                  <w:pPr>
                    <w:pStyle w:val="136"/>
                    <w:adjustRightInd w:val="0"/>
                    <w:snapToGrid w:val="0"/>
                  </w:pPr>
                  <w:r>
                    <w:rPr>
                      <w:rFonts w:hint="eastAsia"/>
                    </w:rPr>
                    <w:t>6</w:t>
                  </w:r>
                  <w:r>
                    <w:t>.96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156" w:type="dxa"/>
                  <w:gridSpan w:val="7"/>
                  <w:vAlign w:val="center"/>
                </w:tcPr>
                <w:p>
                  <w:pPr>
                    <w:pStyle w:val="136"/>
                    <w:adjustRightInd w:val="0"/>
                    <w:snapToGrid w:val="0"/>
                    <w:jc w:val="both"/>
                    <w:rPr>
                      <w:b/>
                      <w:bCs/>
                    </w:rPr>
                  </w:pPr>
                  <w:r>
                    <w:rPr>
                      <w:rFonts w:hint="eastAsia"/>
                      <w:b/>
                      <w:bCs/>
                    </w:rPr>
                    <w:t>注：本项目按最不利情况考虑，污染物浓度取最大值。</w:t>
                  </w:r>
                </w:p>
              </w:tc>
            </w:tr>
          </w:tbl>
          <w:p>
            <w:pPr>
              <w:ind w:firstLine="480"/>
            </w:pPr>
            <w:r>
              <w:rPr>
                <w:rFonts w:hint="eastAsia"/>
              </w:rPr>
              <w:t>（5）生活污水</w:t>
            </w:r>
          </w:p>
          <w:p>
            <w:pPr>
              <w:ind w:firstLine="480"/>
            </w:pPr>
            <w:r>
              <w:rPr>
                <w:rFonts w:hint="eastAsia"/>
              </w:rPr>
              <w:t>本项目供水由市政给水管网供给，项目劳动定员1</w:t>
            </w:r>
            <w:r>
              <w:t>0</w:t>
            </w:r>
            <w:r>
              <w:rPr>
                <w:rFonts w:hint="eastAsia"/>
              </w:rPr>
              <w:t>人，不设置食堂、宿舍，参考《建筑给水排水设计标准》（GB</w:t>
            </w:r>
            <w:r>
              <w:t>50015</w:t>
            </w:r>
            <w:r>
              <w:rPr>
                <w:rFonts w:hint="eastAsia"/>
              </w:rPr>
              <w:t>-</w:t>
            </w:r>
            <w:r>
              <w:t>2019</w:t>
            </w:r>
            <w:r>
              <w:rPr>
                <w:rFonts w:hint="eastAsia"/>
              </w:rPr>
              <w:t>）和《四川省用水定额》（川府函〔</w:t>
            </w:r>
            <w:r>
              <w:t>2021</w:t>
            </w:r>
            <w:r>
              <w:rPr>
                <w:rFonts w:hint="eastAsia"/>
              </w:rPr>
              <w:t>〕</w:t>
            </w:r>
            <w:r>
              <w:t>8</w:t>
            </w:r>
            <w:r>
              <w:rPr>
                <w:rFonts w:hint="eastAsia"/>
              </w:rPr>
              <w:t>号）中所制定的各项用水定额，生活用水量按5</w:t>
            </w:r>
            <w:r>
              <w:t>0</w:t>
            </w:r>
            <w:r>
              <w:rPr>
                <w:rFonts w:hint="eastAsia"/>
              </w:rPr>
              <w:t>L</w:t>
            </w:r>
            <w:r>
              <w:t>/</w:t>
            </w:r>
            <w:r>
              <w:rPr>
                <w:rFonts w:hint="eastAsia"/>
              </w:rPr>
              <w:t>人班计，则本项目生活用水量为0</w:t>
            </w:r>
            <w:r>
              <w:t>.5</w:t>
            </w:r>
            <w:r>
              <w:rPr>
                <w:rFonts w:hint="eastAsia"/>
              </w:rPr>
              <w:t>m</w:t>
            </w:r>
            <w:r>
              <w:rPr>
                <w:vertAlign w:val="superscript"/>
              </w:rPr>
              <w:t>3</w:t>
            </w:r>
            <w:r>
              <w:t>/</w:t>
            </w:r>
            <w:r>
              <w:rPr>
                <w:rFonts w:hint="eastAsia"/>
              </w:rPr>
              <w:t>d。生活用水量本项目生活污水产生量按用水量的8</w:t>
            </w:r>
            <w:r>
              <w:t>0</w:t>
            </w:r>
            <w:r>
              <w:rPr>
                <w:rFonts w:hint="eastAsia"/>
              </w:rPr>
              <w:t>%计，则生活污水产生量为</w:t>
            </w:r>
            <w:r>
              <w:t>0.4</w:t>
            </w:r>
            <w:r>
              <w:rPr>
                <w:rFonts w:hint="eastAsia"/>
              </w:rPr>
              <w:t>m</w:t>
            </w:r>
            <w:r>
              <w:rPr>
                <w:vertAlign w:val="superscript"/>
              </w:rPr>
              <w:t>3</w:t>
            </w:r>
            <w:r>
              <w:t>/</w:t>
            </w:r>
            <w:r>
              <w:rPr>
                <w:rFonts w:hint="eastAsia"/>
              </w:rPr>
              <w:t>d。生活污水浓度参考</w:t>
            </w:r>
            <w:r>
              <w:t>《排放源统计调查产排污核算方法和系数手册——生活污染源产排污系数手册》表1-1 城镇生活源水污染物产生系数，本项目位于四川省，属于六区，本项目生活废水各污染物产生浓度分别为：COD</w:t>
            </w:r>
            <w:r>
              <w:rPr>
                <w:vertAlign w:val="subscript"/>
              </w:rPr>
              <w:t>Cr</w:t>
            </w:r>
            <w:r>
              <w:t>：325mg/L、BOD</w:t>
            </w:r>
            <w:r>
              <w:rPr>
                <w:vertAlign w:val="subscript"/>
              </w:rPr>
              <w:t>5</w:t>
            </w:r>
            <w:r>
              <w:t>：195mg/L、NH</w:t>
            </w:r>
            <w:r>
              <w:rPr>
                <w:vertAlign w:val="subscript"/>
              </w:rPr>
              <w:t>3</w:t>
            </w:r>
            <w:r>
              <w:t>-N：37.7mg/L、TP：4.28mg/L、SS：450mg/L</w:t>
            </w:r>
            <w:r>
              <w:rPr>
                <w:rFonts w:hint="eastAsia"/>
              </w:rPr>
              <w:t>。</w:t>
            </w:r>
          </w:p>
          <w:p>
            <w:pPr>
              <w:ind w:firstLine="482"/>
              <w:rPr>
                <w:b/>
                <w:bCs/>
              </w:rPr>
            </w:pPr>
            <w:r>
              <w:rPr>
                <w:rFonts w:hint="eastAsia"/>
                <w:b/>
                <w:bCs/>
              </w:rPr>
              <w:t>2、废水处理及排放措施</w:t>
            </w:r>
          </w:p>
          <w:p>
            <w:pPr>
              <w:ind w:firstLine="480"/>
            </w:pPr>
            <w:r>
              <w:rPr>
                <w:rFonts w:hint="eastAsia"/>
              </w:rPr>
              <w:t>（1）实验室废水</w:t>
            </w:r>
          </w:p>
          <w:p>
            <w:pPr>
              <w:ind w:firstLine="480"/>
            </w:pPr>
            <w:r>
              <w:rPr>
                <w:rFonts w:hint="eastAsia"/>
              </w:rPr>
              <w:t>本项目实验室废水共计为</w:t>
            </w:r>
            <w:r>
              <w:t>0.382</w:t>
            </w:r>
            <w:r>
              <w:rPr>
                <w:rFonts w:hint="eastAsia"/>
              </w:rPr>
              <w:t>m</w:t>
            </w:r>
            <w:r>
              <w:rPr>
                <w:rFonts w:hint="eastAsia"/>
                <w:vertAlign w:val="superscript"/>
              </w:rPr>
              <w:t>3</w:t>
            </w:r>
            <w:r>
              <w:rPr>
                <w:rFonts w:hint="eastAsia"/>
              </w:rPr>
              <w:t>/d（</w:t>
            </w:r>
            <w:r>
              <w:t>99.32</w:t>
            </w:r>
            <w:r>
              <w:rPr>
                <w:rFonts w:hint="eastAsia"/>
              </w:rPr>
              <w:t>m</w:t>
            </w:r>
            <w:r>
              <w:rPr>
                <w:rFonts w:hint="eastAsia"/>
                <w:vertAlign w:val="superscript"/>
              </w:rPr>
              <w:t>3</w:t>
            </w:r>
            <w:r>
              <w:rPr>
                <w:rFonts w:hint="eastAsia"/>
              </w:rPr>
              <w:t>/a）。本项目于1F、4F分别设置1套实验室废水处理装置，其中位于4F的废水处理装置用于处理5F实验室产生的废水，位于</w:t>
            </w:r>
            <w:r>
              <w:t>1</w:t>
            </w:r>
            <w:r>
              <w:rPr>
                <w:rFonts w:hint="eastAsia"/>
              </w:rPr>
              <w:t>F的废水处理装置可处理4F、5F的废水。处理规模均为0</w:t>
            </w:r>
            <w:r>
              <w:t>.3</w:t>
            </w:r>
            <w:r>
              <w:rPr>
                <w:rFonts w:hint="eastAsia"/>
              </w:rPr>
              <w:t>m</w:t>
            </w:r>
            <w:r>
              <w:rPr>
                <w:vertAlign w:val="superscript"/>
              </w:rPr>
              <w:t>3</w:t>
            </w:r>
            <w:r>
              <w:t>/</w:t>
            </w:r>
            <w:r>
              <w:rPr>
                <w:rFonts w:hint="eastAsia"/>
              </w:rPr>
              <w:t>d，采用“集水箱</w:t>
            </w:r>
            <w:r>
              <w:rPr>
                <w:rFonts w:hint="eastAsia"/>
                <w:szCs w:val="18"/>
              </w:rPr>
              <w:t>+pH调节+混凝沉淀+光催化降解+复合过滤+紫外消毒</w:t>
            </w:r>
            <w:r>
              <w:rPr>
                <w:rFonts w:hint="eastAsia"/>
              </w:rPr>
              <w:t>”处理工艺。实验室废水经处理达《污水综合排放标准》（GB</w:t>
            </w:r>
            <w:r>
              <w:t>8978</w:t>
            </w:r>
            <w:r>
              <w:rPr>
                <w:rFonts w:hint="eastAsia"/>
              </w:rPr>
              <w:t>-</w:t>
            </w:r>
            <w:r>
              <w:t>1996</w:t>
            </w:r>
            <w:r>
              <w:rPr>
                <w:rFonts w:hint="eastAsia"/>
              </w:rPr>
              <w:t>）三级标准后，</w:t>
            </w:r>
            <w:r>
              <w:rPr>
                <w:rStyle w:val="194"/>
                <w:rFonts w:hint="eastAsia"/>
                <w:color w:val="auto"/>
              </w:rPr>
              <w:t>于厂区西</w:t>
            </w:r>
            <w:r>
              <w:rPr>
                <w:rStyle w:val="194"/>
                <w:color w:val="auto"/>
              </w:rPr>
              <w:t>侧</w:t>
            </w:r>
            <w:r>
              <w:rPr>
                <w:rStyle w:val="194"/>
                <w:rFonts w:hint="eastAsia"/>
                <w:color w:val="auto"/>
              </w:rPr>
              <w:t>市政污水管网碰管，</w:t>
            </w:r>
            <w:r>
              <w:rPr>
                <w:rFonts w:hint="eastAsia"/>
              </w:rPr>
              <w:t>通过市政污水管网排入巴中经济开发区污水处理厂（</w:t>
            </w:r>
            <w:r>
              <w:t>1</w:t>
            </w:r>
            <w:r>
              <w:rPr>
                <w:rFonts w:hint="eastAsia"/>
              </w:rPr>
              <w:t>期，1</w:t>
            </w:r>
            <w:r>
              <w:t>.99</w:t>
            </w:r>
            <w:r>
              <w:rPr>
                <w:rFonts w:hint="eastAsia"/>
              </w:rPr>
              <w:t>万m</w:t>
            </w:r>
            <w:r>
              <w:rPr>
                <w:vertAlign w:val="superscript"/>
              </w:rPr>
              <w:t>3</w:t>
            </w:r>
            <w:r>
              <w:t>/</w:t>
            </w:r>
            <w:r>
              <w:rPr>
                <w:rFonts w:hint="eastAsia"/>
              </w:rPr>
              <w:t>d）处理达《城镇污水处理厂污染物排放标准》（GB18918-2002）中一级A标准后排入巴河。</w:t>
            </w:r>
          </w:p>
          <w:p>
            <w:pPr>
              <w:ind w:firstLine="480"/>
            </w:pPr>
            <w:r>
              <w:rPr>
                <w:rFonts w:hint="eastAsia"/>
              </w:rPr>
              <w:t>（</w:t>
            </w:r>
            <w:r>
              <w:t>2</w:t>
            </w:r>
            <w:r>
              <w:rPr>
                <w:rFonts w:hint="eastAsia"/>
              </w:rPr>
              <w:t>）生活污水</w:t>
            </w:r>
          </w:p>
          <w:p>
            <w:pPr>
              <w:ind w:firstLine="480"/>
            </w:pPr>
            <w:r>
              <w:rPr>
                <w:rFonts w:hint="eastAsia"/>
              </w:rPr>
              <w:t>本项目生活污水产生量为</w:t>
            </w:r>
            <w:r>
              <w:t>0.4</w:t>
            </w:r>
            <w:r>
              <w:rPr>
                <w:rFonts w:hint="eastAsia"/>
              </w:rPr>
              <w:t>m</w:t>
            </w:r>
            <w:r>
              <w:rPr>
                <w:vertAlign w:val="superscript"/>
              </w:rPr>
              <w:t>3</w:t>
            </w:r>
            <w:r>
              <w:t>/</w:t>
            </w:r>
            <w:r>
              <w:rPr>
                <w:rFonts w:hint="eastAsia"/>
              </w:rPr>
              <w:t>d，</w:t>
            </w:r>
            <w:r>
              <w:rPr>
                <w:rStyle w:val="194"/>
                <w:rFonts w:hint="eastAsia"/>
                <w:color w:val="auto"/>
              </w:rPr>
              <w:t>经</w:t>
            </w:r>
            <w:r>
              <w:rPr>
                <w:rStyle w:val="194"/>
                <w:color w:val="auto"/>
              </w:rPr>
              <w:t>生活污水预处理池</w:t>
            </w:r>
            <w:r>
              <w:rPr>
                <w:rStyle w:val="194"/>
                <w:rFonts w:hint="eastAsia"/>
                <w:color w:val="auto"/>
              </w:rPr>
              <w:t>（处理规模</w:t>
            </w:r>
            <w:r>
              <w:rPr>
                <w:rStyle w:val="194"/>
                <w:color w:val="auto"/>
              </w:rPr>
              <w:t>10m</w:t>
            </w:r>
            <w:r>
              <w:rPr>
                <w:rStyle w:val="194"/>
                <w:color w:val="auto"/>
                <w:vertAlign w:val="superscript"/>
              </w:rPr>
              <w:t>3</w:t>
            </w:r>
            <w:r>
              <w:rPr>
                <w:rStyle w:val="194"/>
                <w:color w:val="auto"/>
              </w:rPr>
              <w:t>/d，</w:t>
            </w:r>
            <w:r>
              <w:rPr>
                <w:rStyle w:val="194"/>
                <w:rFonts w:hint="eastAsia"/>
                <w:color w:val="auto"/>
              </w:rPr>
              <w:t>位于厂区西侧）处理后，于厂区西</w:t>
            </w:r>
            <w:r>
              <w:rPr>
                <w:rStyle w:val="194"/>
                <w:color w:val="auto"/>
              </w:rPr>
              <w:t>侧</w:t>
            </w:r>
            <w:r>
              <w:rPr>
                <w:rStyle w:val="194"/>
                <w:rFonts w:hint="eastAsia"/>
                <w:color w:val="auto"/>
              </w:rPr>
              <w:t>市政污水管网碰管，</w:t>
            </w:r>
            <w:r>
              <w:rPr>
                <w:rFonts w:hint="eastAsia"/>
              </w:rPr>
              <w:t>通过市政污水管网排入巴中经济开发区污水处理厂（</w:t>
            </w:r>
            <w:r>
              <w:t>1</w:t>
            </w:r>
            <w:r>
              <w:rPr>
                <w:rFonts w:hint="eastAsia"/>
              </w:rPr>
              <w:t>期，1</w:t>
            </w:r>
            <w:r>
              <w:t>.99</w:t>
            </w:r>
            <w:r>
              <w:rPr>
                <w:rFonts w:hint="eastAsia"/>
              </w:rPr>
              <w:t>万m</w:t>
            </w:r>
            <w:r>
              <w:rPr>
                <w:vertAlign w:val="superscript"/>
              </w:rPr>
              <w:t>3</w:t>
            </w:r>
            <w:r>
              <w:t>/</w:t>
            </w:r>
            <w:r>
              <w:rPr>
                <w:rFonts w:hint="eastAsia"/>
              </w:rPr>
              <w:t>d）处理达《城镇污水处理厂污染物排放标准》（GB18918-2002）中一级A标准后排入巴河。</w:t>
            </w:r>
          </w:p>
          <w:p>
            <w:pPr>
              <w:ind w:firstLine="480"/>
            </w:pPr>
            <w:r>
              <w:rPr>
                <w:rFonts w:hint="eastAsia"/>
              </w:rPr>
              <w:t>废水产生排放情况汇总：</w:t>
            </w:r>
          </w:p>
          <w:p>
            <w:pPr>
              <w:pStyle w:val="157"/>
              <w:ind w:firstLine="420"/>
            </w:pPr>
            <w:r>
              <w:rPr>
                <w:rFonts w:hint="eastAsia"/>
              </w:rPr>
              <w:t>表4</w:t>
            </w:r>
            <w:r>
              <w:t xml:space="preserve">.1-3  </w:t>
            </w:r>
            <w:r>
              <w:rPr>
                <w:rFonts w:hint="eastAsia"/>
              </w:rPr>
              <w:t xml:space="preserve">项目废水产生、处理及排放情况 </w:t>
            </w:r>
            <w:r>
              <w:t xml:space="preserve"> </w:t>
            </w:r>
            <w:r>
              <w:rPr>
                <w:rFonts w:hint="eastAsia"/>
              </w:rPr>
              <w:t>单位：mg</w:t>
            </w:r>
            <w:r>
              <w:t>/</w:t>
            </w:r>
            <w:r>
              <w:rPr>
                <w:rFonts w:hint="eastAsia"/>
              </w:rPr>
              <w:t>L</w:t>
            </w:r>
          </w:p>
          <w:tbl>
            <w:tblPr>
              <w:tblStyle w:val="19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49"/>
              <w:gridCol w:w="710"/>
              <w:gridCol w:w="1701"/>
              <w:gridCol w:w="992"/>
              <w:gridCol w:w="781"/>
              <w:gridCol w:w="781"/>
              <w:gridCol w:w="781"/>
              <w:gridCol w:w="781"/>
              <w:gridCol w:w="7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20" w:type="pct"/>
                  <w:vAlign w:val="center"/>
                </w:tcPr>
                <w:p>
                  <w:pPr>
                    <w:pStyle w:val="136"/>
                    <w:adjustRightInd w:val="0"/>
                    <w:snapToGrid w:val="0"/>
                    <w:rPr>
                      <w:b/>
                      <w:bCs/>
                    </w:rPr>
                  </w:pPr>
                  <w:r>
                    <w:rPr>
                      <w:rFonts w:hint="eastAsia"/>
                      <w:b/>
                      <w:bCs/>
                    </w:rPr>
                    <w:t>类别</w:t>
                  </w:r>
                </w:p>
              </w:tc>
              <w:tc>
                <w:tcPr>
                  <w:tcW w:w="1478" w:type="pct"/>
                  <w:gridSpan w:val="2"/>
                  <w:vAlign w:val="center"/>
                </w:tcPr>
                <w:p>
                  <w:pPr>
                    <w:pStyle w:val="136"/>
                    <w:adjustRightInd w:val="0"/>
                    <w:snapToGrid w:val="0"/>
                    <w:rPr>
                      <w:b/>
                      <w:bCs/>
                    </w:rPr>
                  </w:pPr>
                  <w:r>
                    <w:rPr>
                      <w:rFonts w:hint="eastAsia"/>
                      <w:b/>
                      <w:bCs/>
                    </w:rPr>
                    <w:t>废水性质</w:t>
                  </w:r>
                </w:p>
              </w:tc>
              <w:tc>
                <w:tcPr>
                  <w:tcW w:w="608" w:type="pct"/>
                  <w:vAlign w:val="center"/>
                </w:tcPr>
                <w:p>
                  <w:pPr>
                    <w:pStyle w:val="136"/>
                    <w:adjustRightInd w:val="0"/>
                    <w:snapToGrid w:val="0"/>
                    <w:rPr>
                      <w:b/>
                      <w:bCs/>
                    </w:rPr>
                  </w:pPr>
                  <w:r>
                    <w:rPr>
                      <w:rFonts w:hint="eastAsia"/>
                      <w:b/>
                      <w:bCs/>
                    </w:rPr>
                    <w:t>排水量</w:t>
                  </w:r>
                </w:p>
              </w:tc>
              <w:tc>
                <w:tcPr>
                  <w:tcW w:w="479" w:type="pct"/>
                  <w:vAlign w:val="center"/>
                </w:tcPr>
                <w:p>
                  <w:pPr>
                    <w:pStyle w:val="136"/>
                    <w:adjustRightInd w:val="0"/>
                    <w:snapToGrid w:val="0"/>
                    <w:rPr>
                      <w:rFonts w:eastAsia="等线"/>
                      <w:b/>
                      <w:bCs/>
                    </w:rPr>
                  </w:pPr>
                  <w:r>
                    <w:rPr>
                      <w:rFonts w:eastAsia="等线"/>
                      <w:b/>
                      <w:bCs/>
                    </w:rPr>
                    <w:t>COD</w:t>
                  </w:r>
                  <w:r>
                    <w:rPr>
                      <w:rFonts w:eastAsia="等线"/>
                      <w:b/>
                      <w:bCs/>
                      <w:vertAlign w:val="subscript"/>
                    </w:rPr>
                    <w:t>Cr</w:t>
                  </w:r>
                </w:p>
              </w:tc>
              <w:tc>
                <w:tcPr>
                  <w:tcW w:w="479" w:type="pct"/>
                  <w:vAlign w:val="center"/>
                </w:tcPr>
                <w:p>
                  <w:pPr>
                    <w:pStyle w:val="136"/>
                    <w:adjustRightInd w:val="0"/>
                    <w:snapToGrid w:val="0"/>
                    <w:rPr>
                      <w:rFonts w:eastAsia="等线"/>
                      <w:b/>
                      <w:bCs/>
                    </w:rPr>
                  </w:pPr>
                  <w:r>
                    <w:rPr>
                      <w:rFonts w:eastAsia="等线"/>
                      <w:b/>
                      <w:bCs/>
                    </w:rPr>
                    <w:t>BOD</w:t>
                  </w:r>
                  <w:r>
                    <w:rPr>
                      <w:rFonts w:eastAsia="等线"/>
                      <w:b/>
                      <w:bCs/>
                      <w:vertAlign w:val="subscript"/>
                    </w:rPr>
                    <w:t>5</w:t>
                  </w:r>
                </w:p>
              </w:tc>
              <w:tc>
                <w:tcPr>
                  <w:tcW w:w="479" w:type="pct"/>
                  <w:vAlign w:val="center"/>
                </w:tcPr>
                <w:p>
                  <w:pPr>
                    <w:pStyle w:val="136"/>
                    <w:adjustRightInd w:val="0"/>
                    <w:snapToGrid w:val="0"/>
                    <w:rPr>
                      <w:b/>
                      <w:bCs/>
                    </w:rPr>
                  </w:pPr>
                  <w:r>
                    <w:rPr>
                      <w:rFonts w:hint="eastAsia"/>
                      <w:b/>
                      <w:bCs/>
                    </w:rPr>
                    <w:t>氨氮</w:t>
                  </w:r>
                </w:p>
              </w:tc>
              <w:tc>
                <w:tcPr>
                  <w:tcW w:w="479" w:type="pct"/>
                  <w:vAlign w:val="center"/>
                </w:tcPr>
                <w:p>
                  <w:pPr>
                    <w:pStyle w:val="136"/>
                    <w:adjustRightInd w:val="0"/>
                    <w:snapToGrid w:val="0"/>
                    <w:rPr>
                      <w:rFonts w:eastAsia="等线"/>
                      <w:b/>
                      <w:bCs/>
                    </w:rPr>
                  </w:pPr>
                  <w:r>
                    <w:rPr>
                      <w:rFonts w:eastAsia="等线"/>
                      <w:b/>
                      <w:bCs/>
                    </w:rPr>
                    <w:t>SS</w:t>
                  </w:r>
                </w:p>
              </w:tc>
              <w:tc>
                <w:tcPr>
                  <w:tcW w:w="479" w:type="pct"/>
                  <w:vAlign w:val="center"/>
                </w:tcPr>
                <w:p>
                  <w:pPr>
                    <w:pStyle w:val="136"/>
                    <w:adjustRightInd w:val="0"/>
                    <w:snapToGrid w:val="0"/>
                    <w:rPr>
                      <w:rFonts w:eastAsia="等线"/>
                      <w:b/>
                      <w:bCs/>
                    </w:rPr>
                  </w:pPr>
                  <w:r>
                    <w:rPr>
                      <w:rFonts w:eastAsia="等线"/>
                      <w:b/>
                      <w:bCs/>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20" w:type="pct"/>
                  <w:vMerge w:val="restart"/>
                  <w:vAlign w:val="center"/>
                </w:tcPr>
                <w:p>
                  <w:pPr>
                    <w:pStyle w:val="136"/>
                    <w:adjustRightInd w:val="0"/>
                    <w:snapToGrid w:val="0"/>
                  </w:pPr>
                  <w:r>
                    <w:rPr>
                      <w:rFonts w:hint="eastAsia"/>
                    </w:rPr>
                    <w:t>生活污水</w:t>
                  </w:r>
                </w:p>
              </w:tc>
              <w:tc>
                <w:tcPr>
                  <w:tcW w:w="435" w:type="pct"/>
                  <w:vMerge w:val="restart"/>
                  <w:vAlign w:val="center"/>
                </w:tcPr>
                <w:p>
                  <w:pPr>
                    <w:pStyle w:val="136"/>
                    <w:adjustRightInd w:val="0"/>
                    <w:snapToGrid w:val="0"/>
                  </w:pPr>
                  <w:r>
                    <w:rPr>
                      <w:rFonts w:hint="eastAsia"/>
                    </w:rPr>
                    <w:t>处理前</w:t>
                  </w:r>
                </w:p>
              </w:tc>
              <w:tc>
                <w:tcPr>
                  <w:tcW w:w="1043" w:type="pct"/>
                  <w:vAlign w:val="center"/>
                </w:tcPr>
                <w:p>
                  <w:pPr>
                    <w:pStyle w:val="136"/>
                    <w:adjustRightInd w:val="0"/>
                    <w:snapToGrid w:val="0"/>
                  </w:pPr>
                  <w:r>
                    <w:rPr>
                      <w:rFonts w:hint="eastAsia"/>
                    </w:rPr>
                    <w:t>产生浓度</w:t>
                  </w:r>
                </w:p>
              </w:tc>
              <w:tc>
                <w:tcPr>
                  <w:tcW w:w="608" w:type="pct"/>
                  <w:vMerge w:val="restart"/>
                  <w:vAlign w:val="center"/>
                </w:tcPr>
                <w:p>
                  <w:pPr>
                    <w:pStyle w:val="136"/>
                    <w:adjustRightInd w:val="0"/>
                    <w:snapToGrid w:val="0"/>
                    <w:rPr>
                      <w:rFonts w:eastAsia="等线"/>
                    </w:rPr>
                  </w:pPr>
                  <w:r>
                    <w:rPr>
                      <w:rFonts w:eastAsia="等线"/>
                    </w:rPr>
                    <w:t>104</w:t>
                  </w:r>
                  <w:r>
                    <w:rPr>
                      <w:rFonts w:hint="eastAsia" w:eastAsia="等线"/>
                    </w:rPr>
                    <w:t>m</w:t>
                  </w:r>
                  <w:r>
                    <w:rPr>
                      <w:rFonts w:eastAsia="等线"/>
                      <w:vertAlign w:val="superscript"/>
                    </w:rPr>
                    <w:t>3</w:t>
                  </w:r>
                  <w:r>
                    <w:rPr>
                      <w:rFonts w:eastAsia="等线"/>
                    </w:rPr>
                    <w:t>/</w:t>
                  </w:r>
                  <w:r>
                    <w:rPr>
                      <w:rFonts w:hint="eastAsia" w:eastAsia="等线"/>
                    </w:rPr>
                    <w:t>a</w:t>
                  </w:r>
                </w:p>
              </w:tc>
              <w:tc>
                <w:tcPr>
                  <w:tcW w:w="479" w:type="pct"/>
                  <w:vAlign w:val="center"/>
                </w:tcPr>
                <w:p>
                  <w:pPr>
                    <w:pStyle w:val="136"/>
                    <w:adjustRightInd w:val="0"/>
                    <w:snapToGrid w:val="0"/>
                    <w:rPr>
                      <w:rFonts w:eastAsia="等线"/>
                    </w:rPr>
                  </w:pPr>
                  <w:r>
                    <w:rPr>
                      <w:rFonts w:eastAsia="等线"/>
                    </w:rPr>
                    <w:t>325</w:t>
                  </w:r>
                </w:p>
              </w:tc>
              <w:tc>
                <w:tcPr>
                  <w:tcW w:w="479" w:type="pct"/>
                  <w:vAlign w:val="center"/>
                </w:tcPr>
                <w:p>
                  <w:pPr>
                    <w:pStyle w:val="136"/>
                    <w:adjustRightInd w:val="0"/>
                    <w:snapToGrid w:val="0"/>
                    <w:rPr>
                      <w:rFonts w:eastAsia="等线"/>
                    </w:rPr>
                  </w:pPr>
                  <w:r>
                    <w:rPr>
                      <w:rFonts w:eastAsia="等线"/>
                    </w:rPr>
                    <w:t>195</w:t>
                  </w:r>
                </w:p>
              </w:tc>
              <w:tc>
                <w:tcPr>
                  <w:tcW w:w="479" w:type="pct"/>
                  <w:vAlign w:val="center"/>
                </w:tcPr>
                <w:p>
                  <w:pPr>
                    <w:pStyle w:val="136"/>
                    <w:adjustRightInd w:val="0"/>
                    <w:snapToGrid w:val="0"/>
                    <w:rPr>
                      <w:rFonts w:eastAsia="等线"/>
                    </w:rPr>
                  </w:pPr>
                  <w:r>
                    <w:rPr>
                      <w:rFonts w:eastAsia="等线"/>
                    </w:rPr>
                    <w:t>37.7</w:t>
                  </w:r>
                </w:p>
              </w:tc>
              <w:tc>
                <w:tcPr>
                  <w:tcW w:w="479" w:type="pct"/>
                  <w:vAlign w:val="center"/>
                </w:tcPr>
                <w:p>
                  <w:pPr>
                    <w:pStyle w:val="136"/>
                    <w:adjustRightInd w:val="0"/>
                    <w:snapToGrid w:val="0"/>
                    <w:rPr>
                      <w:rFonts w:eastAsia="等线"/>
                    </w:rPr>
                  </w:pPr>
                  <w:r>
                    <w:rPr>
                      <w:rFonts w:eastAsia="等线"/>
                    </w:rPr>
                    <w:t>450</w:t>
                  </w:r>
                </w:p>
              </w:tc>
              <w:tc>
                <w:tcPr>
                  <w:tcW w:w="479" w:type="pct"/>
                  <w:vAlign w:val="center"/>
                </w:tcPr>
                <w:p>
                  <w:pPr>
                    <w:pStyle w:val="136"/>
                    <w:adjustRightInd w:val="0"/>
                    <w:snapToGrid w:val="0"/>
                    <w:rPr>
                      <w:rFonts w:eastAsia="等线"/>
                    </w:rPr>
                  </w:pPr>
                  <w:r>
                    <w:rPr>
                      <w:rFonts w:eastAsia="等线"/>
                    </w:rPr>
                    <w:t>4.28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20" w:type="pct"/>
                  <w:vMerge w:val="continue"/>
                  <w:vAlign w:val="center"/>
                </w:tcPr>
                <w:p>
                  <w:pPr>
                    <w:pStyle w:val="136"/>
                    <w:adjustRightInd w:val="0"/>
                    <w:snapToGrid w:val="0"/>
                  </w:pPr>
                </w:p>
              </w:tc>
              <w:tc>
                <w:tcPr>
                  <w:tcW w:w="435" w:type="pct"/>
                  <w:vMerge w:val="continue"/>
                  <w:vAlign w:val="center"/>
                </w:tcPr>
                <w:p>
                  <w:pPr>
                    <w:pStyle w:val="136"/>
                    <w:adjustRightInd w:val="0"/>
                    <w:snapToGrid w:val="0"/>
                  </w:pPr>
                </w:p>
              </w:tc>
              <w:tc>
                <w:tcPr>
                  <w:tcW w:w="1043" w:type="pct"/>
                  <w:vAlign w:val="center"/>
                </w:tcPr>
                <w:p>
                  <w:pPr>
                    <w:pStyle w:val="136"/>
                    <w:adjustRightInd w:val="0"/>
                    <w:snapToGrid w:val="0"/>
                  </w:pPr>
                  <w:r>
                    <w:rPr>
                      <w:rFonts w:hint="eastAsia"/>
                    </w:rPr>
                    <w:t>产生量</w:t>
                  </w:r>
                  <w:r>
                    <w:t>t/a</w:t>
                  </w:r>
                </w:p>
              </w:tc>
              <w:tc>
                <w:tcPr>
                  <w:tcW w:w="608" w:type="pct"/>
                  <w:vMerge w:val="continue"/>
                  <w:vAlign w:val="center"/>
                </w:tcPr>
                <w:p>
                  <w:pPr>
                    <w:pStyle w:val="136"/>
                    <w:adjustRightInd w:val="0"/>
                    <w:snapToGrid w:val="0"/>
                    <w:rPr>
                      <w:rFonts w:eastAsia="等线"/>
                    </w:rPr>
                  </w:pPr>
                </w:p>
              </w:tc>
              <w:tc>
                <w:tcPr>
                  <w:tcW w:w="479" w:type="pct"/>
                  <w:vAlign w:val="center"/>
                </w:tcPr>
                <w:p>
                  <w:pPr>
                    <w:pStyle w:val="136"/>
                    <w:adjustRightInd w:val="0"/>
                    <w:snapToGrid w:val="0"/>
                    <w:rPr>
                      <w:rFonts w:eastAsia="等线"/>
                    </w:rPr>
                  </w:pPr>
                  <w:r>
                    <w:rPr>
                      <w:rFonts w:eastAsia="等线"/>
                    </w:rPr>
                    <w:t>0.034</w:t>
                  </w:r>
                </w:p>
              </w:tc>
              <w:tc>
                <w:tcPr>
                  <w:tcW w:w="479" w:type="pct"/>
                  <w:vAlign w:val="center"/>
                </w:tcPr>
                <w:p>
                  <w:pPr>
                    <w:pStyle w:val="136"/>
                    <w:adjustRightInd w:val="0"/>
                    <w:snapToGrid w:val="0"/>
                    <w:rPr>
                      <w:rFonts w:eastAsia="等线"/>
                    </w:rPr>
                  </w:pPr>
                  <w:r>
                    <w:rPr>
                      <w:rFonts w:eastAsia="等线"/>
                    </w:rPr>
                    <w:t>0.020</w:t>
                  </w:r>
                </w:p>
              </w:tc>
              <w:tc>
                <w:tcPr>
                  <w:tcW w:w="479" w:type="pct"/>
                  <w:vAlign w:val="center"/>
                </w:tcPr>
                <w:p>
                  <w:pPr>
                    <w:pStyle w:val="136"/>
                    <w:adjustRightInd w:val="0"/>
                    <w:snapToGrid w:val="0"/>
                    <w:rPr>
                      <w:rFonts w:eastAsia="等线"/>
                    </w:rPr>
                  </w:pPr>
                  <w:r>
                    <w:rPr>
                      <w:rFonts w:eastAsia="等线"/>
                    </w:rPr>
                    <w:t>0.004</w:t>
                  </w:r>
                </w:p>
              </w:tc>
              <w:tc>
                <w:tcPr>
                  <w:tcW w:w="479" w:type="pct"/>
                  <w:vAlign w:val="center"/>
                </w:tcPr>
                <w:p>
                  <w:pPr>
                    <w:pStyle w:val="136"/>
                    <w:adjustRightInd w:val="0"/>
                    <w:snapToGrid w:val="0"/>
                    <w:rPr>
                      <w:rFonts w:eastAsia="等线"/>
                    </w:rPr>
                  </w:pPr>
                  <w:r>
                    <w:rPr>
                      <w:rFonts w:eastAsia="等线"/>
                    </w:rPr>
                    <w:t>0.047</w:t>
                  </w:r>
                </w:p>
              </w:tc>
              <w:tc>
                <w:tcPr>
                  <w:tcW w:w="479" w:type="pct"/>
                  <w:vAlign w:val="center"/>
                </w:tcPr>
                <w:p>
                  <w:pPr>
                    <w:pStyle w:val="136"/>
                    <w:adjustRightInd w:val="0"/>
                    <w:snapToGrid w:val="0"/>
                    <w:rPr>
                      <w:rFonts w:eastAsia="等线"/>
                    </w:rPr>
                  </w:pPr>
                  <w:r>
                    <w:rPr>
                      <w:rFonts w:eastAsia="等线"/>
                    </w:rPr>
                    <w:t>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20" w:type="pct"/>
                  <w:vMerge w:val="continue"/>
                  <w:vAlign w:val="center"/>
                </w:tcPr>
                <w:p>
                  <w:pPr>
                    <w:pStyle w:val="136"/>
                    <w:adjustRightInd w:val="0"/>
                    <w:snapToGrid w:val="0"/>
                  </w:pPr>
                </w:p>
              </w:tc>
              <w:tc>
                <w:tcPr>
                  <w:tcW w:w="1478" w:type="pct"/>
                  <w:gridSpan w:val="2"/>
                  <w:vAlign w:val="center"/>
                </w:tcPr>
                <w:p>
                  <w:pPr>
                    <w:pStyle w:val="136"/>
                    <w:adjustRightInd w:val="0"/>
                    <w:snapToGrid w:val="0"/>
                  </w:pPr>
                  <w:r>
                    <w:rPr>
                      <w:rFonts w:hint="eastAsia"/>
                    </w:rPr>
                    <w:t>去除效率（%）</w:t>
                  </w:r>
                </w:p>
              </w:tc>
              <w:tc>
                <w:tcPr>
                  <w:tcW w:w="608" w:type="pct"/>
                  <w:vMerge w:val="continue"/>
                  <w:vAlign w:val="center"/>
                </w:tcPr>
                <w:p>
                  <w:pPr>
                    <w:pStyle w:val="136"/>
                    <w:adjustRightInd w:val="0"/>
                    <w:snapToGrid w:val="0"/>
                    <w:rPr>
                      <w:rFonts w:eastAsia="等线"/>
                    </w:rPr>
                  </w:pPr>
                </w:p>
              </w:tc>
              <w:tc>
                <w:tcPr>
                  <w:tcW w:w="479" w:type="pct"/>
                  <w:vAlign w:val="center"/>
                </w:tcPr>
                <w:p>
                  <w:pPr>
                    <w:pStyle w:val="136"/>
                    <w:adjustRightInd w:val="0"/>
                    <w:snapToGrid w:val="0"/>
                    <w:rPr>
                      <w:rFonts w:eastAsia="等线"/>
                    </w:rPr>
                  </w:pPr>
                  <w:r>
                    <w:rPr>
                      <w:rFonts w:eastAsia="等线"/>
                    </w:rPr>
                    <w:t>10%</w:t>
                  </w:r>
                </w:p>
              </w:tc>
              <w:tc>
                <w:tcPr>
                  <w:tcW w:w="479" w:type="pct"/>
                  <w:vAlign w:val="center"/>
                </w:tcPr>
                <w:p>
                  <w:pPr>
                    <w:pStyle w:val="136"/>
                    <w:adjustRightInd w:val="0"/>
                    <w:snapToGrid w:val="0"/>
                    <w:rPr>
                      <w:rFonts w:eastAsia="等线"/>
                    </w:rPr>
                  </w:pPr>
                  <w:r>
                    <w:rPr>
                      <w:rFonts w:eastAsia="等线"/>
                    </w:rPr>
                    <w:t>10%</w:t>
                  </w:r>
                </w:p>
              </w:tc>
              <w:tc>
                <w:tcPr>
                  <w:tcW w:w="479" w:type="pct"/>
                  <w:vAlign w:val="center"/>
                </w:tcPr>
                <w:p>
                  <w:pPr>
                    <w:pStyle w:val="136"/>
                    <w:adjustRightInd w:val="0"/>
                    <w:snapToGrid w:val="0"/>
                    <w:rPr>
                      <w:rFonts w:eastAsia="等线"/>
                    </w:rPr>
                  </w:pPr>
                  <w:r>
                    <w:rPr>
                      <w:rFonts w:eastAsia="等线"/>
                    </w:rPr>
                    <w:t>10%</w:t>
                  </w:r>
                </w:p>
              </w:tc>
              <w:tc>
                <w:tcPr>
                  <w:tcW w:w="479" w:type="pct"/>
                  <w:vAlign w:val="center"/>
                </w:tcPr>
                <w:p>
                  <w:pPr>
                    <w:pStyle w:val="136"/>
                    <w:adjustRightInd w:val="0"/>
                    <w:snapToGrid w:val="0"/>
                    <w:rPr>
                      <w:rFonts w:eastAsia="等线"/>
                    </w:rPr>
                  </w:pPr>
                  <w:r>
                    <w:rPr>
                      <w:rFonts w:eastAsia="等线"/>
                    </w:rPr>
                    <w:t>50%</w:t>
                  </w:r>
                </w:p>
              </w:tc>
              <w:tc>
                <w:tcPr>
                  <w:tcW w:w="479" w:type="pct"/>
                  <w:vAlign w:val="center"/>
                </w:tcPr>
                <w:p>
                  <w:pPr>
                    <w:pStyle w:val="136"/>
                    <w:adjustRightInd w:val="0"/>
                    <w:snapToGrid w:val="0"/>
                    <w:rPr>
                      <w:rFonts w:eastAsia="等线"/>
                    </w:rPr>
                  </w:pPr>
                  <w:r>
                    <w:rPr>
                      <w:rFonts w:eastAsia="等线"/>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20" w:type="pct"/>
                  <w:vMerge w:val="continue"/>
                  <w:vAlign w:val="center"/>
                </w:tcPr>
                <w:p>
                  <w:pPr>
                    <w:pStyle w:val="136"/>
                    <w:adjustRightInd w:val="0"/>
                    <w:snapToGrid w:val="0"/>
                  </w:pPr>
                </w:p>
              </w:tc>
              <w:tc>
                <w:tcPr>
                  <w:tcW w:w="435" w:type="pct"/>
                  <w:vMerge w:val="restart"/>
                  <w:vAlign w:val="center"/>
                </w:tcPr>
                <w:p>
                  <w:pPr>
                    <w:pStyle w:val="136"/>
                    <w:adjustRightInd w:val="0"/>
                    <w:snapToGrid w:val="0"/>
                  </w:pPr>
                  <w:r>
                    <w:rPr>
                      <w:rFonts w:hint="eastAsia"/>
                    </w:rPr>
                    <w:t>处理后</w:t>
                  </w:r>
                </w:p>
              </w:tc>
              <w:tc>
                <w:tcPr>
                  <w:tcW w:w="1043" w:type="pct"/>
                  <w:vAlign w:val="center"/>
                </w:tcPr>
                <w:p>
                  <w:pPr>
                    <w:pStyle w:val="136"/>
                    <w:adjustRightInd w:val="0"/>
                    <w:snapToGrid w:val="0"/>
                  </w:pPr>
                  <w:r>
                    <w:rPr>
                      <w:rFonts w:hint="eastAsia"/>
                    </w:rPr>
                    <w:t>排放浓度</w:t>
                  </w:r>
                </w:p>
              </w:tc>
              <w:tc>
                <w:tcPr>
                  <w:tcW w:w="608" w:type="pct"/>
                  <w:vMerge w:val="continue"/>
                  <w:vAlign w:val="center"/>
                </w:tcPr>
                <w:p>
                  <w:pPr>
                    <w:pStyle w:val="136"/>
                    <w:adjustRightInd w:val="0"/>
                    <w:snapToGrid w:val="0"/>
                    <w:rPr>
                      <w:rFonts w:eastAsia="等线"/>
                    </w:rPr>
                  </w:pPr>
                </w:p>
              </w:tc>
              <w:tc>
                <w:tcPr>
                  <w:tcW w:w="479" w:type="pct"/>
                  <w:vAlign w:val="center"/>
                </w:tcPr>
                <w:p>
                  <w:pPr>
                    <w:pStyle w:val="136"/>
                    <w:adjustRightInd w:val="0"/>
                    <w:snapToGrid w:val="0"/>
                    <w:rPr>
                      <w:rFonts w:eastAsia="等线"/>
                    </w:rPr>
                  </w:pPr>
                  <w:r>
                    <w:rPr>
                      <w:rFonts w:eastAsia="等线"/>
                    </w:rPr>
                    <w:t>292.5</w:t>
                  </w:r>
                </w:p>
              </w:tc>
              <w:tc>
                <w:tcPr>
                  <w:tcW w:w="479" w:type="pct"/>
                  <w:vAlign w:val="center"/>
                </w:tcPr>
                <w:p>
                  <w:pPr>
                    <w:pStyle w:val="136"/>
                    <w:adjustRightInd w:val="0"/>
                    <w:snapToGrid w:val="0"/>
                    <w:rPr>
                      <w:rFonts w:eastAsia="等线"/>
                    </w:rPr>
                  </w:pPr>
                  <w:r>
                    <w:rPr>
                      <w:rFonts w:eastAsia="等线"/>
                    </w:rPr>
                    <w:t>175.5</w:t>
                  </w:r>
                </w:p>
              </w:tc>
              <w:tc>
                <w:tcPr>
                  <w:tcW w:w="479" w:type="pct"/>
                  <w:vAlign w:val="center"/>
                </w:tcPr>
                <w:p>
                  <w:pPr>
                    <w:pStyle w:val="136"/>
                    <w:adjustRightInd w:val="0"/>
                    <w:snapToGrid w:val="0"/>
                    <w:rPr>
                      <w:rFonts w:eastAsia="等线"/>
                    </w:rPr>
                  </w:pPr>
                  <w:r>
                    <w:rPr>
                      <w:rFonts w:eastAsia="等线"/>
                    </w:rPr>
                    <w:t>33.93</w:t>
                  </w:r>
                </w:p>
              </w:tc>
              <w:tc>
                <w:tcPr>
                  <w:tcW w:w="479" w:type="pct"/>
                  <w:vAlign w:val="center"/>
                </w:tcPr>
                <w:p>
                  <w:pPr>
                    <w:pStyle w:val="136"/>
                    <w:adjustRightInd w:val="0"/>
                    <w:snapToGrid w:val="0"/>
                    <w:rPr>
                      <w:rFonts w:eastAsia="等线"/>
                    </w:rPr>
                  </w:pPr>
                  <w:r>
                    <w:rPr>
                      <w:rFonts w:eastAsia="等线"/>
                    </w:rPr>
                    <w:t>225</w:t>
                  </w:r>
                </w:p>
              </w:tc>
              <w:tc>
                <w:tcPr>
                  <w:tcW w:w="479" w:type="pct"/>
                  <w:vAlign w:val="center"/>
                </w:tcPr>
                <w:p>
                  <w:pPr>
                    <w:pStyle w:val="136"/>
                    <w:adjustRightInd w:val="0"/>
                    <w:snapToGrid w:val="0"/>
                    <w:rPr>
                      <w:rFonts w:eastAsia="等线"/>
                    </w:rPr>
                  </w:pPr>
                  <w:r>
                    <w:rPr>
                      <w:rFonts w:eastAsia="等线"/>
                    </w:rPr>
                    <w:t>3.85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20" w:type="pct"/>
                  <w:vMerge w:val="continue"/>
                  <w:vAlign w:val="center"/>
                </w:tcPr>
                <w:p>
                  <w:pPr>
                    <w:pStyle w:val="136"/>
                    <w:adjustRightInd w:val="0"/>
                    <w:snapToGrid w:val="0"/>
                  </w:pPr>
                </w:p>
              </w:tc>
              <w:tc>
                <w:tcPr>
                  <w:tcW w:w="435" w:type="pct"/>
                  <w:vMerge w:val="continue"/>
                  <w:vAlign w:val="center"/>
                </w:tcPr>
                <w:p>
                  <w:pPr>
                    <w:pStyle w:val="136"/>
                    <w:adjustRightInd w:val="0"/>
                    <w:snapToGrid w:val="0"/>
                  </w:pPr>
                </w:p>
              </w:tc>
              <w:tc>
                <w:tcPr>
                  <w:tcW w:w="1043" w:type="pct"/>
                  <w:vAlign w:val="center"/>
                </w:tcPr>
                <w:p>
                  <w:pPr>
                    <w:pStyle w:val="136"/>
                    <w:adjustRightInd w:val="0"/>
                    <w:snapToGrid w:val="0"/>
                  </w:pPr>
                  <w:r>
                    <w:rPr>
                      <w:rFonts w:hint="eastAsia"/>
                    </w:rPr>
                    <w:t>排放量</w:t>
                  </w:r>
                  <w:r>
                    <w:t>t/a</w:t>
                  </w:r>
                </w:p>
              </w:tc>
              <w:tc>
                <w:tcPr>
                  <w:tcW w:w="608" w:type="pct"/>
                  <w:vMerge w:val="continue"/>
                  <w:vAlign w:val="center"/>
                </w:tcPr>
                <w:p>
                  <w:pPr>
                    <w:pStyle w:val="136"/>
                    <w:adjustRightInd w:val="0"/>
                    <w:snapToGrid w:val="0"/>
                    <w:rPr>
                      <w:rFonts w:eastAsia="等线"/>
                    </w:rPr>
                  </w:pPr>
                </w:p>
              </w:tc>
              <w:tc>
                <w:tcPr>
                  <w:tcW w:w="479" w:type="pct"/>
                  <w:vAlign w:val="center"/>
                </w:tcPr>
                <w:p>
                  <w:pPr>
                    <w:pStyle w:val="136"/>
                    <w:adjustRightInd w:val="0"/>
                    <w:snapToGrid w:val="0"/>
                    <w:rPr>
                      <w:rFonts w:eastAsia="等线"/>
                    </w:rPr>
                  </w:pPr>
                  <w:r>
                    <w:rPr>
                      <w:rFonts w:eastAsia="等线"/>
                    </w:rPr>
                    <w:t>0.030</w:t>
                  </w:r>
                </w:p>
              </w:tc>
              <w:tc>
                <w:tcPr>
                  <w:tcW w:w="479" w:type="pct"/>
                  <w:vAlign w:val="center"/>
                </w:tcPr>
                <w:p>
                  <w:pPr>
                    <w:pStyle w:val="136"/>
                    <w:adjustRightInd w:val="0"/>
                    <w:snapToGrid w:val="0"/>
                    <w:rPr>
                      <w:rFonts w:eastAsia="等线"/>
                    </w:rPr>
                  </w:pPr>
                  <w:r>
                    <w:rPr>
                      <w:rFonts w:eastAsia="等线"/>
                    </w:rPr>
                    <w:t>0.018</w:t>
                  </w:r>
                </w:p>
              </w:tc>
              <w:tc>
                <w:tcPr>
                  <w:tcW w:w="479" w:type="pct"/>
                  <w:vAlign w:val="center"/>
                </w:tcPr>
                <w:p>
                  <w:pPr>
                    <w:pStyle w:val="136"/>
                    <w:adjustRightInd w:val="0"/>
                    <w:snapToGrid w:val="0"/>
                    <w:rPr>
                      <w:rFonts w:eastAsia="等线"/>
                    </w:rPr>
                  </w:pPr>
                  <w:r>
                    <w:rPr>
                      <w:rFonts w:eastAsia="等线"/>
                    </w:rPr>
                    <w:t>0.004</w:t>
                  </w:r>
                </w:p>
              </w:tc>
              <w:tc>
                <w:tcPr>
                  <w:tcW w:w="479" w:type="pct"/>
                  <w:vAlign w:val="center"/>
                </w:tcPr>
                <w:p>
                  <w:pPr>
                    <w:pStyle w:val="136"/>
                    <w:adjustRightInd w:val="0"/>
                    <w:snapToGrid w:val="0"/>
                    <w:rPr>
                      <w:rFonts w:eastAsia="等线"/>
                    </w:rPr>
                  </w:pPr>
                  <w:r>
                    <w:rPr>
                      <w:rFonts w:eastAsia="等线"/>
                    </w:rPr>
                    <w:t>0.023</w:t>
                  </w:r>
                </w:p>
              </w:tc>
              <w:tc>
                <w:tcPr>
                  <w:tcW w:w="479" w:type="pct"/>
                  <w:vAlign w:val="center"/>
                </w:tcPr>
                <w:p>
                  <w:pPr>
                    <w:pStyle w:val="136"/>
                    <w:adjustRightInd w:val="0"/>
                    <w:snapToGrid w:val="0"/>
                    <w:rPr>
                      <w:rFonts w:eastAsia="等线"/>
                    </w:rPr>
                  </w:pPr>
                  <w:r>
                    <w:rPr>
                      <w:rFonts w:eastAsia="等线"/>
                    </w:rPr>
                    <w:t>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20" w:type="pct"/>
                  <w:vMerge w:val="continue"/>
                  <w:vAlign w:val="center"/>
                </w:tcPr>
                <w:p>
                  <w:pPr>
                    <w:pStyle w:val="136"/>
                    <w:adjustRightInd w:val="0"/>
                    <w:snapToGrid w:val="0"/>
                  </w:pPr>
                </w:p>
              </w:tc>
              <w:tc>
                <w:tcPr>
                  <w:tcW w:w="1478" w:type="pct"/>
                  <w:gridSpan w:val="2"/>
                  <w:vAlign w:val="center"/>
                </w:tcPr>
                <w:p>
                  <w:pPr>
                    <w:pStyle w:val="136"/>
                    <w:adjustRightInd w:val="0"/>
                    <w:snapToGrid w:val="0"/>
                  </w:pPr>
                  <w:r>
                    <w:rPr>
                      <w:rFonts w:hint="eastAsia"/>
                    </w:rPr>
                    <w:t>排放浓度限值</w:t>
                  </w:r>
                </w:p>
              </w:tc>
              <w:tc>
                <w:tcPr>
                  <w:tcW w:w="608" w:type="pct"/>
                  <w:vMerge w:val="continue"/>
                  <w:vAlign w:val="center"/>
                </w:tcPr>
                <w:p>
                  <w:pPr>
                    <w:pStyle w:val="136"/>
                    <w:adjustRightInd w:val="0"/>
                    <w:snapToGrid w:val="0"/>
                    <w:rPr>
                      <w:rFonts w:eastAsia="等线"/>
                    </w:rPr>
                  </w:pPr>
                </w:p>
              </w:tc>
              <w:tc>
                <w:tcPr>
                  <w:tcW w:w="479" w:type="pct"/>
                  <w:vAlign w:val="center"/>
                </w:tcPr>
                <w:p>
                  <w:pPr>
                    <w:pStyle w:val="136"/>
                    <w:adjustRightInd w:val="0"/>
                    <w:snapToGrid w:val="0"/>
                    <w:rPr>
                      <w:rFonts w:eastAsia="等线"/>
                    </w:rPr>
                  </w:pPr>
                  <w:r>
                    <w:rPr>
                      <w:rFonts w:eastAsia="等线"/>
                    </w:rPr>
                    <w:t>500</w:t>
                  </w:r>
                </w:p>
              </w:tc>
              <w:tc>
                <w:tcPr>
                  <w:tcW w:w="479" w:type="pct"/>
                  <w:vAlign w:val="center"/>
                </w:tcPr>
                <w:p>
                  <w:pPr>
                    <w:pStyle w:val="136"/>
                    <w:adjustRightInd w:val="0"/>
                    <w:snapToGrid w:val="0"/>
                    <w:rPr>
                      <w:rFonts w:eastAsia="等线"/>
                    </w:rPr>
                  </w:pPr>
                  <w:r>
                    <w:rPr>
                      <w:rFonts w:eastAsia="等线"/>
                    </w:rPr>
                    <w:t>300</w:t>
                  </w:r>
                </w:p>
              </w:tc>
              <w:tc>
                <w:tcPr>
                  <w:tcW w:w="479" w:type="pct"/>
                  <w:vAlign w:val="center"/>
                </w:tcPr>
                <w:p>
                  <w:pPr>
                    <w:pStyle w:val="136"/>
                    <w:adjustRightInd w:val="0"/>
                    <w:snapToGrid w:val="0"/>
                    <w:rPr>
                      <w:rFonts w:eastAsia="等线"/>
                    </w:rPr>
                  </w:pPr>
                  <w:r>
                    <w:rPr>
                      <w:rFonts w:eastAsia="等线"/>
                    </w:rPr>
                    <w:t>45</w:t>
                  </w:r>
                </w:p>
              </w:tc>
              <w:tc>
                <w:tcPr>
                  <w:tcW w:w="479" w:type="pct"/>
                  <w:vAlign w:val="center"/>
                </w:tcPr>
                <w:p>
                  <w:pPr>
                    <w:pStyle w:val="136"/>
                    <w:adjustRightInd w:val="0"/>
                    <w:snapToGrid w:val="0"/>
                    <w:rPr>
                      <w:rFonts w:eastAsia="等线"/>
                    </w:rPr>
                  </w:pPr>
                  <w:r>
                    <w:rPr>
                      <w:rFonts w:eastAsia="等线"/>
                    </w:rPr>
                    <w:t>400</w:t>
                  </w:r>
                </w:p>
              </w:tc>
              <w:tc>
                <w:tcPr>
                  <w:tcW w:w="479" w:type="pct"/>
                  <w:vAlign w:val="center"/>
                </w:tcPr>
                <w:p>
                  <w:pPr>
                    <w:pStyle w:val="136"/>
                    <w:adjustRightInd w:val="0"/>
                    <w:snapToGrid w:val="0"/>
                    <w:rPr>
                      <w:rFonts w:eastAsia="等线"/>
                    </w:rPr>
                  </w:pPr>
                  <w:r>
                    <w:rPr>
                      <w:rFonts w:eastAsia="等线"/>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20" w:type="pct"/>
                  <w:vMerge w:val="restart"/>
                  <w:vAlign w:val="center"/>
                </w:tcPr>
                <w:p>
                  <w:pPr>
                    <w:pStyle w:val="136"/>
                    <w:adjustRightInd w:val="0"/>
                    <w:snapToGrid w:val="0"/>
                  </w:pPr>
                  <w:r>
                    <w:rPr>
                      <w:rFonts w:hint="eastAsia"/>
                    </w:rPr>
                    <w:t>实验室废水</w:t>
                  </w:r>
                </w:p>
              </w:tc>
              <w:tc>
                <w:tcPr>
                  <w:tcW w:w="435" w:type="pct"/>
                  <w:vMerge w:val="restart"/>
                  <w:vAlign w:val="center"/>
                </w:tcPr>
                <w:p>
                  <w:pPr>
                    <w:pStyle w:val="136"/>
                    <w:adjustRightInd w:val="0"/>
                    <w:snapToGrid w:val="0"/>
                  </w:pPr>
                  <w:r>
                    <w:rPr>
                      <w:rFonts w:hint="eastAsia"/>
                    </w:rPr>
                    <w:t>处理前</w:t>
                  </w:r>
                </w:p>
              </w:tc>
              <w:tc>
                <w:tcPr>
                  <w:tcW w:w="1043" w:type="pct"/>
                  <w:vAlign w:val="center"/>
                </w:tcPr>
                <w:p>
                  <w:pPr>
                    <w:pStyle w:val="136"/>
                    <w:adjustRightInd w:val="0"/>
                    <w:snapToGrid w:val="0"/>
                  </w:pPr>
                  <w:r>
                    <w:rPr>
                      <w:rFonts w:hint="eastAsia"/>
                    </w:rPr>
                    <w:t>产生浓度</w:t>
                  </w:r>
                </w:p>
              </w:tc>
              <w:tc>
                <w:tcPr>
                  <w:tcW w:w="608" w:type="pct"/>
                  <w:vMerge w:val="restart"/>
                  <w:vAlign w:val="center"/>
                </w:tcPr>
                <w:p>
                  <w:pPr>
                    <w:pStyle w:val="136"/>
                    <w:adjustRightInd w:val="0"/>
                    <w:snapToGrid w:val="0"/>
                    <w:rPr>
                      <w:rFonts w:eastAsia="等线"/>
                    </w:rPr>
                  </w:pPr>
                  <w:r>
                    <w:rPr>
                      <w:rFonts w:eastAsia="等线"/>
                    </w:rPr>
                    <w:t>99.32</w:t>
                  </w:r>
                  <w:r>
                    <w:rPr>
                      <w:rFonts w:hint="eastAsia" w:eastAsia="等线"/>
                    </w:rPr>
                    <w:t xml:space="preserve"> m</w:t>
                  </w:r>
                  <w:r>
                    <w:rPr>
                      <w:rFonts w:eastAsia="等线"/>
                      <w:vertAlign w:val="superscript"/>
                    </w:rPr>
                    <w:t>3</w:t>
                  </w:r>
                  <w:r>
                    <w:rPr>
                      <w:rFonts w:eastAsia="等线"/>
                    </w:rPr>
                    <w:t>/</w:t>
                  </w:r>
                  <w:r>
                    <w:rPr>
                      <w:rFonts w:hint="eastAsia" w:eastAsia="等线"/>
                    </w:rPr>
                    <w:t>a</w:t>
                  </w:r>
                </w:p>
              </w:tc>
              <w:tc>
                <w:tcPr>
                  <w:tcW w:w="479" w:type="pct"/>
                  <w:vAlign w:val="center"/>
                </w:tcPr>
                <w:p>
                  <w:pPr>
                    <w:pStyle w:val="136"/>
                    <w:adjustRightInd w:val="0"/>
                    <w:snapToGrid w:val="0"/>
                    <w:rPr>
                      <w:rFonts w:eastAsia="等线"/>
                    </w:rPr>
                  </w:pPr>
                  <w:r>
                    <w:rPr>
                      <w:rFonts w:eastAsia="等线"/>
                    </w:rPr>
                    <w:t>642</w:t>
                  </w:r>
                </w:p>
              </w:tc>
              <w:tc>
                <w:tcPr>
                  <w:tcW w:w="479" w:type="pct"/>
                  <w:vAlign w:val="center"/>
                </w:tcPr>
                <w:p>
                  <w:pPr>
                    <w:pStyle w:val="136"/>
                    <w:adjustRightInd w:val="0"/>
                    <w:snapToGrid w:val="0"/>
                    <w:rPr>
                      <w:rFonts w:eastAsia="等线"/>
                    </w:rPr>
                  </w:pPr>
                  <w:r>
                    <w:rPr>
                      <w:rFonts w:eastAsia="等线"/>
                    </w:rPr>
                    <w:t>230</w:t>
                  </w:r>
                </w:p>
              </w:tc>
              <w:tc>
                <w:tcPr>
                  <w:tcW w:w="479" w:type="pct"/>
                  <w:vAlign w:val="center"/>
                </w:tcPr>
                <w:p>
                  <w:pPr>
                    <w:pStyle w:val="136"/>
                    <w:adjustRightInd w:val="0"/>
                    <w:snapToGrid w:val="0"/>
                    <w:rPr>
                      <w:rFonts w:eastAsia="等线"/>
                    </w:rPr>
                  </w:pPr>
                  <w:r>
                    <w:rPr>
                      <w:rFonts w:eastAsia="等线"/>
                    </w:rPr>
                    <w:t>10.3</w:t>
                  </w:r>
                </w:p>
              </w:tc>
              <w:tc>
                <w:tcPr>
                  <w:tcW w:w="479" w:type="pct"/>
                  <w:vAlign w:val="center"/>
                </w:tcPr>
                <w:p>
                  <w:pPr>
                    <w:pStyle w:val="136"/>
                    <w:adjustRightInd w:val="0"/>
                    <w:snapToGrid w:val="0"/>
                    <w:rPr>
                      <w:rFonts w:eastAsia="等线"/>
                    </w:rPr>
                  </w:pPr>
                  <w:r>
                    <w:rPr>
                      <w:rFonts w:eastAsia="等线"/>
                    </w:rPr>
                    <w:t>167</w:t>
                  </w:r>
                </w:p>
              </w:tc>
              <w:tc>
                <w:tcPr>
                  <w:tcW w:w="479" w:type="pct"/>
                  <w:vAlign w:val="center"/>
                </w:tcPr>
                <w:p>
                  <w:pPr>
                    <w:pStyle w:val="136"/>
                    <w:adjustRightInd w:val="0"/>
                    <w:snapToGrid w:val="0"/>
                    <w:rPr>
                      <w:rFonts w:eastAsia="等线"/>
                    </w:rPr>
                  </w:pPr>
                  <w:r>
                    <w:rPr>
                      <w:rFonts w:eastAsia="等线"/>
                    </w:rPr>
                    <w:t>6.96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20" w:type="pct"/>
                  <w:vMerge w:val="continue"/>
                  <w:vAlign w:val="center"/>
                </w:tcPr>
                <w:p>
                  <w:pPr>
                    <w:pStyle w:val="136"/>
                    <w:adjustRightInd w:val="0"/>
                    <w:snapToGrid w:val="0"/>
                  </w:pPr>
                </w:p>
              </w:tc>
              <w:tc>
                <w:tcPr>
                  <w:tcW w:w="435" w:type="pct"/>
                  <w:vMerge w:val="continue"/>
                  <w:vAlign w:val="center"/>
                </w:tcPr>
                <w:p>
                  <w:pPr>
                    <w:pStyle w:val="136"/>
                    <w:adjustRightInd w:val="0"/>
                    <w:snapToGrid w:val="0"/>
                  </w:pPr>
                </w:p>
              </w:tc>
              <w:tc>
                <w:tcPr>
                  <w:tcW w:w="1043" w:type="pct"/>
                  <w:vAlign w:val="center"/>
                </w:tcPr>
                <w:p>
                  <w:pPr>
                    <w:pStyle w:val="136"/>
                    <w:adjustRightInd w:val="0"/>
                    <w:snapToGrid w:val="0"/>
                  </w:pPr>
                  <w:r>
                    <w:rPr>
                      <w:rFonts w:hint="eastAsia"/>
                    </w:rPr>
                    <w:t>产生量</w:t>
                  </w:r>
                  <w:r>
                    <w:t>t/a</w:t>
                  </w:r>
                </w:p>
              </w:tc>
              <w:tc>
                <w:tcPr>
                  <w:tcW w:w="608" w:type="pct"/>
                  <w:vMerge w:val="continue"/>
                  <w:vAlign w:val="center"/>
                </w:tcPr>
                <w:p>
                  <w:pPr>
                    <w:pStyle w:val="136"/>
                    <w:adjustRightInd w:val="0"/>
                    <w:snapToGrid w:val="0"/>
                    <w:rPr>
                      <w:rFonts w:eastAsia="等线"/>
                    </w:rPr>
                  </w:pPr>
                </w:p>
              </w:tc>
              <w:tc>
                <w:tcPr>
                  <w:tcW w:w="479" w:type="pct"/>
                  <w:vAlign w:val="center"/>
                </w:tcPr>
                <w:p>
                  <w:pPr>
                    <w:pStyle w:val="136"/>
                    <w:adjustRightInd w:val="0"/>
                    <w:snapToGrid w:val="0"/>
                    <w:rPr>
                      <w:rFonts w:eastAsia="等线"/>
                    </w:rPr>
                  </w:pPr>
                  <w:r>
                    <w:rPr>
                      <w:rFonts w:eastAsia="等线"/>
                    </w:rPr>
                    <w:t>0.064</w:t>
                  </w:r>
                </w:p>
              </w:tc>
              <w:tc>
                <w:tcPr>
                  <w:tcW w:w="479" w:type="pct"/>
                  <w:vAlign w:val="center"/>
                </w:tcPr>
                <w:p>
                  <w:pPr>
                    <w:pStyle w:val="136"/>
                    <w:adjustRightInd w:val="0"/>
                    <w:snapToGrid w:val="0"/>
                    <w:rPr>
                      <w:rFonts w:eastAsia="等线"/>
                    </w:rPr>
                  </w:pPr>
                  <w:r>
                    <w:rPr>
                      <w:rFonts w:eastAsia="等线"/>
                    </w:rPr>
                    <w:t>0.023</w:t>
                  </w:r>
                </w:p>
              </w:tc>
              <w:tc>
                <w:tcPr>
                  <w:tcW w:w="479" w:type="pct"/>
                  <w:vAlign w:val="center"/>
                </w:tcPr>
                <w:p>
                  <w:pPr>
                    <w:pStyle w:val="136"/>
                    <w:adjustRightInd w:val="0"/>
                    <w:snapToGrid w:val="0"/>
                    <w:rPr>
                      <w:rFonts w:eastAsia="等线"/>
                    </w:rPr>
                  </w:pPr>
                  <w:r>
                    <w:rPr>
                      <w:rFonts w:eastAsia="等线"/>
                    </w:rPr>
                    <w:t>0.0010</w:t>
                  </w:r>
                </w:p>
              </w:tc>
              <w:tc>
                <w:tcPr>
                  <w:tcW w:w="479" w:type="pct"/>
                  <w:vAlign w:val="center"/>
                </w:tcPr>
                <w:p>
                  <w:pPr>
                    <w:pStyle w:val="136"/>
                    <w:adjustRightInd w:val="0"/>
                    <w:snapToGrid w:val="0"/>
                    <w:rPr>
                      <w:rFonts w:eastAsia="等线"/>
                    </w:rPr>
                  </w:pPr>
                  <w:r>
                    <w:rPr>
                      <w:rFonts w:eastAsia="等线"/>
                    </w:rPr>
                    <w:t>0.017</w:t>
                  </w:r>
                </w:p>
              </w:tc>
              <w:tc>
                <w:tcPr>
                  <w:tcW w:w="479" w:type="pct"/>
                  <w:vAlign w:val="center"/>
                </w:tcPr>
                <w:p>
                  <w:pPr>
                    <w:pStyle w:val="136"/>
                    <w:adjustRightInd w:val="0"/>
                    <w:snapToGrid w:val="0"/>
                    <w:rPr>
                      <w:rFonts w:eastAsia="等线"/>
                    </w:rPr>
                  </w:pPr>
                  <w:r>
                    <w:rPr>
                      <w:rFonts w:eastAsia="等线"/>
                    </w:rPr>
                    <w:t>0.0007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20" w:type="pct"/>
                  <w:vMerge w:val="continue"/>
                  <w:vAlign w:val="center"/>
                </w:tcPr>
                <w:p>
                  <w:pPr>
                    <w:pStyle w:val="136"/>
                    <w:adjustRightInd w:val="0"/>
                    <w:snapToGrid w:val="0"/>
                  </w:pPr>
                </w:p>
              </w:tc>
              <w:tc>
                <w:tcPr>
                  <w:tcW w:w="1478" w:type="pct"/>
                  <w:gridSpan w:val="2"/>
                  <w:vAlign w:val="center"/>
                </w:tcPr>
                <w:p>
                  <w:pPr>
                    <w:pStyle w:val="136"/>
                    <w:adjustRightInd w:val="0"/>
                    <w:snapToGrid w:val="0"/>
                  </w:pPr>
                  <w:r>
                    <w:rPr>
                      <w:rFonts w:hint="eastAsia"/>
                    </w:rPr>
                    <w:t>去除效率（%）</w:t>
                  </w:r>
                </w:p>
              </w:tc>
              <w:tc>
                <w:tcPr>
                  <w:tcW w:w="608" w:type="pct"/>
                  <w:vMerge w:val="continue"/>
                  <w:vAlign w:val="center"/>
                </w:tcPr>
                <w:p>
                  <w:pPr>
                    <w:pStyle w:val="136"/>
                    <w:adjustRightInd w:val="0"/>
                    <w:snapToGrid w:val="0"/>
                    <w:rPr>
                      <w:rFonts w:eastAsia="等线"/>
                    </w:rPr>
                  </w:pPr>
                </w:p>
              </w:tc>
              <w:tc>
                <w:tcPr>
                  <w:tcW w:w="479" w:type="pct"/>
                  <w:vAlign w:val="center"/>
                </w:tcPr>
                <w:p>
                  <w:pPr>
                    <w:pStyle w:val="136"/>
                    <w:adjustRightInd w:val="0"/>
                    <w:snapToGrid w:val="0"/>
                    <w:rPr>
                      <w:rFonts w:eastAsia="等线"/>
                    </w:rPr>
                  </w:pPr>
                  <w:r>
                    <w:rPr>
                      <w:rFonts w:eastAsia="等线"/>
                    </w:rPr>
                    <w:t>75%</w:t>
                  </w:r>
                </w:p>
              </w:tc>
              <w:tc>
                <w:tcPr>
                  <w:tcW w:w="479" w:type="pct"/>
                  <w:vAlign w:val="center"/>
                </w:tcPr>
                <w:p>
                  <w:pPr>
                    <w:pStyle w:val="136"/>
                    <w:adjustRightInd w:val="0"/>
                    <w:snapToGrid w:val="0"/>
                    <w:rPr>
                      <w:rFonts w:eastAsia="等线"/>
                    </w:rPr>
                  </w:pPr>
                  <w:r>
                    <w:rPr>
                      <w:rFonts w:eastAsia="等线"/>
                    </w:rPr>
                    <w:t>75%</w:t>
                  </w:r>
                </w:p>
              </w:tc>
              <w:tc>
                <w:tcPr>
                  <w:tcW w:w="479" w:type="pct"/>
                  <w:vAlign w:val="center"/>
                </w:tcPr>
                <w:p>
                  <w:pPr>
                    <w:pStyle w:val="136"/>
                    <w:adjustRightInd w:val="0"/>
                    <w:snapToGrid w:val="0"/>
                    <w:rPr>
                      <w:rFonts w:eastAsia="等线"/>
                    </w:rPr>
                  </w:pPr>
                  <w:r>
                    <w:rPr>
                      <w:rFonts w:eastAsia="等线"/>
                    </w:rPr>
                    <w:t>75%</w:t>
                  </w:r>
                </w:p>
              </w:tc>
              <w:tc>
                <w:tcPr>
                  <w:tcW w:w="479" w:type="pct"/>
                  <w:vAlign w:val="center"/>
                </w:tcPr>
                <w:p>
                  <w:pPr>
                    <w:pStyle w:val="136"/>
                    <w:adjustRightInd w:val="0"/>
                    <w:snapToGrid w:val="0"/>
                    <w:rPr>
                      <w:rFonts w:eastAsia="等线"/>
                    </w:rPr>
                  </w:pPr>
                  <w:r>
                    <w:rPr>
                      <w:rFonts w:eastAsia="等线"/>
                    </w:rPr>
                    <w:t>90%</w:t>
                  </w:r>
                </w:p>
              </w:tc>
              <w:tc>
                <w:tcPr>
                  <w:tcW w:w="479" w:type="pct"/>
                  <w:vAlign w:val="center"/>
                </w:tcPr>
                <w:p>
                  <w:pPr>
                    <w:pStyle w:val="136"/>
                    <w:adjustRightInd w:val="0"/>
                    <w:snapToGrid w:val="0"/>
                    <w:rPr>
                      <w:rFonts w:eastAsia="等线"/>
                    </w:rPr>
                  </w:pPr>
                  <w:r>
                    <w:rPr>
                      <w:rFonts w:eastAsia="等线"/>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20" w:type="pct"/>
                  <w:vMerge w:val="continue"/>
                  <w:vAlign w:val="center"/>
                </w:tcPr>
                <w:p>
                  <w:pPr>
                    <w:pStyle w:val="136"/>
                    <w:adjustRightInd w:val="0"/>
                    <w:snapToGrid w:val="0"/>
                  </w:pPr>
                </w:p>
              </w:tc>
              <w:tc>
                <w:tcPr>
                  <w:tcW w:w="435" w:type="pct"/>
                  <w:vMerge w:val="restart"/>
                  <w:vAlign w:val="center"/>
                </w:tcPr>
                <w:p>
                  <w:pPr>
                    <w:pStyle w:val="136"/>
                    <w:adjustRightInd w:val="0"/>
                    <w:snapToGrid w:val="0"/>
                  </w:pPr>
                  <w:r>
                    <w:rPr>
                      <w:rFonts w:hint="eastAsia"/>
                    </w:rPr>
                    <w:t>处理后</w:t>
                  </w:r>
                </w:p>
              </w:tc>
              <w:tc>
                <w:tcPr>
                  <w:tcW w:w="1043" w:type="pct"/>
                  <w:vAlign w:val="center"/>
                </w:tcPr>
                <w:p>
                  <w:pPr>
                    <w:pStyle w:val="136"/>
                    <w:adjustRightInd w:val="0"/>
                    <w:snapToGrid w:val="0"/>
                  </w:pPr>
                  <w:r>
                    <w:rPr>
                      <w:rFonts w:hint="eastAsia"/>
                    </w:rPr>
                    <w:t>排放浓度</w:t>
                  </w:r>
                </w:p>
              </w:tc>
              <w:tc>
                <w:tcPr>
                  <w:tcW w:w="608" w:type="pct"/>
                  <w:vMerge w:val="continue"/>
                  <w:vAlign w:val="center"/>
                </w:tcPr>
                <w:p>
                  <w:pPr>
                    <w:pStyle w:val="136"/>
                    <w:adjustRightInd w:val="0"/>
                    <w:snapToGrid w:val="0"/>
                    <w:rPr>
                      <w:rFonts w:eastAsia="等线"/>
                    </w:rPr>
                  </w:pPr>
                </w:p>
              </w:tc>
              <w:tc>
                <w:tcPr>
                  <w:tcW w:w="479" w:type="pct"/>
                  <w:vAlign w:val="center"/>
                </w:tcPr>
                <w:p>
                  <w:pPr>
                    <w:pStyle w:val="136"/>
                    <w:adjustRightInd w:val="0"/>
                    <w:snapToGrid w:val="0"/>
                    <w:rPr>
                      <w:rFonts w:eastAsia="等线"/>
                    </w:rPr>
                  </w:pPr>
                  <w:r>
                    <w:rPr>
                      <w:rFonts w:eastAsia="等线"/>
                    </w:rPr>
                    <w:t>160.5</w:t>
                  </w:r>
                </w:p>
              </w:tc>
              <w:tc>
                <w:tcPr>
                  <w:tcW w:w="479" w:type="pct"/>
                  <w:vAlign w:val="center"/>
                </w:tcPr>
                <w:p>
                  <w:pPr>
                    <w:pStyle w:val="136"/>
                    <w:adjustRightInd w:val="0"/>
                    <w:snapToGrid w:val="0"/>
                    <w:rPr>
                      <w:rFonts w:eastAsia="等线"/>
                    </w:rPr>
                  </w:pPr>
                  <w:r>
                    <w:rPr>
                      <w:rFonts w:eastAsia="等线"/>
                    </w:rPr>
                    <w:t>57.5</w:t>
                  </w:r>
                </w:p>
              </w:tc>
              <w:tc>
                <w:tcPr>
                  <w:tcW w:w="479" w:type="pct"/>
                  <w:vAlign w:val="center"/>
                </w:tcPr>
                <w:p>
                  <w:pPr>
                    <w:pStyle w:val="136"/>
                    <w:adjustRightInd w:val="0"/>
                    <w:snapToGrid w:val="0"/>
                    <w:rPr>
                      <w:rFonts w:eastAsia="等线"/>
                    </w:rPr>
                  </w:pPr>
                  <w:r>
                    <w:rPr>
                      <w:rFonts w:eastAsia="等线"/>
                    </w:rPr>
                    <w:t>2.575</w:t>
                  </w:r>
                </w:p>
              </w:tc>
              <w:tc>
                <w:tcPr>
                  <w:tcW w:w="479" w:type="pct"/>
                  <w:vAlign w:val="center"/>
                </w:tcPr>
                <w:p>
                  <w:pPr>
                    <w:pStyle w:val="136"/>
                    <w:adjustRightInd w:val="0"/>
                    <w:snapToGrid w:val="0"/>
                    <w:rPr>
                      <w:rFonts w:eastAsia="等线"/>
                    </w:rPr>
                  </w:pPr>
                  <w:r>
                    <w:rPr>
                      <w:rFonts w:eastAsia="等线"/>
                    </w:rPr>
                    <w:t>16.7</w:t>
                  </w:r>
                </w:p>
              </w:tc>
              <w:tc>
                <w:tcPr>
                  <w:tcW w:w="479" w:type="pct"/>
                  <w:vAlign w:val="center"/>
                </w:tcPr>
                <w:p>
                  <w:pPr>
                    <w:pStyle w:val="136"/>
                    <w:adjustRightInd w:val="0"/>
                    <w:snapToGrid w:val="0"/>
                    <w:rPr>
                      <w:rFonts w:eastAsia="等线"/>
                    </w:rPr>
                  </w:pPr>
                  <w:r>
                    <w:rPr>
                      <w:rFonts w:eastAsia="等线"/>
                    </w:rPr>
                    <w:t>2.784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20" w:type="pct"/>
                  <w:vMerge w:val="continue"/>
                  <w:vAlign w:val="center"/>
                </w:tcPr>
                <w:p>
                  <w:pPr>
                    <w:pStyle w:val="136"/>
                    <w:adjustRightInd w:val="0"/>
                    <w:snapToGrid w:val="0"/>
                  </w:pPr>
                </w:p>
              </w:tc>
              <w:tc>
                <w:tcPr>
                  <w:tcW w:w="435" w:type="pct"/>
                  <w:vMerge w:val="continue"/>
                  <w:vAlign w:val="center"/>
                </w:tcPr>
                <w:p>
                  <w:pPr>
                    <w:pStyle w:val="136"/>
                    <w:adjustRightInd w:val="0"/>
                    <w:snapToGrid w:val="0"/>
                  </w:pPr>
                </w:p>
              </w:tc>
              <w:tc>
                <w:tcPr>
                  <w:tcW w:w="1043" w:type="pct"/>
                  <w:vAlign w:val="center"/>
                </w:tcPr>
                <w:p>
                  <w:pPr>
                    <w:pStyle w:val="136"/>
                    <w:adjustRightInd w:val="0"/>
                    <w:snapToGrid w:val="0"/>
                  </w:pPr>
                  <w:r>
                    <w:rPr>
                      <w:rFonts w:hint="eastAsia"/>
                    </w:rPr>
                    <w:t>排放量</w:t>
                  </w:r>
                  <w:r>
                    <w:t>t/a</w:t>
                  </w:r>
                </w:p>
              </w:tc>
              <w:tc>
                <w:tcPr>
                  <w:tcW w:w="608" w:type="pct"/>
                  <w:vMerge w:val="continue"/>
                  <w:vAlign w:val="center"/>
                </w:tcPr>
                <w:p>
                  <w:pPr>
                    <w:pStyle w:val="136"/>
                    <w:adjustRightInd w:val="0"/>
                    <w:snapToGrid w:val="0"/>
                    <w:rPr>
                      <w:rFonts w:eastAsia="等线"/>
                    </w:rPr>
                  </w:pPr>
                </w:p>
              </w:tc>
              <w:tc>
                <w:tcPr>
                  <w:tcW w:w="479" w:type="pct"/>
                  <w:vAlign w:val="center"/>
                </w:tcPr>
                <w:p>
                  <w:pPr>
                    <w:pStyle w:val="136"/>
                    <w:adjustRightInd w:val="0"/>
                    <w:snapToGrid w:val="0"/>
                    <w:rPr>
                      <w:rFonts w:eastAsia="等线"/>
                    </w:rPr>
                  </w:pPr>
                  <w:r>
                    <w:rPr>
                      <w:rFonts w:eastAsia="等线"/>
                    </w:rPr>
                    <w:t>0.016</w:t>
                  </w:r>
                </w:p>
              </w:tc>
              <w:tc>
                <w:tcPr>
                  <w:tcW w:w="479" w:type="pct"/>
                  <w:vAlign w:val="center"/>
                </w:tcPr>
                <w:p>
                  <w:pPr>
                    <w:pStyle w:val="136"/>
                    <w:adjustRightInd w:val="0"/>
                    <w:snapToGrid w:val="0"/>
                    <w:rPr>
                      <w:rFonts w:eastAsia="等线"/>
                    </w:rPr>
                  </w:pPr>
                  <w:r>
                    <w:rPr>
                      <w:rFonts w:eastAsia="等线"/>
                    </w:rPr>
                    <w:t>0.006</w:t>
                  </w:r>
                </w:p>
              </w:tc>
              <w:tc>
                <w:tcPr>
                  <w:tcW w:w="479" w:type="pct"/>
                  <w:vAlign w:val="center"/>
                </w:tcPr>
                <w:p>
                  <w:pPr>
                    <w:pStyle w:val="136"/>
                    <w:adjustRightInd w:val="0"/>
                    <w:snapToGrid w:val="0"/>
                    <w:rPr>
                      <w:rFonts w:eastAsia="等线"/>
                    </w:rPr>
                  </w:pPr>
                  <w:r>
                    <w:rPr>
                      <w:rFonts w:eastAsia="等线"/>
                    </w:rPr>
                    <w:t>0.0003</w:t>
                  </w:r>
                </w:p>
              </w:tc>
              <w:tc>
                <w:tcPr>
                  <w:tcW w:w="479" w:type="pct"/>
                  <w:vAlign w:val="center"/>
                </w:tcPr>
                <w:p>
                  <w:pPr>
                    <w:pStyle w:val="136"/>
                    <w:adjustRightInd w:val="0"/>
                    <w:snapToGrid w:val="0"/>
                    <w:rPr>
                      <w:rFonts w:eastAsia="等线"/>
                    </w:rPr>
                  </w:pPr>
                  <w:r>
                    <w:rPr>
                      <w:rFonts w:eastAsia="等线"/>
                    </w:rPr>
                    <w:t>0.002</w:t>
                  </w:r>
                </w:p>
              </w:tc>
              <w:tc>
                <w:tcPr>
                  <w:tcW w:w="479" w:type="pct"/>
                  <w:vAlign w:val="center"/>
                </w:tcPr>
                <w:p>
                  <w:pPr>
                    <w:pStyle w:val="136"/>
                    <w:adjustRightInd w:val="0"/>
                    <w:snapToGrid w:val="0"/>
                    <w:rPr>
                      <w:rFonts w:eastAsia="等线"/>
                    </w:rPr>
                  </w:pPr>
                  <w:r>
                    <w:rPr>
                      <w:rFonts w:eastAsia="等线"/>
                    </w:rPr>
                    <w:t>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20" w:type="pct"/>
                  <w:vMerge w:val="continue"/>
                  <w:vAlign w:val="center"/>
                </w:tcPr>
                <w:p>
                  <w:pPr>
                    <w:pStyle w:val="136"/>
                    <w:adjustRightInd w:val="0"/>
                    <w:snapToGrid w:val="0"/>
                  </w:pPr>
                </w:p>
              </w:tc>
              <w:tc>
                <w:tcPr>
                  <w:tcW w:w="1478" w:type="pct"/>
                  <w:gridSpan w:val="2"/>
                  <w:vAlign w:val="center"/>
                </w:tcPr>
                <w:p>
                  <w:pPr>
                    <w:pStyle w:val="136"/>
                    <w:adjustRightInd w:val="0"/>
                    <w:snapToGrid w:val="0"/>
                  </w:pPr>
                  <w:r>
                    <w:rPr>
                      <w:rFonts w:hint="eastAsia"/>
                    </w:rPr>
                    <w:t>排放浓度限值</w:t>
                  </w:r>
                </w:p>
              </w:tc>
              <w:tc>
                <w:tcPr>
                  <w:tcW w:w="608" w:type="pct"/>
                  <w:vMerge w:val="continue"/>
                  <w:vAlign w:val="center"/>
                </w:tcPr>
                <w:p>
                  <w:pPr>
                    <w:pStyle w:val="136"/>
                    <w:adjustRightInd w:val="0"/>
                    <w:snapToGrid w:val="0"/>
                    <w:rPr>
                      <w:rFonts w:eastAsia="等线"/>
                    </w:rPr>
                  </w:pPr>
                </w:p>
              </w:tc>
              <w:tc>
                <w:tcPr>
                  <w:tcW w:w="479" w:type="pct"/>
                  <w:vAlign w:val="center"/>
                </w:tcPr>
                <w:p>
                  <w:pPr>
                    <w:pStyle w:val="136"/>
                    <w:adjustRightInd w:val="0"/>
                    <w:snapToGrid w:val="0"/>
                    <w:rPr>
                      <w:rFonts w:eastAsia="等线"/>
                    </w:rPr>
                  </w:pPr>
                  <w:r>
                    <w:rPr>
                      <w:rFonts w:eastAsia="等线"/>
                    </w:rPr>
                    <w:t>500</w:t>
                  </w:r>
                </w:p>
              </w:tc>
              <w:tc>
                <w:tcPr>
                  <w:tcW w:w="479" w:type="pct"/>
                  <w:vAlign w:val="center"/>
                </w:tcPr>
                <w:p>
                  <w:pPr>
                    <w:pStyle w:val="136"/>
                    <w:adjustRightInd w:val="0"/>
                    <w:snapToGrid w:val="0"/>
                    <w:rPr>
                      <w:rFonts w:eastAsia="等线"/>
                    </w:rPr>
                  </w:pPr>
                  <w:r>
                    <w:rPr>
                      <w:rFonts w:eastAsia="等线"/>
                    </w:rPr>
                    <w:t>300</w:t>
                  </w:r>
                </w:p>
              </w:tc>
              <w:tc>
                <w:tcPr>
                  <w:tcW w:w="479" w:type="pct"/>
                  <w:vAlign w:val="center"/>
                </w:tcPr>
                <w:p>
                  <w:pPr>
                    <w:pStyle w:val="136"/>
                    <w:adjustRightInd w:val="0"/>
                    <w:snapToGrid w:val="0"/>
                    <w:rPr>
                      <w:rFonts w:eastAsia="等线"/>
                    </w:rPr>
                  </w:pPr>
                  <w:r>
                    <w:rPr>
                      <w:rFonts w:eastAsia="等线"/>
                    </w:rPr>
                    <w:t>45</w:t>
                  </w:r>
                </w:p>
              </w:tc>
              <w:tc>
                <w:tcPr>
                  <w:tcW w:w="479" w:type="pct"/>
                  <w:vAlign w:val="center"/>
                </w:tcPr>
                <w:p>
                  <w:pPr>
                    <w:pStyle w:val="136"/>
                    <w:adjustRightInd w:val="0"/>
                    <w:snapToGrid w:val="0"/>
                    <w:rPr>
                      <w:rFonts w:eastAsia="等线"/>
                    </w:rPr>
                  </w:pPr>
                  <w:r>
                    <w:rPr>
                      <w:rFonts w:eastAsia="等线"/>
                    </w:rPr>
                    <w:t>400</w:t>
                  </w:r>
                </w:p>
              </w:tc>
              <w:tc>
                <w:tcPr>
                  <w:tcW w:w="479" w:type="pct"/>
                  <w:vAlign w:val="center"/>
                </w:tcPr>
                <w:p>
                  <w:pPr>
                    <w:pStyle w:val="136"/>
                    <w:adjustRightInd w:val="0"/>
                    <w:snapToGrid w:val="0"/>
                    <w:rPr>
                      <w:rFonts w:eastAsia="等线"/>
                    </w:rPr>
                  </w:pPr>
                  <w:r>
                    <w:rPr>
                      <w:rFonts w:eastAsia="等线"/>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998" w:type="pct"/>
                  <w:gridSpan w:val="3"/>
                  <w:vAlign w:val="center"/>
                </w:tcPr>
                <w:p>
                  <w:pPr>
                    <w:pStyle w:val="136"/>
                    <w:adjustRightInd w:val="0"/>
                    <w:snapToGrid w:val="0"/>
                  </w:pPr>
                  <w:r>
                    <w:rPr>
                      <w:rFonts w:hint="eastAsia"/>
                    </w:rPr>
                    <w:t>排入巴中经济开发区污水处理厂的量</w:t>
                  </w:r>
                  <w:r>
                    <w:t>t/a</w:t>
                  </w:r>
                </w:p>
              </w:tc>
              <w:tc>
                <w:tcPr>
                  <w:tcW w:w="608" w:type="pct"/>
                  <w:vMerge w:val="restart"/>
                  <w:vAlign w:val="center"/>
                </w:tcPr>
                <w:p>
                  <w:pPr>
                    <w:pStyle w:val="136"/>
                    <w:adjustRightInd w:val="0"/>
                    <w:snapToGrid w:val="0"/>
                    <w:rPr>
                      <w:rFonts w:eastAsia="等线"/>
                    </w:rPr>
                  </w:pPr>
                  <w:r>
                    <w:rPr>
                      <w:rFonts w:eastAsia="等线"/>
                    </w:rPr>
                    <w:t>203.32</w:t>
                  </w:r>
                  <w:r>
                    <w:rPr>
                      <w:rFonts w:hint="eastAsia" w:eastAsia="等线"/>
                    </w:rPr>
                    <w:t xml:space="preserve"> m</w:t>
                  </w:r>
                  <w:r>
                    <w:rPr>
                      <w:rFonts w:eastAsia="等线"/>
                      <w:vertAlign w:val="superscript"/>
                    </w:rPr>
                    <w:t>3</w:t>
                  </w:r>
                  <w:r>
                    <w:rPr>
                      <w:rFonts w:eastAsia="等线"/>
                    </w:rPr>
                    <w:t>/</w:t>
                  </w:r>
                  <w:r>
                    <w:rPr>
                      <w:rFonts w:hint="eastAsia" w:eastAsia="等线"/>
                    </w:rPr>
                    <w:t>a</w:t>
                  </w:r>
                </w:p>
              </w:tc>
              <w:tc>
                <w:tcPr>
                  <w:tcW w:w="479" w:type="pct"/>
                  <w:vAlign w:val="center"/>
                </w:tcPr>
                <w:p>
                  <w:pPr>
                    <w:pStyle w:val="136"/>
                    <w:adjustRightInd w:val="0"/>
                    <w:snapToGrid w:val="0"/>
                    <w:rPr>
                      <w:rFonts w:eastAsia="等线"/>
                    </w:rPr>
                  </w:pPr>
                  <w:r>
                    <w:rPr>
                      <w:rFonts w:eastAsia="等线"/>
                    </w:rPr>
                    <w:t xml:space="preserve">0.046 </w:t>
                  </w:r>
                </w:p>
              </w:tc>
              <w:tc>
                <w:tcPr>
                  <w:tcW w:w="479" w:type="pct"/>
                  <w:vAlign w:val="center"/>
                </w:tcPr>
                <w:p>
                  <w:pPr>
                    <w:pStyle w:val="136"/>
                    <w:adjustRightInd w:val="0"/>
                    <w:snapToGrid w:val="0"/>
                    <w:rPr>
                      <w:rFonts w:eastAsia="等线"/>
                    </w:rPr>
                  </w:pPr>
                  <w:r>
                    <w:rPr>
                      <w:rFonts w:eastAsia="等线"/>
                    </w:rPr>
                    <w:t xml:space="preserve">0.024 </w:t>
                  </w:r>
                </w:p>
              </w:tc>
              <w:tc>
                <w:tcPr>
                  <w:tcW w:w="479" w:type="pct"/>
                  <w:vAlign w:val="center"/>
                </w:tcPr>
                <w:p>
                  <w:pPr>
                    <w:pStyle w:val="136"/>
                    <w:adjustRightInd w:val="0"/>
                    <w:snapToGrid w:val="0"/>
                    <w:rPr>
                      <w:rFonts w:eastAsia="等线"/>
                    </w:rPr>
                  </w:pPr>
                  <w:r>
                    <w:rPr>
                      <w:rFonts w:eastAsia="等线"/>
                    </w:rPr>
                    <w:t xml:space="preserve">0.004 </w:t>
                  </w:r>
                </w:p>
              </w:tc>
              <w:tc>
                <w:tcPr>
                  <w:tcW w:w="479" w:type="pct"/>
                  <w:vAlign w:val="center"/>
                </w:tcPr>
                <w:p>
                  <w:pPr>
                    <w:pStyle w:val="136"/>
                    <w:adjustRightInd w:val="0"/>
                    <w:snapToGrid w:val="0"/>
                    <w:rPr>
                      <w:rFonts w:eastAsia="等线"/>
                    </w:rPr>
                  </w:pPr>
                  <w:r>
                    <w:rPr>
                      <w:rFonts w:eastAsia="等线"/>
                    </w:rPr>
                    <w:t xml:space="preserve">0.025 </w:t>
                  </w:r>
                </w:p>
              </w:tc>
              <w:tc>
                <w:tcPr>
                  <w:tcW w:w="479" w:type="pct"/>
                  <w:vAlign w:val="center"/>
                </w:tcPr>
                <w:p>
                  <w:pPr>
                    <w:pStyle w:val="136"/>
                    <w:adjustRightInd w:val="0"/>
                    <w:snapToGrid w:val="0"/>
                    <w:rPr>
                      <w:rFonts w:eastAsia="等线"/>
                    </w:rPr>
                  </w:pPr>
                  <w:r>
                    <w:rPr>
                      <w:rFonts w:eastAsia="等线"/>
                    </w:rPr>
                    <w:t xml:space="preserve">0.001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998" w:type="pct"/>
                  <w:gridSpan w:val="3"/>
                  <w:vAlign w:val="center"/>
                </w:tcPr>
                <w:p>
                  <w:pPr>
                    <w:pStyle w:val="136"/>
                    <w:adjustRightInd w:val="0"/>
                    <w:snapToGrid w:val="0"/>
                  </w:pPr>
                  <w:r>
                    <w:rPr>
                      <w:rFonts w:hint="eastAsia"/>
                    </w:rPr>
                    <w:t>排入巴河的量</w:t>
                  </w:r>
                  <w:r>
                    <w:t>t/a</w:t>
                  </w:r>
                </w:p>
              </w:tc>
              <w:tc>
                <w:tcPr>
                  <w:tcW w:w="608" w:type="pct"/>
                  <w:vMerge w:val="continue"/>
                  <w:vAlign w:val="center"/>
                </w:tcPr>
                <w:p>
                  <w:pPr>
                    <w:pStyle w:val="136"/>
                    <w:adjustRightInd w:val="0"/>
                    <w:snapToGrid w:val="0"/>
                    <w:rPr>
                      <w:rFonts w:eastAsia="等线"/>
                    </w:rPr>
                  </w:pPr>
                </w:p>
              </w:tc>
              <w:tc>
                <w:tcPr>
                  <w:tcW w:w="479" w:type="pct"/>
                  <w:vAlign w:val="center"/>
                </w:tcPr>
                <w:p>
                  <w:pPr>
                    <w:pStyle w:val="136"/>
                    <w:adjustRightInd w:val="0"/>
                    <w:snapToGrid w:val="0"/>
                    <w:rPr>
                      <w:rFonts w:eastAsia="等线"/>
                    </w:rPr>
                  </w:pPr>
                  <w:r>
                    <w:rPr>
                      <w:rFonts w:eastAsia="等线"/>
                    </w:rPr>
                    <w:t>0.010</w:t>
                  </w:r>
                </w:p>
              </w:tc>
              <w:tc>
                <w:tcPr>
                  <w:tcW w:w="479" w:type="pct"/>
                  <w:vAlign w:val="center"/>
                </w:tcPr>
                <w:p>
                  <w:pPr>
                    <w:pStyle w:val="136"/>
                    <w:adjustRightInd w:val="0"/>
                    <w:snapToGrid w:val="0"/>
                    <w:rPr>
                      <w:rFonts w:eastAsia="等线"/>
                    </w:rPr>
                  </w:pPr>
                  <w:r>
                    <w:rPr>
                      <w:rFonts w:eastAsia="等线"/>
                    </w:rPr>
                    <w:t>0.002</w:t>
                  </w:r>
                </w:p>
              </w:tc>
              <w:tc>
                <w:tcPr>
                  <w:tcW w:w="479" w:type="pct"/>
                  <w:vAlign w:val="center"/>
                </w:tcPr>
                <w:p>
                  <w:pPr>
                    <w:pStyle w:val="136"/>
                    <w:adjustRightInd w:val="0"/>
                    <w:snapToGrid w:val="0"/>
                    <w:rPr>
                      <w:rFonts w:eastAsia="等线"/>
                    </w:rPr>
                  </w:pPr>
                  <w:r>
                    <w:rPr>
                      <w:rFonts w:eastAsia="等线"/>
                    </w:rPr>
                    <w:t>0.001</w:t>
                  </w:r>
                </w:p>
              </w:tc>
              <w:tc>
                <w:tcPr>
                  <w:tcW w:w="479" w:type="pct"/>
                  <w:vAlign w:val="center"/>
                </w:tcPr>
                <w:p>
                  <w:pPr>
                    <w:pStyle w:val="136"/>
                    <w:adjustRightInd w:val="0"/>
                    <w:snapToGrid w:val="0"/>
                    <w:rPr>
                      <w:rFonts w:eastAsia="等线"/>
                    </w:rPr>
                  </w:pPr>
                  <w:r>
                    <w:rPr>
                      <w:rFonts w:eastAsia="等线"/>
                    </w:rPr>
                    <w:t>0.002</w:t>
                  </w:r>
                </w:p>
              </w:tc>
              <w:tc>
                <w:tcPr>
                  <w:tcW w:w="479" w:type="pct"/>
                  <w:vAlign w:val="center"/>
                </w:tcPr>
                <w:p>
                  <w:pPr>
                    <w:pStyle w:val="136"/>
                    <w:adjustRightInd w:val="0"/>
                    <w:snapToGrid w:val="0"/>
                    <w:rPr>
                      <w:rFonts w:eastAsia="等线"/>
                    </w:rPr>
                  </w:pPr>
                  <w:r>
                    <w:rPr>
                      <w:rFonts w:eastAsia="等线"/>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998" w:type="pct"/>
                  <w:gridSpan w:val="3"/>
                  <w:vAlign w:val="center"/>
                </w:tcPr>
                <w:p>
                  <w:pPr>
                    <w:pStyle w:val="136"/>
                    <w:adjustRightInd w:val="0"/>
                    <w:snapToGrid w:val="0"/>
                  </w:pPr>
                  <w:r>
                    <w:rPr>
                      <w:rFonts w:hint="eastAsia"/>
                    </w:rPr>
                    <w:t>巴中经济开发区污水处理厂排放浓度</w:t>
                  </w:r>
                </w:p>
              </w:tc>
              <w:tc>
                <w:tcPr>
                  <w:tcW w:w="608" w:type="pct"/>
                  <w:vMerge w:val="continue"/>
                  <w:vAlign w:val="center"/>
                </w:tcPr>
                <w:p>
                  <w:pPr>
                    <w:pStyle w:val="136"/>
                    <w:adjustRightInd w:val="0"/>
                    <w:snapToGrid w:val="0"/>
                    <w:rPr>
                      <w:rFonts w:eastAsia="等线"/>
                    </w:rPr>
                  </w:pPr>
                </w:p>
              </w:tc>
              <w:tc>
                <w:tcPr>
                  <w:tcW w:w="479" w:type="pct"/>
                  <w:vAlign w:val="center"/>
                </w:tcPr>
                <w:p>
                  <w:pPr>
                    <w:pStyle w:val="136"/>
                    <w:adjustRightInd w:val="0"/>
                    <w:snapToGrid w:val="0"/>
                    <w:rPr>
                      <w:rFonts w:eastAsia="等线"/>
                    </w:rPr>
                  </w:pPr>
                  <w:r>
                    <w:rPr>
                      <w:rFonts w:eastAsia="等线"/>
                    </w:rPr>
                    <w:t>50</w:t>
                  </w:r>
                </w:p>
              </w:tc>
              <w:tc>
                <w:tcPr>
                  <w:tcW w:w="479" w:type="pct"/>
                  <w:vAlign w:val="center"/>
                </w:tcPr>
                <w:p>
                  <w:pPr>
                    <w:pStyle w:val="136"/>
                    <w:adjustRightInd w:val="0"/>
                    <w:snapToGrid w:val="0"/>
                    <w:rPr>
                      <w:rFonts w:eastAsia="等线"/>
                    </w:rPr>
                  </w:pPr>
                  <w:r>
                    <w:rPr>
                      <w:rFonts w:eastAsia="等线"/>
                    </w:rPr>
                    <w:t>10</w:t>
                  </w:r>
                </w:p>
              </w:tc>
              <w:tc>
                <w:tcPr>
                  <w:tcW w:w="479" w:type="pct"/>
                  <w:vAlign w:val="center"/>
                </w:tcPr>
                <w:p>
                  <w:pPr>
                    <w:pStyle w:val="136"/>
                    <w:adjustRightInd w:val="0"/>
                    <w:snapToGrid w:val="0"/>
                    <w:rPr>
                      <w:rFonts w:eastAsia="等线"/>
                    </w:rPr>
                  </w:pPr>
                  <w:r>
                    <w:rPr>
                      <w:rFonts w:eastAsia="等线"/>
                    </w:rPr>
                    <w:t>5</w:t>
                  </w:r>
                </w:p>
              </w:tc>
              <w:tc>
                <w:tcPr>
                  <w:tcW w:w="479" w:type="pct"/>
                  <w:vAlign w:val="center"/>
                </w:tcPr>
                <w:p>
                  <w:pPr>
                    <w:pStyle w:val="136"/>
                    <w:adjustRightInd w:val="0"/>
                    <w:snapToGrid w:val="0"/>
                    <w:rPr>
                      <w:rFonts w:eastAsia="等线"/>
                    </w:rPr>
                  </w:pPr>
                  <w:r>
                    <w:rPr>
                      <w:rFonts w:eastAsia="等线"/>
                    </w:rPr>
                    <w:t>10</w:t>
                  </w:r>
                </w:p>
              </w:tc>
              <w:tc>
                <w:tcPr>
                  <w:tcW w:w="479" w:type="pct"/>
                  <w:vAlign w:val="center"/>
                </w:tcPr>
                <w:p>
                  <w:pPr>
                    <w:pStyle w:val="136"/>
                    <w:adjustRightInd w:val="0"/>
                    <w:snapToGrid w:val="0"/>
                    <w:rPr>
                      <w:rFonts w:eastAsia="等线"/>
                    </w:rPr>
                  </w:pPr>
                  <w:r>
                    <w:rPr>
                      <w:rFonts w:eastAsia="等线"/>
                    </w:rPr>
                    <w:t>0.5</w:t>
                  </w:r>
                </w:p>
              </w:tc>
            </w:tr>
          </w:tbl>
          <w:p>
            <w:pPr>
              <w:ind w:firstLine="482"/>
            </w:pPr>
            <w:r>
              <w:rPr>
                <w:b/>
              </w:rPr>
              <w:t>3</w:t>
            </w:r>
            <w:r>
              <w:rPr>
                <w:rFonts w:hint="eastAsia"/>
                <w:b/>
              </w:rPr>
              <w:t>、水污染治理工艺可行性分析</w:t>
            </w:r>
            <w:r>
              <w:rPr>
                <w:rFonts w:hint="eastAsia"/>
              </w:rPr>
              <w:t>：</w:t>
            </w:r>
          </w:p>
          <w:p>
            <w:pPr>
              <w:ind w:firstLine="480"/>
            </w:pPr>
            <w:r>
              <w:rPr>
                <w:rFonts w:hint="eastAsia"/>
              </w:rPr>
              <w:t>（1）实验室废水处理措施可行性分析</w:t>
            </w:r>
          </w:p>
          <w:p>
            <w:pPr>
              <w:ind w:firstLine="480"/>
            </w:pPr>
            <w:r>
              <w:rPr>
                <w:rFonts w:hint="eastAsia"/>
              </w:rPr>
              <w:t>本项目在</w:t>
            </w:r>
            <w:r>
              <w:t>1</w:t>
            </w:r>
            <w:r>
              <w:rPr>
                <w:rFonts w:hint="eastAsia"/>
              </w:rPr>
              <w:t>楼和4楼分别设置1台一体化废水处理设施，处理规模均为0</w:t>
            </w:r>
            <w:r>
              <w:t>.3</w:t>
            </w:r>
            <w:r>
              <w:rPr>
                <w:rFonts w:hint="eastAsia"/>
              </w:rPr>
              <w:t>m</w:t>
            </w:r>
            <w:r>
              <w:rPr>
                <w:vertAlign w:val="superscript"/>
              </w:rPr>
              <w:t>3</w:t>
            </w:r>
            <w:r>
              <w:t>/</w:t>
            </w:r>
            <w:r>
              <w:rPr>
                <w:rFonts w:hint="eastAsia"/>
              </w:rPr>
              <w:t>d（共0</w:t>
            </w:r>
            <w:r>
              <w:t>.6</w:t>
            </w:r>
            <w:r>
              <w:rPr>
                <w:rFonts w:hint="eastAsia"/>
              </w:rPr>
              <w:t>m</w:t>
            </w:r>
            <w:r>
              <w:rPr>
                <w:vertAlign w:val="superscript"/>
              </w:rPr>
              <w:t>3</w:t>
            </w:r>
            <w:r>
              <w:t>/</w:t>
            </w:r>
            <w:r>
              <w:rPr>
                <w:rFonts w:hint="eastAsia"/>
              </w:rPr>
              <w:t>d），采用“集水箱</w:t>
            </w:r>
            <w:r>
              <w:rPr>
                <w:rFonts w:hint="eastAsia"/>
                <w:szCs w:val="18"/>
              </w:rPr>
              <w:t>+pH调节+混凝沉淀+光催化降解+复合过滤+紫外消毒</w:t>
            </w:r>
            <w:r>
              <w:rPr>
                <w:rFonts w:hint="eastAsia"/>
              </w:rPr>
              <w:t>”处理工艺。位于4F的集水箱用于收集5F实验室及碱液喷淋塔产生的废水，位于1F的集水箱用于收集4F实验室产生的废水，以及4F集水箱多余的废水。本项目实验室废水产生量为0</w:t>
            </w:r>
            <w:r>
              <w:t>.382</w:t>
            </w:r>
            <w:r>
              <w:rPr>
                <w:rFonts w:hint="eastAsia"/>
              </w:rPr>
              <w:t>m</w:t>
            </w:r>
            <w:r>
              <w:rPr>
                <w:vertAlign w:val="superscript"/>
              </w:rPr>
              <w:t>3</w:t>
            </w:r>
            <w:r>
              <w:t>/</w:t>
            </w:r>
            <w:r>
              <w:rPr>
                <w:rFonts w:hint="eastAsia"/>
              </w:rPr>
              <w:t>d，废水污染物简单，根据上表分析，实验室废水经处理后可满足《污水综合排放标准》（GB</w:t>
            </w:r>
            <w:r>
              <w:t>8978</w:t>
            </w:r>
            <w:r>
              <w:rPr>
                <w:rFonts w:hint="eastAsia"/>
              </w:rPr>
              <w:t>-</w:t>
            </w:r>
            <w:r>
              <w:t>1996</w:t>
            </w:r>
            <w:r>
              <w:rPr>
                <w:rFonts w:hint="eastAsia"/>
              </w:rPr>
              <w:t>）三级标准。因此，本项目采取的废水处理措施是可行的。</w:t>
            </w:r>
          </w:p>
          <w:p>
            <w:pPr>
              <w:pStyle w:val="181"/>
            </w:pPr>
            <w:r>
              <w:object>
                <v:shape id="_x0000_i1028" o:spt="75" type="#_x0000_t75" style="height:411pt;width:210.75pt;" o:ole="t" filled="f" o:preferrelative="t" stroked="f" coordsize="21600,21600">
                  <v:path/>
                  <v:fill on="f" focussize="0,0"/>
                  <v:stroke on="f" joinstyle="miter"/>
                  <v:imagedata r:id="rId29" o:title=""/>
                  <o:lock v:ext="edit" aspectratio="t"/>
                  <w10:wrap type="none"/>
                  <w10:anchorlock/>
                </v:shape>
                <o:OLEObject Type="Embed" ProgID="Visio.Drawing.15" ShapeID="_x0000_i1028" DrawAspect="Content" ObjectID="_1468075728" r:id="rId28">
                  <o:LockedField>false</o:LockedField>
                </o:OLEObject>
              </w:object>
            </w:r>
          </w:p>
          <w:p>
            <w:pPr>
              <w:pStyle w:val="157"/>
              <w:rPr>
                <w:lang w:val="de-DE"/>
              </w:rPr>
            </w:pPr>
            <w:r>
              <w:rPr>
                <w:rFonts w:hint="eastAsia"/>
                <w:lang w:val="de-DE"/>
              </w:rPr>
              <w:t>图4</w:t>
            </w:r>
            <w:r>
              <w:rPr>
                <w:lang w:val="de-DE"/>
              </w:rPr>
              <w:t xml:space="preserve">.1-1  </w:t>
            </w:r>
            <w:r>
              <w:rPr>
                <w:rFonts w:hint="eastAsia"/>
                <w:lang w:val="de-DE"/>
              </w:rPr>
              <w:t>实验室废水处理工艺流程图</w:t>
            </w:r>
          </w:p>
          <w:p>
            <w:pPr>
              <w:pStyle w:val="181"/>
            </w:pPr>
            <w:r>
              <w:object>
                <v:shape id="_x0000_i1029" o:spt="75" type="#_x0000_t75" style="height:384.75pt;width:351pt;" o:ole="t" filled="f" o:preferrelative="t" stroked="f" coordsize="21600,21600">
                  <v:path/>
                  <v:fill on="f" focussize="0,0"/>
                  <v:stroke on="f" joinstyle="miter"/>
                  <v:imagedata r:id="rId31" o:title=""/>
                  <o:lock v:ext="edit" aspectratio="t"/>
                  <w10:wrap type="none"/>
                  <w10:anchorlock/>
                </v:shape>
                <o:OLEObject Type="Embed" ProgID="Visio.Drawing.15" ShapeID="_x0000_i1029" DrawAspect="Content" ObjectID="_1468075729" r:id="rId30">
                  <o:LockedField>false</o:LockedField>
                </o:OLEObject>
              </w:object>
            </w:r>
          </w:p>
          <w:p>
            <w:pPr>
              <w:pStyle w:val="157"/>
              <w:rPr>
                <w:lang w:val="de-DE"/>
              </w:rPr>
            </w:pPr>
            <w:r>
              <w:rPr>
                <w:rFonts w:hint="eastAsia"/>
                <w:lang w:val="de-DE"/>
              </w:rPr>
              <w:t>图4</w:t>
            </w:r>
            <w:r>
              <w:rPr>
                <w:lang w:val="de-DE"/>
              </w:rPr>
              <w:t xml:space="preserve">.1-2  </w:t>
            </w:r>
            <w:r>
              <w:rPr>
                <w:rFonts w:hint="eastAsia"/>
                <w:lang w:val="de-DE"/>
              </w:rPr>
              <w:t>本项目废水处理路线图</w:t>
            </w:r>
          </w:p>
          <w:p>
            <w:pPr>
              <w:ind w:firstLine="480"/>
            </w:pPr>
            <w:r>
              <w:rPr>
                <w:rFonts w:hint="eastAsia"/>
              </w:rPr>
              <w:t>（2）污水处理厂依托可行性分析</w:t>
            </w:r>
          </w:p>
          <w:p>
            <w:pPr>
              <w:ind w:firstLine="480"/>
            </w:pPr>
            <w:r>
              <w:rPr>
                <w:rFonts w:hint="eastAsia"/>
              </w:rPr>
              <w:t>①服务范围及纳管可行性分析</w:t>
            </w:r>
          </w:p>
          <w:p>
            <w:pPr>
              <w:ind w:firstLine="480"/>
            </w:pPr>
            <w:r>
              <w:rPr>
                <w:rFonts w:hint="eastAsia"/>
              </w:rPr>
              <w:t>巴中经开区污水处理厂位于</w:t>
            </w:r>
            <w:r>
              <w:t>经开区南侧、河流下游</w:t>
            </w:r>
            <w:r>
              <w:rPr>
                <w:rFonts w:hint="eastAsia"/>
              </w:rPr>
              <w:t>的</w:t>
            </w:r>
            <w:r>
              <w:t>L13</w:t>
            </w:r>
            <w:r>
              <w:rPr>
                <w:rFonts w:hint="eastAsia"/>
              </w:rPr>
              <w:t>地块内（巴中兴文沙溪村），主要接纳经开区兴文片区的生活污水以及工业废水，</w:t>
            </w:r>
            <w:r>
              <w:t>占地6.40公顷，规划处理规模为5.0万</w:t>
            </w:r>
            <w:r>
              <w:rPr>
                <w:rFonts w:hint="eastAsia"/>
              </w:rPr>
              <w:t>m</w:t>
            </w:r>
            <w:r>
              <w:rPr>
                <w:rFonts w:hint="eastAsia"/>
                <w:vertAlign w:val="superscript"/>
              </w:rPr>
              <w:t>3</w:t>
            </w:r>
            <w:r>
              <w:rPr>
                <w:rFonts w:hint="eastAsia"/>
              </w:rPr>
              <w:t>/d，目前污水厂一期工程（设计规模1.99</w:t>
            </w:r>
            <w:r>
              <w:t>万</w:t>
            </w:r>
            <w:r>
              <w:rPr>
                <w:rFonts w:hint="eastAsia"/>
              </w:rPr>
              <w:t>m</w:t>
            </w:r>
            <w:r>
              <w:rPr>
                <w:rFonts w:hint="eastAsia"/>
                <w:vertAlign w:val="superscript"/>
              </w:rPr>
              <w:t>3</w:t>
            </w:r>
            <w:r>
              <w:rPr>
                <w:rFonts w:hint="eastAsia"/>
              </w:rPr>
              <w:t>/d）已建成运行，污水处理达到《城镇污水处理厂污染物排放标准》（GB18918-2002）中一级A标要求后，排入巴河。</w:t>
            </w:r>
          </w:p>
          <w:p>
            <w:pPr>
              <w:ind w:firstLine="480"/>
            </w:pPr>
            <w:r>
              <w:rPr>
                <w:rFonts w:hint="eastAsia"/>
              </w:rPr>
              <w:t>本项目位于四川巴中经济开发区时新街道宝峰社区，在该污水处理厂的纳污范围内，目前区域管网已接通，废水能够进入该污水处理厂。</w:t>
            </w:r>
          </w:p>
          <w:p>
            <w:pPr>
              <w:ind w:firstLine="480"/>
            </w:pPr>
            <w:r>
              <w:rPr>
                <w:rFonts w:hint="eastAsia"/>
              </w:rPr>
              <w:t>②接纳处理能力分析</w:t>
            </w:r>
          </w:p>
          <w:p>
            <w:pPr>
              <w:ind w:firstLine="480"/>
            </w:pPr>
            <w:r>
              <w:rPr>
                <w:rFonts w:hint="eastAsia"/>
              </w:rPr>
              <w:t>巴中经开区污水处理厂</w:t>
            </w:r>
            <w:r>
              <w:t>规划处理规模为5.0万</w:t>
            </w:r>
            <w:r>
              <w:rPr>
                <w:rFonts w:hint="eastAsia"/>
              </w:rPr>
              <w:t>m</w:t>
            </w:r>
            <w:r>
              <w:rPr>
                <w:rFonts w:hint="eastAsia"/>
                <w:vertAlign w:val="superscript"/>
              </w:rPr>
              <w:t>3</w:t>
            </w:r>
            <w:r>
              <w:rPr>
                <w:rFonts w:hint="eastAsia"/>
              </w:rPr>
              <w:t>/d，</w:t>
            </w:r>
            <w:r>
              <w:t>一期工程处理能力达到1.99万</w:t>
            </w:r>
            <w:r>
              <w:rPr>
                <w:rFonts w:hint="eastAsia"/>
              </w:rPr>
              <w:t>m</w:t>
            </w:r>
            <w:r>
              <w:rPr>
                <w:rFonts w:hint="eastAsia"/>
                <w:vertAlign w:val="superscript"/>
              </w:rPr>
              <w:t>3</w:t>
            </w:r>
            <w:r>
              <w:rPr>
                <w:rFonts w:hint="eastAsia"/>
              </w:rPr>
              <w:t>/d</w:t>
            </w:r>
            <w:r>
              <w:t>，</w:t>
            </w:r>
            <w:r>
              <w:rPr>
                <w:rFonts w:hint="eastAsia"/>
              </w:rPr>
              <w:t>目前接纳污水约1</w:t>
            </w:r>
            <w:r>
              <w:t>万</w:t>
            </w:r>
            <w:r>
              <w:rPr>
                <w:rFonts w:hint="eastAsia"/>
              </w:rPr>
              <w:t>m</w:t>
            </w:r>
            <w:r>
              <w:rPr>
                <w:rFonts w:hint="eastAsia"/>
                <w:vertAlign w:val="superscript"/>
              </w:rPr>
              <w:t>3</w:t>
            </w:r>
            <w:r>
              <w:rPr>
                <w:rFonts w:hint="eastAsia"/>
              </w:rPr>
              <w:t>/d，剩余处理能力为0</w:t>
            </w:r>
            <w:r>
              <w:t>.99万</w:t>
            </w:r>
            <w:r>
              <w:rPr>
                <w:rFonts w:hint="eastAsia"/>
              </w:rPr>
              <w:t>m</w:t>
            </w:r>
            <w:r>
              <w:rPr>
                <w:rFonts w:hint="eastAsia"/>
                <w:vertAlign w:val="superscript"/>
              </w:rPr>
              <w:t>3</w:t>
            </w:r>
            <w:r>
              <w:rPr>
                <w:rFonts w:hint="eastAsia"/>
              </w:rPr>
              <w:t>/d。</w:t>
            </w:r>
            <w:r>
              <w:t>本项目建成后</w:t>
            </w:r>
            <w:r>
              <w:rPr>
                <w:rFonts w:hint="eastAsia"/>
              </w:rPr>
              <w:t>新增废水排放量</w:t>
            </w:r>
            <w:r>
              <w:t>0.782</w:t>
            </w:r>
            <w:r>
              <w:rPr>
                <w:rFonts w:hint="eastAsia"/>
              </w:rPr>
              <w:t>m</w:t>
            </w:r>
            <w:r>
              <w:rPr>
                <w:rFonts w:hint="eastAsia"/>
                <w:vertAlign w:val="superscript"/>
              </w:rPr>
              <w:t>3</w:t>
            </w:r>
            <w:r>
              <w:t>/d，</w:t>
            </w:r>
            <w:r>
              <w:rPr>
                <w:rFonts w:hint="eastAsia"/>
              </w:rPr>
              <w:t>仅占0.</w:t>
            </w:r>
            <w:r>
              <w:t>008</w:t>
            </w:r>
            <w:r>
              <w:rPr>
                <w:rFonts w:hint="eastAsia"/>
              </w:rPr>
              <w:t>%，剩余处理能力的有足够余量，完全有能力接纳本项目产生的废水。</w:t>
            </w:r>
          </w:p>
          <w:p>
            <w:pPr>
              <w:ind w:firstLine="480"/>
            </w:pPr>
            <w:r>
              <w:rPr>
                <w:rFonts w:hint="eastAsia"/>
              </w:rPr>
              <w:t>③接纳处理水质可行性分析</w:t>
            </w:r>
          </w:p>
          <w:p>
            <w:pPr>
              <w:ind w:firstLine="480"/>
            </w:pPr>
            <w:r>
              <w:t>根据前述分析，本项目生活污水水质能达到《污水综合排放标准》</w:t>
            </w:r>
            <w:r>
              <w:rPr>
                <w:rFonts w:hint="eastAsia"/>
              </w:rPr>
              <w:t>（GB</w:t>
            </w:r>
            <w:r>
              <w:t>8978-1996</w:t>
            </w:r>
            <w:r>
              <w:rPr>
                <w:rFonts w:hint="eastAsia"/>
              </w:rPr>
              <w:t>）</w:t>
            </w:r>
            <w:r>
              <w:t>三级标准（COD：500mg/L、BOD</w:t>
            </w:r>
            <w:r>
              <w:rPr>
                <w:vertAlign w:val="subscript"/>
              </w:rPr>
              <w:t>5</w:t>
            </w:r>
            <w:r>
              <w:t>：300mg/L、SS：400mg/L），其中NH</w:t>
            </w:r>
            <w:r>
              <w:rPr>
                <w:vertAlign w:val="subscript"/>
              </w:rPr>
              <w:t>3</w:t>
            </w:r>
            <w:r>
              <w:t>-N</w:t>
            </w:r>
            <w:r>
              <w:rPr>
                <w:rFonts w:hint="eastAsia"/>
              </w:rPr>
              <w:t>、TP</w:t>
            </w:r>
            <w:r>
              <w:t>满足《污水排入城镇下水道水质标准》（GB/T31962-2015）中B标准（45mg/L</w:t>
            </w:r>
            <w:r>
              <w:rPr>
                <w:rFonts w:hint="eastAsia"/>
              </w:rPr>
              <w:t>、8mg</w:t>
            </w:r>
            <w:r>
              <w:t>/</w:t>
            </w:r>
            <w:r>
              <w:rPr>
                <w:rFonts w:hint="eastAsia"/>
              </w:rPr>
              <w:t>L</w:t>
            </w:r>
            <w:r>
              <w:t>），满足</w:t>
            </w:r>
            <w:r>
              <w:rPr>
                <w:rFonts w:hint="eastAsia"/>
              </w:rPr>
              <w:t>巴中经开区污水处理厂</w:t>
            </w:r>
            <w:r>
              <w:t>进水水质接纳要求。</w:t>
            </w:r>
          </w:p>
          <w:p>
            <w:pPr>
              <w:ind w:firstLine="480"/>
            </w:pPr>
            <w:r>
              <w:rPr>
                <w:rFonts w:hint="eastAsia"/>
              </w:rPr>
              <w:t>综上，就服务范围、处理能力而言，本项目废水依托巴中经开区污水处理厂环境可行，污染物可实现达标排放，不会对地表水产生明显影响。</w:t>
            </w:r>
          </w:p>
          <w:p>
            <w:pPr>
              <w:ind w:firstLine="482"/>
              <w:rPr>
                <w:b/>
              </w:rPr>
            </w:pPr>
            <w:r>
              <w:rPr>
                <w:b/>
              </w:rPr>
              <w:t>4</w:t>
            </w:r>
            <w:r>
              <w:rPr>
                <w:rFonts w:hint="eastAsia"/>
                <w:b/>
              </w:rPr>
              <w:t>、废水排放口统计：</w:t>
            </w:r>
          </w:p>
          <w:p>
            <w:pPr>
              <w:ind w:firstLine="480"/>
              <w:rPr>
                <w:bCs/>
              </w:rPr>
            </w:pPr>
            <w:r>
              <w:rPr>
                <w:rFonts w:hint="eastAsia"/>
                <w:bCs/>
              </w:rPr>
              <w:t>本项目废水排放口设置情况如下表所示：</w:t>
            </w:r>
          </w:p>
          <w:p>
            <w:pPr>
              <w:pStyle w:val="157"/>
              <w:ind w:firstLine="420"/>
            </w:pPr>
            <w:r>
              <w:rPr>
                <w:rFonts w:hint="eastAsia"/>
              </w:rPr>
              <w:t>表4</w:t>
            </w:r>
            <w:r>
              <w:t>.1-</w:t>
            </w:r>
            <w:r>
              <w:rPr>
                <w:rFonts w:hint="eastAsia"/>
              </w:rPr>
              <w:t>4</w:t>
            </w:r>
            <w:r>
              <w:t xml:space="preserve">  </w:t>
            </w:r>
            <w:r>
              <w:rPr>
                <w:rFonts w:hint="eastAsia"/>
              </w:rPr>
              <w:t>本项目废水排放口设置情况一览表</w:t>
            </w:r>
          </w:p>
          <w:tbl>
            <w:tblPr>
              <w:tblStyle w:val="195"/>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75"/>
              <w:gridCol w:w="708"/>
              <w:gridCol w:w="1426"/>
              <w:gridCol w:w="525"/>
              <w:gridCol w:w="1310"/>
              <w:gridCol w:w="850"/>
              <w:gridCol w:w="20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275" w:type="dxa"/>
                  <w:vAlign w:val="center"/>
                </w:tcPr>
                <w:p>
                  <w:pPr>
                    <w:pStyle w:val="136"/>
                    <w:adjustRightInd w:val="0"/>
                    <w:snapToGrid w:val="0"/>
                    <w:rPr>
                      <w:b/>
                      <w:bCs/>
                    </w:rPr>
                  </w:pPr>
                  <w:r>
                    <w:rPr>
                      <w:rFonts w:hint="eastAsia"/>
                      <w:b/>
                      <w:bCs/>
                    </w:rPr>
                    <w:t>排放口名称</w:t>
                  </w:r>
                </w:p>
              </w:tc>
              <w:tc>
                <w:tcPr>
                  <w:tcW w:w="708" w:type="dxa"/>
                  <w:vAlign w:val="center"/>
                </w:tcPr>
                <w:p>
                  <w:pPr>
                    <w:pStyle w:val="136"/>
                    <w:adjustRightInd w:val="0"/>
                    <w:snapToGrid w:val="0"/>
                    <w:rPr>
                      <w:b/>
                      <w:bCs/>
                    </w:rPr>
                  </w:pPr>
                  <w:r>
                    <w:rPr>
                      <w:rFonts w:hint="eastAsia"/>
                      <w:b/>
                      <w:bCs/>
                    </w:rPr>
                    <w:t>排放口编号</w:t>
                  </w:r>
                </w:p>
              </w:tc>
              <w:tc>
                <w:tcPr>
                  <w:tcW w:w="1426" w:type="dxa"/>
                  <w:vAlign w:val="center"/>
                </w:tcPr>
                <w:p>
                  <w:pPr>
                    <w:pStyle w:val="136"/>
                    <w:adjustRightInd w:val="0"/>
                    <w:snapToGrid w:val="0"/>
                    <w:rPr>
                      <w:b/>
                      <w:bCs/>
                    </w:rPr>
                  </w:pPr>
                  <w:r>
                    <w:rPr>
                      <w:rFonts w:hint="eastAsia"/>
                      <w:b/>
                      <w:bCs/>
                    </w:rPr>
                    <w:t>排放口坐标</w:t>
                  </w:r>
                </w:p>
              </w:tc>
              <w:tc>
                <w:tcPr>
                  <w:tcW w:w="525" w:type="dxa"/>
                  <w:vAlign w:val="center"/>
                </w:tcPr>
                <w:p>
                  <w:pPr>
                    <w:pStyle w:val="136"/>
                    <w:adjustRightInd w:val="0"/>
                    <w:snapToGrid w:val="0"/>
                    <w:rPr>
                      <w:b/>
                      <w:bCs/>
                    </w:rPr>
                  </w:pPr>
                  <w:r>
                    <w:rPr>
                      <w:rFonts w:hint="eastAsia"/>
                      <w:b/>
                      <w:bCs/>
                    </w:rPr>
                    <w:t>排放方式</w:t>
                  </w:r>
                </w:p>
              </w:tc>
              <w:tc>
                <w:tcPr>
                  <w:tcW w:w="1310" w:type="dxa"/>
                  <w:vAlign w:val="center"/>
                </w:tcPr>
                <w:p>
                  <w:pPr>
                    <w:pStyle w:val="136"/>
                    <w:adjustRightInd w:val="0"/>
                    <w:snapToGrid w:val="0"/>
                    <w:rPr>
                      <w:b/>
                      <w:bCs/>
                    </w:rPr>
                  </w:pPr>
                  <w:r>
                    <w:rPr>
                      <w:rFonts w:hint="eastAsia"/>
                      <w:b/>
                      <w:bCs/>
                    </w:rPr>
                    <w:t>排放去向</w:t>
                  </w:r>
                </w:p>
              </w:tc>
              <w:tc>
                <w:tcPr>
                  <w:tcW w:w="850" w:type="dxa"/>
                  <w:vAlign w:val="center"/>
                </w:tcPr>
                <w:p>
                  <w:pPr>
                    <w:pStyle w:val="136"/>
                    <w:adjustRightInd w:val="0"/>
                    <w:snapToGrid w:val="0"/>
                    <w:rPr>
                      <w:b/>
                      <w:bCs/>
                    </w:rPr>
                  </w:pPr>
                  <w:r>
                    <w:rPr>
                      <w:rFonts w:hint="eastAsia"/>
                      <w:b/>
                      <w:bCs/>
                    </w:rPr>
                    <w:t>排放规律</w:t>
                  </w:r>
                </w:p>
              </w:tc>
              <w:tc>
                <w:tcPr>
                  <w:tcW w:w="2062" w:type="dxa"/>
                  <w:vAlign w:val="center"/>
                </w:tcPr>
                <w:p>
                  <w:pPr>
                    <w:pStyle w:val="136"/>
                    <w:adjustRightInd w:val="0"/>
                    <w:snapToGrid w:val="0"/>
                    <w:rPr>
                      <w:b/>
                      <w:bCs/>
                    </w:rPr>
                  </w:pPr>
                  <w:r>
                    <w:rPr>
                      <w:rFonts w:hint="eastAsia"/>
                      <w:b/>
                      <w:bCs/>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275" w:type="dxa"/>
                  <w:vAlign w:val="center"/>
                </w:tcPr>
                <w:p>
                  <w:pPr>
                    <w:pStyle w:val="136"/>
                    <w:adjustRightInd w:val="0"/>
                    <w:snapToGrid w:val="0"/>
                  </w:pPr>
                  <w:r>
                    <w:rPr>
                      <w:rFonts w:hint="eastAsia"/>
                    </w:rPr>
                    <w:t>废水总排口（一般排放口）</w:t>
                  </w:r>
                </w:p>
              </w:tc>
              <w:tc>
                <w:tcPr>
                  <w:tcW w:w="708" w:type="dxa"/>
                  <w:vAlign w:val="center"/>
                </w:tcPr>
                <w:p>
                  <w:pPr>
                    <w:pStyle w:val="136"/>
                    <w:adjustRightInd w:val="0"/>
                    <w:snapToGrid w:val="0"/>
                  </w:pPr>
                  <w:r>
                    <w:rPr>
                      <w:rFonts w:hint="eastAsia"/>
                    </w:rPr>
                    <w:t>DW</w:t>
                  </w:r>
                  <w:r>
                    <w:t>001</w:t>
                  </w:r>
                </w:p>
              </w:tc>
              <w:tc>
                <w:tcPr>
                  <w:tcW w:w="1426" w:type="dxa"/>
                  <w:vAlign w:val="center"/>
                </w:tcPr>
                <w:p>
                  <w:pPr>
                    <w:pStyle w:val="136"/>
                    <w:adjustRightInd w:val="0"/>
                    <w:snapToGrid w:val="0"/>
                    <w:rPr>
                      <w:rFonts w:cs="Times New Roman"/>
                    </w:rPr>
                  </w:pPr>
                  <w:r>
                    <w:rPr>
                      <w:rFonts w:cs="Times New Roman"/>
                    </w:rPr>
                    <w:t>106°50′36.04″</w:t>
                  </w:r>
                  <w:r>
                    <w:rPr>
                      <w:rFonts w:hint="eastAsia" w:cs="Times New Roman"/>
                    </w:rPr>
                    <w:t>E</w:t>
                  </w:r>
                </w:p>
                <w:p>
                  <w:pPr>
                    <w:pStyle w:val="136"/>
                    <w:adjustRightInd w:val="0"/>
                    <w:snapToGrid w:val="0"/>
                  </w:pPr>
                  <w:r>
                    <w:rPr>
                      <w:rFonts w:cs="Times New Roman"/>
                    </w:rPr>
                    <w:t>31°51′49.22</w:t>
                  </w:r>
                  <w:r>
                    <w:rPr>
                      <w:rFonts w:hint="eastAsia"/>
                    </w:rPr>
                    <w:t>″N</w:t>
                  </w:r>
                </w:p>
              </w:tc>
              <w:tc>
                <w:tcPr>
                  <w:tcW w:w="525" w:type="dxa"/>
                  <w:vAlign w:val="center"/>
                </w:tcPr>
                <w:p>
                  <w:pPr>
                    <w:pStyle w:val="136"/>
                    <w:adjustRightInd w:val="0"/>
                    <w:snapToGrid w:val="0"/>
                  </w:pPr>
                  <w:r>
                    <w:rPr>
                      <w:rFonts w:hint="eastAsia"/>
                    </w:rPr>
                    <w:t>间接排放</w:t>
                  </w:r>
                </w:p>
              </w:tc>
              <w:tc>
                <w:tcPr>
                  <w:tcW w:w="1310" w:type="dxa"/>
                  <w:vAlign w:val="center"/>
                </w:tcPr>
                <w:p>
                  <w:pPr>
                    <w:pStyle w:val="136"/>
                    <w:adjustRightInd w:val="0"/>
                    <w:snapToGrid w:val="0"/>
                  </w:pPr>
                  <w:r>
                    <w:rPr>
                      <w:rFonts w:hint="eastAsia"/>
                    </w:rPr>
                    <w:t>巴中经开区污水处理厂</w:t>
                  </w:r>
                </w:p>
              </w:tc>
              <w:tc>
                <w:tcPr>
                  <w:tcW w:w="850" w:type="dxa"/>
                  <w:vAlign w:val="center"/>
                </w:tcPr>
                <w:p>
                  <w:pPr>
                    <w:pStyle w:val="136"/>
                    <w:adjustRightInd w:val="0"/>
                    <w:snapToGrid w:val="0"/>
                  </w:pPr>
                  <w:r>
                    <w:rPr>
                      <w:rFonts w:hint="eastAsia"/>
                    </w:rPr>
                    <w:t>间歇排放</w:t>
                  </w:r>
                </w:p>
              </w:tc>
              <w:tc>
                <w:tcPr>
                  <w:tcW w:w="2062" w:type="dxa"/>
                  <w:vAlign w:val="center"/>
                </w:tcPr>
                <w:p>
                  <w:pPr>
                    <w:pStyle w:val="136"/>
                    <w:adjustRightInd w:val="0"/>
                    <w:snapToGrid w:val="0"/>
                  </w:pPr>
                  <w:r>
                    <w:rPr>
                      <w:rFonts w:hint="eastAsia"/>
                    </w:rPr>
                    <w:t>《污水综合排放标准》（GB</w:t>
                  </w:r>
                  <w:r>
                    <w:t>8978-1996</w:t>
                  </w:r>
                  <w:r>
                    <w:rPr>
                      <w:rFonts w:hint="eastAsia"/>
                    </w:rPr>
                    <w:t>）三级；</w:t>
                  </w:r>
                </w:p>
              </w:tc>
            </w:tr>
          </w:tbl>
          <w:p>
            <w:pPr>
              <w:ind w:firstLine="482"/>
              <w:rPr>
                <w:b/>
              </w:rPr>
            </w:pPr>
            <w:r>
              <w:rPr>
                <w:b/>
              </w:rPr>
              <w:t>5</w:t>
            </w:r>
            <w:r>
              <w:rPr>
                <w:rFonts w:hint="eastAsia"/>
                <w:b/>
              </w:rPr>
              <w:t>、废水监测要求：</w:t>
            </w:r>
          </w:p>
          <w:p>
            <w:pPr>
              <w:ind w:firstLine="480"/>
            </w:pPr>
            <w:r>
              <w:rPr>
                <w:rFonts w:hint="eastAsia"/>
              </w:rPr>
              <w:t>根据本项目实际情况，参考《排污许可证申请与核发技术规范 总则》（HJ</w:t>
            </w:r>
            <w:r>
              <w:t>942-2018</w:t>
            </w:r>
            <w:r>
              <w:rPr>
                <w:rFonts w:hint="eastAsia"/>
              </w:rPr>
              <w:t>），项目运营期废水监测要求见下表：</w:t>
            </w:r>
          </w:p>
          <w:p>
            <w:pPr>
              <w:pStyle w:val="157"/>
              <w:keepNext/>
              <w:ind w:firstLine="420"/>
            </w:pPr>
            <w:r>
              <w:rPr>
                <w:rFonts w:hint="eastAsia"/>
              </w:rPr>
              <w:t>表4</w:t>
            </w:r>
            <w:r>
              <w:t>.1-</w:t>
            </w:r>
            <w:r>
              <w:rPr>
                <w:rFonts w:hint="eastAsia"/>
              </w:rPr>
              <w:t>5</w:t>
            </w:r>
            <w:r>
              <w:t xml:space="preserve">  </w:t>
            </w:r>
            <w:r>
              <w:rPr>
                <w:rFonts w:hint="eastAsia"/>
              </w:rPr>
              <w:t>运营期废水排放口及监测计划表</w:t>
            </w:r>
          </w:p>
          <w:tbl>
            <w:tblPr>
              <w:tblStyle w:val="19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719"/>
              <w:gridCol w:w="3763"/>
              <w:gridCol w:w="16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6" w:type="pct"/>
                  <w:vAlign w:val="center"/>
                </w:tcPr>
                <w:p>
                  <w:pPr>
                    <w:pStyle w:val="136"/>
                    <w:adjustRightInd w:val="0"/>
                    <w:snapToGrid w:val="0"/>
                    <w:rPr>
                      <w:b/>
                      <w:bCs/>
                    </w:rPr>
                  </w:pPr>
                  <w:r>
                    <w:rPr>
                      <w:rFonts w:hint="eastAsia"/>
                      <w:b/>
                      <w:bCs/>
                    </w:rPr>
                    <w:t>监测点位</w:t>
                  </w:r>
                </w:p>
              </w:tc>
              <w:tc>
                <w:tcPr>
                  <w:tcW w:w="2307" w:type="pct"/>
                  <w:vAlign w:val="center"/>
                </w:tcPr>
                <w:p>
                  <w:pPr>
                    <w:pStyle w:val="136"/>
                    <w:adjustRightInd w:val="0"/>
                    <w:snapToGrid w:val="0"/>
                    <w:rPr>
                      <w:b/>
                      <w:bCs/>
                    </w:rPr>
                  </w:pPr>
                  <w:r>
                    <w:rPr>
                      <w:rFonts w:hint="eastAsia"/>
                      <w:b/>
                      <w:bCs/>
                    </w:rPr>
                    <w:t>监测因子</w:t>
                  </w:r>
                </w:p>
              </w:tc>
              <w:tc>
                <w:tcPr>
                  <w:tcW w:w="1026" w:type="pct"/>
                  <w:vAlign w:val="center"/>
                </w:tcPr>
                <w:p>
                  <w:pPr>
                    <w:pStyle w:val="136"/>
                    <w:adjustRightInd w:val="0"/>
                    <w:snapToGrid w:val="0"/>
                    <w:rPr>
                      <w:b/>
                      <w:bCs/>
                    </w:rPr>
                  </w:pPr>
                  <w:r>
                    <w:rPr>
                      <w:rFonts w:hint="eastAsia"/>
                      <w:b/>
                      <w:bCs/>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6" w:type="pct"/>
                  <w:vAlign w:val="center"/>
                </w:tcPr>
                <w:p>
                  <w:pPr>
                    <w:pStyle w:val="136"/>
                    <w:adjustRightInd w:val="0"/>
                    <w:snapToGrid w:val="0"/>
                  </w:pPr>
                  <w:r>
                    <w:rPr>
                      <w:rFonts w:hint="eastAsia"/>
                    </w:rPr>
                    <w:t>废水总排口（DW</w:t>
                  </w:r>
                  <w:r>
                    <w:t>001</w:t>
                  </w:r>
                  <w:r>
                    <w:rPr>
                      <w:rFonts w:hint="eastAsia"/>
                    </w:rPr>
                    <w:t>）</w:t>
                  </w:r>
                </w:p>
              </w:tc>
              <w:tc>
                <w:tcPr>
                  <w:tcW w:w="2307" w:type="pct"/>
                  <w:vAlign w:val="center"/>
                </w:tcPr>
                <w:p>
                  <w:pPr>
                    <w:pStyle w:val="136"/>
                    <w:adjustRightInd w:val="0"/>
                    <w:snapToGrid w:val="0"/>
                  </w:pPr>
                  <w:r>
                    <w:rPr>
                      <w:rFonts w:hint="eastAsia"/>
                    </w:rPr>
                    <w:t>pH、COD</w:t>
                  </w:r>
                  <w:r>
                    <w:rPr>
                      <w:rFonts w:hint="eastAsia"/>
                      <w:vertAlign w:val="subscript"/>
                    </w:rPr>
                    <w:t>Cr</w:t>
                  </w:r>
                  <w:r>
                    <w:rPr>
                      <w:rFonts w:hint="eastAsia"/>
                    </w:rPr>
                    <w:t>、BOD</w:t>
                  </w:r>
                  <w:r>
                    <w:rPr>
                      <w:vertAlign w:val="subscript"/>
                    </w:rPr>
                    <w:t>5</w:t>
                  </w:r>
                  <w:r>
                    <w:rPr>
                      <w:rFonts w:hint="eastAsia"/>
                    </w:rPr>
                    <w:t>、氨氮、SS、TP</w:t>
                  </w:r>
                </w:p>
              </w:tc>
              <w:tc>
                <w:tcPr>
                  <w:tcW w:w="1026" w:type="pct"/>
                  <w:vAlign w:val="center"/>
                </w:tcPr>
                <w:p>
                  <w:pPr>
                    <w:pStyle w:val="136"/>
                    <w:adjustRightInd w:val="0"/>
                    <w:snapToGrid w:val="0"/>
                  </w:pPr>
                  <w:r>
                    <w:rPr>
                      <w:rFonts w:hint="eastAsia"/>
                    </w:rPr>
                    <w:t>1季/次</w:t>
                  </w:r>
                </w:p>
              </w:tc>
            </w:tr>
          </w:tbl>
          <w:p>
            <w:pPr>
              <w:ind w:firstLine="482"/>
              <w:rPr>
                <w:b/>
              </w:rPr>
            </w:pPr>
            <w:r>
              <w:rPr>
                <w:b/>
              </w:rPr>
              <w:t>6</w:t>
            </w:r>
            <w:r>
              <w:rPr>
                <w:rFonts w:hint="eastAsia"/>
                <w:b/>
              </w:rPr>
              <w:t>、地表水环境影响分析</w:t>
            </w:r>
          </w:p>
          <w:p>
            <w:pPr>
              <w:ind w:firstLine="480"/>
            </w:pPr>
            <w:r>
              <w:rPr>
                <w:rFonts w:hint="eastAsia"/>
              </w:rPr>
              <w:t>本项目实验室废水排放量0</w:t>
            </w:r>
            <w:r>
              <w:t>.382</w:t>
            </w:r>
            <w:r>
              <w:rPr>
                <w:rFonts w:hint="eastAsia"/>
              </w:rPr>
              <w:t>m</w:t>
            </w:r>
            <w:r>
              <w:rPr>
                <w:vertAlign w:val="superscript"/>
              </w:rPr>
              <w:t>3</w:t>
            </w:r>
            <w:r>
              <w:t>/</w:t>
            </w:r>
            <w:r>
              <w:rPr>
                <w:rFonts w:hint="eastAsia"/>
              </w:rPr>
              <w:t>d，生活污水排放量0</w:t>
            </w:r>
            <w:r>
              <w:t>.4</w:t>
            </w:r>
            <w:r>
              <w:rPr>
                <w:rFonts w:hint="eastAsia"/>
              </w:rPr>
              <w:t>m</w:t>
            </w:r>
            <w:r>
              <w:rPr>
                <w:vertAlign w:val="superscript"/>
              </w:rPr>
              <w:t>3</w:t>
            </w:r>
            <w:r>
              <w:t>/</w:t>
            </w:r>
            <w:r>
              <w:rPr>
                <w:rFonts w:hint="eastAsia"/>
              </w:rPr>
              <w:t>d，共计为</w:t>
            </w:r>
            <w:r>
              <w:t>0.782</w:t>
            </w:r>
            <w:r>
              <w:rPr>
                <w:rFonts w:hint="eastAsia"/>
              </w:rPr>
              <w:t>m</w:t>
            </w:r>
            <w:r>
              <w:rPr>
                <w:rFonts w:hint="eastAsia"/>
                <w:vertAlign w:val="superscript"/>
              </w:rPr>
              <w:t>3</w:t>
            </w:r>
            <w:r>
              <w:rPr>
                <w:rFonts w:hint="eastAsia"/>
              </w:rPr>
              <w:t>/d。实验室废水经实验室废水处理装置采用“集水箱</w:t>
            </w:r>
            <w:r>
              <w:rPr>
                <w:rFonts w:hint="eastAsia"/>
                <w:szCs w:val="18"/>
              </w:rPr>
              <w:t>+pH调节+混凝沉淀+光催化降解+复合过滤+紫外消毒</w:t>
            </w:r>
            <w:r>
              <w:rPr>
                <w:rFonts w:hint="eastAsia"/>
              </w:rPr>
              <w:t>”工艺处理达《污水综合排放标准》（GB</w:t>
            </w:r>
            <w:r>
              <w:t>8978-1996</w:t>
            </w:r>
            <w:r>
              <w:rPr>
                <w:rFonts w:hint="eastAsia"/>
              </w:rPr>
              <w:t>）三级标准后，</w:t>
            </w:r>
            <w:r>
              <w:rPr>
                <w:rStyle w:val="194"/>
                <w:rFonts w:hint="eastAsia"/>
                <w:color w:val="auto"/>
              </w:rPr>
              <w:t>于厂区西</w:t>
            </w:r>
            <w:r>
              <w:rPr>
                <w:rStyle w:val="194"/>
                <w:color w:val="auto"/>
              </w:rPr>
              <w:t>侧</w:t>
            </w:r>
            <w:r>
              <w:rPr>
                <w:rStyle w:val="194"/>
                <w:rFonts w:hint="eastAsia"/>
                <w:color w:val="auto"/>
              </w:rPr>
              <w:t>市政污水管网碰管，</w:t>
            </w:r>
            <w:r>
              <w:rPr>
                <w:rFonts w:hint="eastAsia"/>
              </w:rPr>
              <w:t>通过市政污水管网排入巴中经济开发区污水处理厂（</w:t>
            </w:r>
            <w:r>
              <w:t>1</w:t>
            </w:r>
            <w:r>
              <w:rPr>
                <w:rFonts w:hint="eastAsia"/>
              </w:rPr>
              <w:t>期，1</w:t>
            </w:r>
            <w:r>
              <w:t>.99</w:t>
            </w:r>
            <w:r>
              <w:rPr>
                <w:rFonts w:hint="eastAsia"/>
              </w:rPr>
              <w:t>万m</w:t>
            </w:r>
            <w:r>
              <w:rPr>
                <w:vertAlign w:val="superscript"/>
              </w:rPr>
              <w:t>3</w:t>
            </w:r>
            <w:r>
              <w:t>/</w:t>
            </w:r>
            <w:r>
              <w:rPr>
                <w:rFonts w:hint="eastAsia"/>
              </w:rPr>
              <w:t>d）处理达《城镇污水处理厂污染物排放标准》（GB18918-2002）中一级A标准后排入巴河；生活污水经预处理池处理达《污水综合排放标准》（GB</w:t>
            </w:r>
            <w:r>
              <w:t>8978-1996</w:t>
            </w:r>
            <w:r>
              <w:rPr>
                <w:rFonts w:hint="eastAsia"/>
              </w:rPr>
              <w:t>）三级标准后，</w:t>
            </w:r>
            <w:r>
              <w:rPr>
                <w:rStyle w:val="194"/>
                <w:rFonts w:hint="eastAsia"/>
                <w:color w:val="auto"/>
              </w:rPr>
              <w:t>于厂区西</w:t>
            </w:r>
            <w:r>
              <w:rPr>
                <w:rStyle w:val="194"/>
                <w:color w:val="auto"/>
              </w:rPr>
              <w:t>侧</w:t>
            </w:r>
            <w:r>
              <w:rPr>
                <w:rStyle w:val="194"/>
                <w:rFonts w:hint="eastAsia"/>
                <w:color w:val="auto"/>
              </w:rPr>
              <w:t>市政污水管网碰管，</w:t>
            </w:r>
            <w:r>
              <w:rPr>
                <w:rFonts w:hint="eastAsia"/>
              </w:rPr>
              <w:t>通过市政污水管网排入巴中经济开发区污水处理厂（</w:t>
            </w:r>
            <w:r>
              <w:t>1</w:t>
            </w:r>
            <w:r>
              <w:rPr>
                <w:rFonts w:hint="eastAsia"/>
              </w:rPr>
              <w:t>期，1</w:t>
            </w:r>
            <w:r>
              <w:t>.99</w:t>
            </w:r>
            <w:r>
              <w:rPr>
                <w:rFonts w:hint="eastAsia"/>
              </w:rPr>
              <w:t>万m</w:t>
            </w:r>
            <w:r>
              <w:rPr>
                <w:vertAlign w:val="superscript"/>
              </w:rPr>
              <w:t>3</w:t>
            </w:r>
            <w:r>
              <w:t>/</w:t>
            </w:r>
            <w:r>
              <w:rPr>
                <w:rFonts w:hint="eastAsia"/>
              </w:rPr>
              <w:t>d）处理达《城镇污水处理厂污染物排放标准》（GB18918-2002）中一级A标准后排入巴河。项目废水经处理后均可达标排放，不会对巴河水质产生明显影响。</w:t>
            </w:r>
          </w:p>
          <w:p>
            <w:pPr>
              <w:pStyle w:val="158"/>
            </w:pPr>
            <w:r>
              <w:rPr>
                <w:rFonts w:hint="eastAsia"/>
              </w:rPr>
              <w:t>二、</w:t>
            </w:r>
            <w:r>
              <w:t>废气</w:t>
            </w:r>
          </w:p>
          <w:p>
            <w:pPr>
              <w:ind w:firstLine="482"/>
              <w:rPr>
                <w:b/>
                <w:bCs/>
              </w:rPr>
            </w:pPr>
            <w:r>
              <w:rPr>
                <w:rFonts w:hint="eastAsia"/>
                <w:b/>
                <w:bCs/>
              </w:rPr>
              <w:t>1、废气源强分析</w:t>
            </w:r>
          </w:p>
          <w:p>
            <w:pPr>
              <w:ind w:firstLine="480"/>
              <w:rPr>
                <w:bCs/>
              </w:rPr>
            </w:pPr>
            <w:r>
              <w:rPr>
                <w:bCs/>
              </w:rPr>
              <w:t>本项目不提供员工的食宿，不产生油烟废气。本项目运营期产生的废气主要为</w:t>
            </w:r>
            <w:r>
              <w:rPr>
                <w:rFonts w:hint="eastAsia"/>
                <w:bCs/>
              </w:rPr>
              <w:t>实验废气（VOCs、丙酮、正己烷、氯化氢、硫酸雾）</w:t>
            </w:r>
            <w:r>
              <w:rPr>
                <w:bCs/>
              </w:rPr>
              <w:t>。</w:t>
            </w:r>
          </w:p>
          <w:p>
            <w:pPr>
              <w:ind w:firstLine="480"/>
              <w:rPr>
                <w:bCs/>
              </w:rPr>
            </w:pPr>
            <w:r>
              <w:rPr>
                <w:rFonts w:hint="eastAsia"/>
                <w:bCs/>
              </w:rPr>
              <w:t>本项目试验过程样本处理、仪器分析过程会用到具有挥发性的试剂包括：浓盐酸、氨水以及其他有机试剂，各挥发性试剂使用情况如下：</w:t>
            </w:r>
          </w:p>
          <w:p>
            <w:pPr>
              <w:pStyle w:val="157"/>
            </w:pPr>
            <w:r>
              <w:rPr>
                <w:rFonts w:hint="eastAsia"/>
              </w:rPr>
              <w:t>表4</w:t>
            </w:r>
            <w:r>
              <w:t xml:space="preserve">.2-1  </w:t>
            </w:r>
            <w:r>
              <w:rPr>
                <w:rFonts w:hint="eastAsia"/>
              </w:rPr>
              <w:t>挥发性试剂使用情况一览表</w:t>
            </w:r>
          </w:p>
          <w:tbl>
            <w:tblPr>
              <w:tblStyle w:val="19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79"/>
              <w:gridCol w:w="484"/>
              <w:gridCol w:w="961"/>
              <w:gridCol w:w="961"/>
              <w:gridCol w:w="961"/>
              <w:gridCol w:w="1755"/>
              <w:gridCol w:w="17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84" w:type="pct"/>
                  <w:vAlign w:val="center"/>
                </w:tcPr>
                <w:p>
                  <w:pPr>
                    <w:pStyle w:val="136"/>
                    <w:adjustRightInd w:val="0"/>
                    <w:snapToGrid w:val="0"/>
                    <w:rPr>
                      <w:b/>
                      <w:bCs/>
                    </w:rPr>
                  </w:pPr>
                  <w:r>
                    <w:rPr>
                      <w:rFonts w:hint="eastAsia"/>
                      <w:b/>
                      <w:bCs/>
                    </w:rPr>
                    <w:t>试剂名称</w:t>
                  </w:r>
                </w:p>
              </w:tc>
              <w:tc>
                <w:tcPr>
                  <w:tcW w:w="297" w:type="pct"/>
                  <w:vAlign w:val="center"/>
                </w:tcPr>
                <w:p>
                  <w:pPr>
                    <w:pStyle w:val="136"/>
                    <w:adjustRightInd w:val="0"/>
                    <w:snapToGrid w:val="0"/>
                    <w:rPr>
                      <w:b/>
                      <w:bCs/>
                    </w:rPr>
                  </w:pPr>
                  <w:r>
                    <w:rPr>
                      <w:rFonts w:hint="eastAsia"/>
                      <w:b/>
                      <w:bCs/>
                    </w:rPr>
                    <w:t>性状</w:t>
                  </w:r>
                </w:p>
              </w:tc>
              <w:tc>
                <w:tcPr>
                  <w:tcW w:w="589" w:type="pct"/>
                  <w:vAlign w:val="center"/>
                </w:tcPr>
                <w:p>
                  <w:pPr>
                    <w:pStyle w:val="136"/>
                    <w:adjustRightInd w:val="0"/>
                    <w:snapToGrid w:val="0"/>
                    <w:rPr>
                      <w:b/>
                      <w:bCs/>
                    </w:rPr>
                  </w:pPr>
                  <w:r>
                    <w:rPr>
                      <w:rFonts w:hint="eastAsia"/>
                      <w:b/>
                      <w:bCs/>
                    </w:rPr>
                    <w:t>沸点（℃）</w:t>
                  </w:r>
                </w:p>
              </w:tc>
              <w:tc>
                <w:tcPr>
                  <w:tcW w:w="589" w:type="pct"/>
                  <w:vAlign w:val="center"/>
                </w:tcPr>
                <w:p>
                  <w:pPr>
                    <w:pStyle w:val="136"/>
                    <w:adjustRightInd w:val="0"/>
                    <w:snapToGrid w:val="0"/>
                    <w:rPr>
                      <w:b/>
                      <w:bCs/>
                    </w:rPr>
                  </w:pPr>
                  <w:r>
                    <w:rPr>
                      <w:rFonts w:hint="eastAsia"/>
                      <w:b/>
                      <w:bCs/>
                    </w:rPr>
                    <w:t>密度（g</w:t>
                  </w:r>
                  <w:r>
                    <w:rPr>
                      <w:b/>
                      <w:bCs/>
                    </w:rPr>
                    <w:t>/</w:t>
                  </w:r>
                  <w:r>
                    <w:rPr>
                      <w:rFonts w:hint="eastAsia"/>
                      <w:b/>
                      <w:bCs/>
                    </w:rPr>
                    <w:t>cm</w:t>
                  </w:r>
                  <w:r>
                    <w:rPr>
                      <w:b/>
                      <w:bCs/>
                      <w:vertAlign w:val="superscript"/>
                    </w:rPr>
                    <w:t>3</w:t>
                  </w:r>
                  <w:r>
                    <w:rPr>
                      <w:rFonts w:hint="eastAsia"/>
                      <w:b/>
                      <w:bCs/>
                    </w:rPr>
                    <w:t>）</w:t>
                  </w:r>
                </w:p>
              </w:tc>
              <w:tc>
                <w:tcPr>
                  <w:tcW w:w="589" w:type="pct"/>
                  <w:vAlign w:val="center"/>
                </w:tcPr>
                <w:p>
                  <w:pPr>
                    <w:pStyle w:val="136"/>
                    <w:adjustRightInd w:val="0"/>
                    <w:snapToGrid w:val="0"/>
                    <w:rPr>
                      <w:b/>
                      <w:bCs/>
                    </w:rPr>
                  </w:pPr>
                  <w:r>
                    <w:rPr>
                      <w:rFonts w:hint="eastAsia"/>
                      <w:b/>
                      <w:bCs/>
                    </w:rPr>
                    <w:t>年使用量（L</w:t>
                  </w:r>
                  <w:r>
                    <w:rPr>
                      <w:b/>
                      <w:bCs/>
                    </w:rPr>
                    <w:t>/</w:t>
                  </w:r>
                  <w:r>
                    <w:rPr>
                      <w:rFonts w:hint="eastAsia"/>
                      <w:b/>
                      <w:bCs/>
                    </w:rPr>
                    <w:t>a）</w:t>
                  </w:r>
                </w:p>
              </w:tc>
              <w:tc>
                <w:tcPr>
                  <w:tcW w:w="1076" w:type="pct"/>
                  <w:vAlign w:val="center"/>
                </w:tcPr>
                <w:p>
                  <w:pPr>
                    <w:pStyle w:val="136"/>
                    <w:adjustRightInd w:val="0"/>
                    <w:snapToGrid w:val="0"/>
                    <w:rPr>
                      <w:b/>
                      <w:bCs/>
                    </w:rPr>
                  </w:pPr>
                  <w:r>
                    <w:rPr>
                      <w:rFonts w:hint="eastAsia"/>
                      <w:b/>
                      <w:bCs/>
                    </w:rPr>
                    <w:t>年用量（kg</w:t>
                  </w:r>
                  <w:r>
                    <w:rPr>
                      <w:b/>
                      <w:bCs/>
                    </w:rPr>
                    <w:t>/</w:t>
                  </w:r>
                  <w:r>
                    <w:rPr>
                      <w:rFonts w:hint="eastAsia"/>
                      <w:b/>
                      <w:bCs/>
                    </w:rPr>
                    <w:t>a）</w:t>
                  </w:r>
                </w:p>
              </w:tc>
              <w:tc>
                <w:tcPr>
                  <w:tcW w:w="1076" w:type="pct"/>
                  <w:vAlign w:val="center"/>
                </w:tcPr>
                <w:p>
                  <w:pPr>
                    <w:pStyle w:val="136"/>
                    <w:adjustRightInd w:val="0"/>
                    <w:snapToGrid w:val="0"/>
                    <w:rPr>
                      <w:b/>
                      <w:bCs/>
                    </w:rPr>
                  </w:pPr>
                  <w:r>
                    <w:rPr>
                      <w:rFonts w:hint="eastAsia"/>
                      <w:b/>
                      <w:bCs/>
                    </w:rPr>
                    <w:t>用途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84" w:type="pct"/>
                  <w:vAlign w:val="center"/>
                </w:tcPr>
                <w:p>
                  <w:pPr>
                    <w:pStyle w:val="136"/>
                    <w:adjustRightInd w:val="0"/>
                    <w:snapToGrid w:val="0"/>
                  </w:pPr>
                  <w:r>
                    <w:rPr>
                      <w:rFonts w:hint="eastAsia"/>
                    </w:rPr>
                    <w:t>丙酮</w:t>
                  </w:r>
                </w:p>
              </w:tc>
              <w:tc>
                <w:tcPr>
                  <w:tcW w:w="297" w:type="pct"/>
                  <w:vAlign w:val="center"/>
                </w:tcPr>
                <w:p>
                  <w:pPr>
                    <w:pStyle w:val="136"/>
                    <w:adjustRightInd w:val="0"/>
                    <w:snapToGrid w:val="0"/>
                  </w:pPr>
                  <w:r>
                    <w:rPr>
                      <w:rFonts w:hint="eastAsia"/>
                    </w:rPr>
                    <w:t>液态</w:t>
                  </w:r>
                </w:p>
              </w:tc>
              <w:tc>
                <w:tcPr>
                  <w:tcW w:w="589" w:type="pct"/>
                  <w:vAlign w:val="center"/>
                </w:tcPr>
                <w:p>
                  <w:pPr>
                    <w:pStyle w:val="136"/>
                    <w:adjustRightInd w:val="0"/>
                    <w:snapToGrid w:val="0"/>
                  </w:pPr>
                  <w:r>
                    <w:rPr>
                      <w:rFonts w:hint="eastAsia"/>
                    </w:rPr>
                    <w:t>5</w:t>
                  </w:r>
                  <w:r>
                    <w:t>6.5</w:t>
                  </w:r>
                </w:p>
              </w:tc>
              <w:tc>
                <w:tcPr>
                  <w:tcW w:w="589" w:type="pct"/>
                  <w:vAlign w:val="center"/>
                </w:tcPr>
                <w:p>
                  <w:pPr>
                    <w:pStyle w:val="136"/>
                    <w:adjustRightInd w:val="0"/>
                    <w:snapToGrid w:val="0"/>
                  </w:pPr>
                  <w:r>
                    <w:rPr>
                      <w:rFonts w:hint="eastAsia"/>
                    </w:rPr>
                    <w:t>0</w:t>
                  </w:r>
                  <w:r>
                    <w:t>.7899</w:t>
                  </w:r>
                </w:p>
              </w:tc>
              <w:tc>
                <w:tcPr>
                  <w:tcW w:w="589" w:type="pct"/>
                  <w:vAlign w:val="center"/>
                </w:tcPr>
                <w:p>
                  <w:pPr>
                    <w:pStyle w:val="136"/>
                    <w:adjustRightInd w:val="0"/>
                    <w:snapToGrid w:val="0"/>
                  </w:pPr>
                  <w:r>
                    <w:t>5</w:t>
                  </w:r>
                </w:p>
              </w:tc>
              <w:tc>
                <w:tcPr>
                  <w:tcW w:w="1076" w:type="pct"/>
                  <w:vAlign w:val="center"/>
                </w:tcPr>
                <w:p>
                  <w:pPr>
                    <w:pStyle w:val="136"/>
                    <w:adjustRightInd w:val="0"/>
                    <w:snapToGrid w:val="0"/>
                  </w:pPr>
                  <w:r>
                    <w:rPr>
                      <w:rFonts w:hint="eastAsia"/>
                    </w:rPr>
                    <w:t>3</w:t>
                  </w:r>
                  <w:r>
                    <w:t>.95</w:t>
                  </w:r>
                </w:p>
              </w:tc>
              <w:tc>
                <w:tcPr>
                  <w:tcW w:w="1076" w:type="pct"/>
                  <w:vMerge w:val="restart"/>
                  <w:vAlign w:val="center"/>
                </w:tcPr>
                <w:p>
                  <w:pPr>
                    <w:pStyle w:val="136"/>
                    <w:adjustRightInd w:val="0"/>
                    <w:snapToGrid w:val="0"/>
                  </w:pPr>
                  <w:r>
                    <w:rPr>
                      <w:rFonts w:hint="eastAsia"/>
                    </w:rPr>
                    <w:t>有机成分萃取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84" w:type="pct"/>
                  <w:vAlign w:val="center"/>
                </w:tcPr>
                <w:p>
                  <w:pPr>
                    <w:pStyle w:val="136"/>
                    <w:adjustRightInd w:val="0"/>
                    <w:snapToGrid w:val="0"/>
                  </w:pPr>
                  <w:r>
                    <w:rPr>
                      <w:rFonts w:hint="eastAsia"/>
                    </w:rPr>
                    <w:t>正己烷</w:t>
                  </w:r>
                </w:p>
              </w:tc>
              <w:tc>
                <w:tcPr>
                  <w:tcW w:w="297" w:type="pct"/>
                  <w:vAlign w:val="center"/>
                </w:tcPr>
                <w:p>
                  <w:pPr>
                    <w:pStyle w:val="136"/>
                    <w:adjustRightInd w:val="0"/>
                    <w:snapToGrid w:val="0"/>
                  </w:pPr>
                  <w:r>
                    <w:rPr>
                      <w:rFonts w:hint="eastAsia"/>
                    </w:rPr>
                    <w:t>液态</w:t>
                  </w:r>
                </w:p>
              </w:tc>
              <w:tc>
                <w:tcPr>
                  <w:tcW w:w="589" w:type="pct"/>
                  <w:vAlign w:val="center"/>
                </w:tcPr>
                <w:p>
                  <w:pPr>
                    <w:pStyle w:val="136"/>
                    <w:adjustRightInd w:val="0"/>
                    <w:snapToGrid w:val="0"/>
                  </w:pPr>
                  <w:r>
                    <w:rPr>
                      <w:rFonts w:hint="eastAsia"/>
                    </w:rPr>
                    <w:t>6</w:t>
                  </w:r>
                  <w:r>
                    <w:t>9</w:t>
                  </w:r>
                </w:p>
              </w:tc>
              <w:tc>
                <w:tcPr>
                  <w:tcW w:w="589" w:type="pct"/>
                  <w:vAlign w:val="center"/>
                </w:tcPr>
                <w:p>
                  <w:pPr>
                    <w:pStyle w:val="136"/>
                    <w:adjustRightInd w:val="0"/>
                    <w:snapToGrid w:val="0"/>
                  </w:pPr>
                  <w:r>
                    <w:rPr>
                      <w:rFonts w:hint="eastAsia"/>
                    </w:rPr>
                    <w:t>0</w:t>
                  </w:r>
                  <w:r>
                    <w:t>.659</w:t>
                  </w:r>
                </w:p>
              </w:tc>
              <w:tc>
                <w:tcPr>
                  <w:tcW w:w="589" w:type="pct"/>
                  <w:vAlign w:val="center"/>
                </w:tcPr>
                <w:p>
                  <w:pPr>
                    <w:pStyle w:val="136"/>
                    <w:adjustRightInd w:val="0"/>
                    <w:snapToGrid w:val="0"/>
                  </w:pPr>
                  <w:r>
                    <w:rPr>
                      <w:rFonts w:hint="eastAsia"/>
                    </w:rPr>
                    <w:t>1</w:t>
                  </w:r>
                  <w:r>
                    <w:t>0</w:t>
                  </w:r>
                </w:p>
              </w:tc>
              <w:tc>
                <w:tcPr>
                  <w:tcW w:w="1076" w:type="pct"/>
                  <w:vAlign w:val="center"/>
                </w:tcPr>
                <w:p>
                  <w:pPr>
                    <w:pStyle w:val="136"/>
                    <w:adjustRightInd w:val="0"/>
                    <w:snapToGrid w:val="0"/>
                  </w:pPr>
                  <w:r>
                    <w:rPr>
                      <w:rFonts w:hint="eastAsia"/>
                    </w:rPr>
                    <w:t>6</w:t>
                  </w:r>
                  <w:r>
                    <w:t>.59</w:t>
                  </w:r>
                </w:p>
              </w:tc>
              <w:tc>
                <w:tcPr>
                  <w:tcW w:w="1076" w:type="pct"/>
                  <w:vMerge w:val="continue"/>
                  <w:vAlign w:val="center"/>
                </w:tcPr>
                <w:p>
                  <w:pPr>
                    <w:pStyle w:val="136"/>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84" w:type="pct"/>
                  <w:vAlign w:val="center"/>
                </w:tcPr>
                <w:p>
                  <w:pPr>
                    <w:pStyle w:val="136"/>
                    <w:adjustRightInd w:val="0"/>
                    <w:snapToGrid w:val="0"/>
                  </w:pPr>
                  <w:r>
                    <w:rPr>
                      <w:rFonts w:hint="eastAsia"/>
                    </w:rPr>
                    <w:t>浓硫酸（9</w:t>
                  </w:r>
                  <w:r>
                    <w:t>8</w:t>
                  </w:r>
                  <w:r>
                    <w:rPr>
                      <w:rFonts w:hint="eastAsia"/>
                    </w:rPr>
                    <w:t>%）</w:t>
                  </w:r>
                </w:p>
              </w:tc>
              <w:tc>
                <w:tcPr>
                  <w:tcW w:w="297" w:type="pct"/>
                  <w:vAlign w:val="center"/>
                </w:tcPr>
                <w:p>
                  <w:pPr>
                    <w:pStyle w:val="136"/>
                    <w:adjustRightInd w:val="0"/>
                    <w:snapToGrid w:val="0"/>
                  </w:pPr>
                  <w:r>
                    <w:rPr>
                      <w:rFonts w:hint="eastAsia"/>
                    </w:rPr>
                    <w:t>液态</w:t>
                  </w:r>
                </w:p>
              </w:tc>
              <w:tc>
                <w:tcPr>
                  <w:tcW w:w="589" w:type="pct"/>
                  <w:vAlign w:val="center"/>
                </w:tcPr>
                <w:p>
                  <w:pPr>
                    <w:pStyle w:val="136"/>
                    <w:adjustRightInd w:val="0"/>
                    <w:snapToGrid w:val="0"/>
                  </w:pPr>
                  <w:r>
                    <w:rPr>
                      <w:rFonts w:hint="eastAsia"/>
                    </w:rPr>
                    <w:t>3</w:t>
                  </w:r>
                  <w:r>
                    <w:t>38</w:t>
                  </w:r>
                </w:p>
              </w:tc>
              <w:tc>
                <w:tcPr>
                  <w:tcW w:w="589" w:type="pct"/>
                  <w:vAlign w:val="center"/>
                </w:tcPr>
                <w:p>
                  <w:pPr>
                    <w:pStyle w:val="136"/>
                    <w:adjustRightInd w:val="0"/>
                    <w:snapToGrid w:val="0"/>
                  </w:pPr>
                  <w:r>
                    <w:rPr>
                      <w:rFonts w:hint="eastAsia"/>
                    </w:rPr>
                    <w:t>1</w:t>
                  </w:r>
                  <w:r>
                    <w:t>.84</w:t>
                  </w:r>
                </w:p>
              </w:tc>
              <w:tc>
                <w:tcPr>
                  <w:tcW w:w="589" w:type="pct"/>
                  <w:vAlign w:val="center"/>
                </w:tcPr>
                <w:p>
                  <w:pPr>
                    <w:pStyle w:val="136"/>
                    <w:adjustRightInd w:val="0"/>
                    <w:snapToGrid w:val="0"/>
                  </w:pPr>
                  <w:r>
                    <w:rPr>
                      <w:rFonts w:hint="eastAsia"/>
                    </w:rPr>
                    <w:t>1</w:t>
                  </w:r>
                  <w:r>
                    <w:t>0</w:t>
                  </w:r>
                </w:p>
              </w:tc>
              <w:tc>
                <w:tcPr>
                  <w:tcW w:w="1076" w:type="pct"/>
                  <w:vAlign w:val="center"/>
                </w:tcPr>
                <w:p>
                  <w:pPr>
                    <w:pStyle w:val="136"/>
                    <w:adjustRightInd w:val="0"/>
                    <w:snapToGrid w:val="0"/>
                  </w:pPr>
                  <w:r>
                    <w:rPr>
                      <w:rFonts w:hint="eastAsia"/>
                    </w:rPr>
                    <w:t>1</w:t>
                  </w:r>
                  <w:r>
                    <w:t>8.4</w:t>
                  </w:r>
                </w:p>
              </w:tc>
              <w:tc>
                <w:tcPr>
                  <w:tcW w:w="1076" w:type="pct"/>
                  <w:vMerge w:val="restart"/>
                  <w:vAlign w:val="center"/>
                </w:tcPr>
                <w:p>
                  <w:pPr>
                    <w:pStyle w:val="136"/>
                    <w:adjustRightInd w:val="0"/>
                    <w:snapToGrid w:val="0"/>
                  </w:pPr>
                  <w:r>
                    <w:rPr>
                      <w:rFonts w:hint="eastAsia"/>
                    </w:rPr>
                    <w:t>酸碱滴定，样品处理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84" w:type="pct"/>
                  <w:vAlign w:val="center"/>
                </w:tcPr>
                <w:p>
                  <w:pPr>
                    <w:pStyle w:val="136"/>
                    <w:adjustRightInd w:val="0"/>
                    <w:snapToGrid w:val="0"/>
                  </w:pPr>
                  <w:r>
                    <w:rPr>
                      <w:rFonts w:hint="eastAsia"/>
                    </w:rPr>
                    <w:t>浓盐酸（3</w:t>
                  </w:r>
                  <w:r>
                    <w:t>8</w:t>
                  </w:r>
                  <w:r>
                    <w:rPr>
                      <w:rFonts w:hint="eastAsia"/>
                    </w:rPr>
                    <w:t>%）</w:t>
                  </w:r>
                </w:p>
              </w:tc>
              <w:tc>
                <w:tcPr>
                  <w:tcW w:w="297" w:type="pct"/>
                  <w:vAlign w:val="center"/>
                </w:tcPr>
                <w:p>
                  <w:pPr>
                    <w:pStyle w:val="136"/>
                    <w:adjustRightInd w:val="0"/>
                    <w:snapToGrid w:val="0"/>
                  </w:pPr>
                  <w:r>
                    <w:rPr>
                      <w:rFonts w:hint="eastAsia"/>
                    </w:rPr>
                    <w:t>液态</w:t>
                  </w:r>
                </w:p>
              </w:tc>
              <w:tc>
                <w:tcPr>
                  <w:tcW w:w="589" w:type="pct"/>
                  <w:vAlign w:val="center"/>
                </w:tcPr>
                <w:p>
                  <w:pPr>
                    <w:pStyle w:val="136"/>
                    <w:adjustRightInd w:val="0"/>
                    <w:snapToGrid w:val="0"/>
                  </w:pPr>
                  <w:r>
                    <w:rPr>
                      <w:rFonts w:hint="eastAsia"/>
                    </w:rPr>
                    <w:t>4</w:t>
                  </w:r>
                  <w:r>
                    <w:t>8</w:t>
                  </w:r>
                </w:p>
              </w:tc>
              <w:tc>
                <w:tcPr>
                  <w:tcW w:w="589" w:type="pct"/>
                  <w:vAlign w:val="center"/>
                </w:tcPr>
                <w:p>
                  <w:pPr>
                    <w:pStyle w:val="136"/>
                    <w:adjustRightInd w:val="0"/>
                    <w:snapToGrid w:val="0"/>
                  </w:pPr>
                  <w:r>
                    <w:rPr>
                      <w:rFonts w:hint="eastAsia"/>
                    </w:rPr>
                    <w:t>1</w:t>
                  </w:r>
                  <w:r>
                    <w:t>.194</w:t>
                  </w:r>
                </w:p>
              </w:tc>
              <w:tc>
                <w:tcPr>
                  <w:tcW w:w="589" w:type="pct"/>
                  <w:vAlign w:val="center"/>
                </w:tcPr>
                <w:p>
                  <w:pPr>
                    <w:pStyle w:val="136"/>
                    <w:adjustRightInd w:val="0"/>
                    <w:snapToGrid w:val="0"/>
                  </w:pPr>
                  <w:r>
                    <w:t>20</w:t>
                  </w:r>
                </w:p>
              </w:tc>
              <w:tc>
                <w:tcPr>
                  <w:tcW w:w="1076" w:type="pct"/>
                  <w:vAlign w:val="center"/>
                </w:tcPr>
                <w:p>
                  <w:pPr>
                    <w:pStyle w:val="136"/>
                    <w:adjustRightInd w:val="0"/>
                    <w:snapToGrid w:val="0"/>
                  </w:pPr>
                  <w:r>
                    <w:t>23.88</w:t>
                  </w:r>
                </w:p>
              </w:tc>
              <w:tc>
                <w:tcPr>
                  <w:tcW w:w="1076" w:type="pct"/>
                  <w:vMerge w:val="continue"/>
                  <w:vAlign w:val="center"/>
                </w:tcPr>
                <w:p>
                  <w:pPr>
                    <w:pStyle w:val="136"/>
                    <w:adjustRightInd w:val="0"/>
                    <w:snapToGrid w:val="0"/>
                  </w:pPr>
                </w:p>
              </w:tc>
            </w:tr>
          </w:tbl>
          <w:p>
            <w:pPr>
              <w:ind w:firstLine="480"/>
            </w:pPr>
            <w:r>
              <w:rPr>
                <w:rFonts w:hint="eastAsia"/>
              </w:rPr>
              <w:t>本次评价按最不利情况考虑，所有挥发性试剂挥发量按1</w:t>
            </w:r>
            <w:r>
              <w:t>00</w:t>
            </w:r>
            <w:r>
              <w:rPr>
                <w:rFonts w:hint="eastAsia"/>
              </w:rPr>
              <w:t>%计算，本项目废气污染物源强如下表所示：</w:t>
            </w:r>
          </w:p>
          <w:p>
            <w:pPr>
              <w:pStyle w:val="157"/>
            </w:pPr>
            <w:r>
              <w:rPr>
                <w:rFonts w:hint="eastAsia"/>
              </w:rPr>
              <w:t>表4</w:t>
            </w:r>
            <w:r>
              <w:t xml:space="preserve">.2-2  </w:t>
            </w:r>
            <w:r>
              <w:rPr>
                <w:rFonts w:hint="eastAsia"/>
              </w:rPr>
              <w:t>本项目废气源强核算情况一览表</w:t>
            </w:r>
          </w:p>
          <w:tbl>
            <w:tblPr>
              <w:tblStyle w:val="19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16"/>
              <w:gridCol w:w="1046"/>
              <w:gridCol w:w="1424"/>
              <w:gridCol w:w="1424"/>
              <w:gridCol w:w="1424"/>
              <w:gridCol w:w="14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68" w:type="pct"/>
                  <w:vAlign w:val="center"/>
                </w:tcPr>
                <w:p>
                  <w:pPr>
                    <w:pStyle w:val="136"/>
                    <w:adjustRightInd w:val="0"/>
                    <w:snapToGrid w:val="0"/>
                    <w:rPr>
                      <w:b/>
                      <w:bCs/>
                    </w:rPr>
                  </w:pPr>
                  <w:r>
                    <w:rPr>
                      <w:rFonts w:hint="eastAsia"/>
                      <w:b/>
                      <w:bCs/>
                    </w:rPr>
                    <w:t>污染物</w:t>
                  </w:r>
                </w:p>
              </w:tc>
              <w:tc>
                <w:tcPr>
                  <w:tcW w:w="641" w:type="pct"/>
                  <w:vAlign w:val="center"/>
                </w:tcPr>
                <w:p>
                  <w:pPr>
                    <w:pStyle w:val="136"/>
                    <w:adjustRightInd w:val="0"/>
                    <w:snapToGrid w:val="0"/>
                    <w:rPr>
                      <w:b/>
                      <w:bCs/>
                    </w:rPr>
                  </w:pPr>
                  <w:r>
                    <w:rPr>
                      <w:rFonts w:hint="eastAsia"/>
                      <w:b/>
                      <w:bCs/>
                    </w:rPr>
                    <w:t>VOCs</w:t>
                  </w:r>
                </w:p>
              </w:tc>
              <w:tc>
                <w:tcPr>
                  <w:tcW w:w="873" w:type="pct"/>
                  <w:vAlign w:val="center"/>
                </w:tcPr>
                <w:p>
                  <w:pPr>
                    <w:pStyle w:val="136"/>
                    <w:adjustRightInd w:val="0"/>
                    <w:snapToGrid w:val="0"/>
                    <w:rPr>
                      <w:b/>
                      <w:bCs/>
                    </w:rPr>
                  </w:pPr>
                  <w:r>
                    <w:rPr>
                      <w:rFonts w:hint="eastAsia"/>
                      <w:b/>
                      <w:bCs/>
                    </w:rPr>
                    <w:t>丙酮</w:t>
                  </w:r>
                </w:p>
              </w:tc>
              <w:tc>
                <w:tcPr>
                  <w:tcW w:w="873" w:type="pct"/>
                  <w:vAlign w:val="center"/>
                </w:tcPr>
                <w:p>
                  <w:pPr>
                    <w:pStyle w:val="136"/>
                    <w:adjustRightInd w:val="0"/>
                    <w:snapToGrid w:val="0"/>
                    <w:rPr>
                      <w:b/>
                      <w:bCs/>
                    </w:rPr>
                  </w:pPr>
                  <w:r>
                    <w:rPr>
                      <w:rFonts w:hint="eastAsia"/>
                      <w:b/>
                      <w:bCs/>
                    </w:rPr>
                    <w:t>正己烷</w:t>
                  </w:r>
                </w:p>
              </w:tc>
              <w:tc>
                <w:tcPr>
                  <w:tcW w:w="873" w:type="pct"/>
                  <w:vAlign w:val="center"/>
                </w:tcPr>
                <w:p>
                  <w:pPr>
                    <w:pStyle w:val="136"/>
                    <w:adjustRightInd w:val="0"/>
                    <w:snapToGrid w:val="0"/>
                    <w:rPr>
                      <w:b/>
                      <w:bCs/>
                    </w:rPr>
                  </w:pPr>
                  <w:r>
                    <w:rPr>
                      <w:rFonts w:hint="eastAsia"/>
                      <w:b/>
                      <w:bCs/>
                    </w:rPr>
                    <w:t>氯化氢</w:t>
                  </w:r>
                </w:p>
              </w:tc>
              <w:tc>
                <w:tcPr>
                  <w:tcW w:w="872" w:type="pct"/>
                  <w:vAlign w:val="center"/>
                </w:tcPr>
                <w:p>
                  <w:pPr>
                    <w:pStyle w:val="136"/>
                    <w:adjustRightInd w:val="0"/>
                    <w:snapToGrid w:val="0"/>
                    <w:rPr>
                      <w:b/>
                      <w:bCs/>
                    </w:rPr>
                  </w:pPr>
                  <w:r>
                    <w:rPr>
                      <w:rFonts w:hint="eastAsia"/>
                      <w:b/>
                      <w:bCs/>
                    </w:rPr>
                    <w:t>硫酸雾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68" w:type="pct"/>
                  <w:vAlign w:val="center"/>
                </w:tcPr>
                <w:p>
                  <w:pPr>
                    <w:pStyle w:val="136"/>
                    <w:adjustRightInd w:val="0"/>
                    <w:snapToGrid w:val="0"/>
                  </w:pPr>
                  <w:r>
                    <w:rPr>
                      <w:rFonts w:hint="eastAsia"/>
                      <w:b/>
                      <w:bCs/>
                    </w:rPr>
                    <w:t>产生量（kg</w:t>
                  </w:r>
                  <w:r>
                    <w:rPr>
                      <w:b/>
                      <w:bCs/>
                    </w:rPr>
                    <w:t>/</w:t>
                  </w:r>
                  <w:r>
                    <w:rPr>
                      <w:rFonts w:hint="eastAsia"/>
                      <w:b/>
                      <w:bCs/>
                    </w:rPr>
                    <w:t>a）</w:t>
                  </w:r>
                </w:p>
              </w:tc>
              <w:tc>
                <w:tcPr>
                  <w:tcW w:w="641" w:type="pct"/>
                  <w:vAlign w:val="center"/>
                </w:tcPr>
                <w:p>
                  <w:pPr>
                    <w:pStyle w:val="136"/>
                    <w:adjustRightInd w:val="0"/>
                    <w:snapToGrid w:val="0"/>
                  </w:pPr>
                  <w:r>
                    <w:rPr>
                      <w:rFonts w:hint="eastAsia"/>
                    </w:rPr>
                    <w:t>1</w:t>
                  </w:r>
                  <w:r>
                    <w:t>0.54</w:t>
                  </w:r>
                </w:p>
              </w:tc>
              <w:tc>
                <w:tcPr>
                  <w:tcW w:w="873" w:type="pct"/>
                  <w:vAlign w:val="center"/>
                </w:tcPr>
                <w:p>
                  <w:pPr>
                    <w:pStyle w:val="136"/>
                    <w:adjustRightInd w:val="0"/>
                    <w:snapToGrid w:val="0"/>
                  </w:pPr>
                  <w:r>
                    <w:rPr>
                      <w:rFonts w:hint="eastAsia"/>
                    </w:rPr>
                    <w:t>3</w:t>
                  </w:r>
                  <w:r>
                    <w:t>.95</w:t>
                  </w:r>
                </w:p>
              </w:tc>
              <w:tc>
                <w:tcPr>
                  <w:tcW w:w="873" w:type="pct"/>
                  <w:vAlign w:val="center"/>
                </w:tcPr>
                <w:p>
                  <w:pPr>
                    <w:pStyle w:val="136"/>
                    <w:adjustRightInd w:val="0"/>
                    <w:snapToGrid w:val="0"/>
                  </w:pPr>
                  <w:r>
                    <w:t>6.59</w:t>
                  </w:r>
                </w:p>
              </w:tc>
              <w:tc>
                <w:tcPr>
                  <w:tcW w:w="873" w:type="pct"/>
                  <w:vAlign w:val="center"/>
                </w:tcPr>
                <w:p>
                  <w:pPr>
                    <w:pStyle w:val="136"/>
                    <w:adjustRightInd w:val="0"/>
                    <w:snapToGrid w:val="0"/>
                  </w:pPr>
                  <w:r>
                    <w:rPr>
                      <w:rFonts w:hint="eastAsia"/>
                    </w:rPr>
                    <w:t>9</w:t>
                  </w:r>
                  <w:r>
                    <w:t>.074</w:t>
                  </w:r>
                </w:p>
              </w:tc>
              <w:tc>
                <w:tcPr>
                  <w:tcW w:w="872" w:type="pct"/>
                  <w:vAlign w:val="center"/>
                </w:tcPr>
                <w:p>
                  <w:pPr>
                    <w:pStyle w:val="136"/>
                    <w:adjustRightInd w:val="0"/>
                    <w:snapToGrid w:val="0"/>
                  </w:pPr>
                  <w:r>
                    <w:rPr>
                      <w:rFonts w:hint="eastAsia"/>
                    </w:rPr>
                    <w:t>1</w:t>
                  </w:r>
                  <w:r>
                    <w:t>8.032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68" w:type="pct"/>
                  <w:vAlign w:val="center"/>
                </w:tcPr>
                <w:p>
                  <w:pPr>
                    <w:pStyle w:val="136"/>
                    <w:adjustRightInd w:val="0"/>
                    <w:snapToGrid w:val="0"/>
                  </w:pPr>
                  <w:r>
                    <w:rPr>
                      <w:rFonts w:hint="eastAsia"/>
                      <w:b/>
                      <w:bCs/>
                    </w:rPr>
                    <w:t>年产生时间</w:t>
                  </w:r>
                </w:p>
              </w:tc>
              <w:tc>
                <w:tcPr>
                  <w:tcW w:w="4132" w:type="pct"/>
                  <w:gridSpan w:val="5"/>
                  <w:vAlign w:val="center"/>
                </w:tcPr>
                <w:p>
                  <w:pPr>
                    <w:pStyle w:val="136"/>
                    <w:adjustRightInd w:val="0"/>
                    <w:snapToGrid w:val="0"/>
                  </w:pPr>
                  <w:r>
                    <w:t>520</w:t>
                  </w:r>
                  <w:r>
                    <w:rPr>
                      <w:rFonts w:hint="eastAsia"/>
                    </w:rPr>
                    <w:t>h</w:t>
                  </w:r>
                  <w:r>
                    <w:t>/</w:t>
                  </w:r>
                  <w:r>
                    <w:rPr>
                      <w:rFonts w:hint="eastAsia"/>
                    </w:rPr>
                    <w:t>a（按年工作2</w:t>
                  </w:r>
                  <w:r>
                    <w:t>60</w:t>
                  </w:r>
                  <w:r>
                    <w:rPr>
                      <w:rFonts w:hint="eastAsia"/>
                    </w:rPr>
                    <w:t>天，每天涉及挥发性试剂的操作2h计算）</w:t>
                  </w:r>
                </w:p>
              </w:tc>
            </w:tr>
          </w:tbl>
          <w:p>
            <w:pPr>
              <w:ind w:firstLine="482"/>
              <w:rPr>
                <w:b/>
                <w:bCs/>
              </w:rPr>
            </w:pPr>
            <w:r>
              <w:rPr>
                <w:rFonts w:hint="eastAsia"/>
                <w:b/>
                <w:bCs/>
              </w:rPr>
              <w:t>2、废气治理措施</w:t>
            </w:r>
          </w:p>
          <w:p>
            <w:pPr>
              <w:ind w:firstLine="480"/>
            </w:pPr>
            <w:r>
              <w:rPr>
                <w:rFonts w:hint="eastAsia"/>
              </w:rPr>
              <w:t>（1）废气收集措施</w:t>
            </w:r>
          </w:p>
          <w:p>
            <w:pPr>
              <w:ind w:firstLine="480"/>
            </w:pPr>
            <w:r>
              <w:rPr>
                <w:rFonts w:hint="eastAsia"/>
              </w:rPr>
              <w:t>本项目在产生挥发性废气的实验室设置共设置通风柜、集气罩和万向排气罩，用于收集试剂储存和实验操作过程产生的废气。</w:t>
            </w:r>
          </w:p>
          <w:p>
            <w:pPr>
              <w:ind w:firstLine="480"/>
            </w:pPr>
            <w:r>
              <w:rPr>
                <w:rFonts w:hint="eastAsia"/>
              </w:rPr>
              <w:t>本次评价要求，涉及挥发性试剂使用的样本处理工序，尽可能在通风柜内进行。使用通风柜之前，先开启排风机后才能在柜内进行实验室工作。实验过程中，在确保实验人员正常操作的前提下，尽可能减少通风柜柜门开启高度，减少废气逸散。如通风柜内不便于进行实验操作，应在万向排气罩或集气罩下进行。分析仪器使用前应开启万向排气罩排风机，并使罩口距离仪器废气排气口高度不超过1</w:t>
            </w:r>
            <w:r>
              <w:t>0</w:t>
            </w:r>
            <w:r>
              <w:rPr>
                <w:rFonts w:hint="eastAsia"/>
              </w:rPr>
              <w:t>cm。确保样本前处理和仪器分析过程产生的废气收集效率不低于</w:t>
            </w:r>
            <w:r>
              <w:t>90</w:t>
            </w:r>
            <w:r>
              <w:rPr>
                <w:rFonts w:hint="eastAsia"/>
              </w:rPr>
              <w:t>%。</w:t>
            </w:r>
          </w:p>
          <w:p>
            <w:pPr>
              <w:ind w:firstLine="480"/>
            </w:pPr>
            <w:r>
              <w:rPr>
                <w:rFonts w:hint="eastAsia"/>
              </w:rPr>
              <w:t>（2）废气处理措施</w:t>
            </w:r>
          </w:p>
          <w:p>
            <w:pPr>
              <w:pStyle w:val="181"/>
            </w:pPr>
            <w:r>
              <w:rPr>
                <w:rFonts w:hint="eastAsia"/>
              </w:rPr>
              <w:drawing>
                <wp:inline distT="0" distB="0" distL="0" distR="0">
                  <wp:extent cx="5113655" cy="28098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cstate="print">
                            <a:extLst>
                              <a:ext uri="{28A0092B-C50C-407E-A947-70E740481C1C}">
                                <a14:useLocalDpi xmlns:a14="http://schemas.microsoft.com/office/drawing/2010/main" val="0"/>
                              </a:ext>
                            </a:extLst>
                          </a:blip>
                          <a:srcRect t="9487" b="12765"/>
                          <a:stretch>
                            <a:fillRect/>
                          </a:stretch>
                        </pic:blipFill>
                        <pic:spPr>
                          <a:xfrm>
                            <a:off x="0" y="0"/>
                            <a:ext cx="5121481" cy="2814175"/>
                          </a:xfrm>
                          <a:prstGeom prst="rect">
                            <a:avLst/>
                          </a:prstGeom>
                          <a:ln>
                            <a:noFill/>
                          </a:ln>
                        </pic:spPr>
                      </pic:pic>
                    </a:graphicData>
                  </a:graphic>
                </wp:inline>
              </w:drawing>
            </w:r>
          </w:p>
          <w:p>
            <w:pPr>
              <w:pStyle w:val="157"/>
              <w:ind w:firstLine="480"/>
            </w:pPr>
            <w:r>
              <w:rPr>
                <w:rFonts w:hint="eastAsia"/>
              </w:rPr>
              <w:t>图4</w:t>
            </w:r>
            <w:r>
              <w:t xml:space="preserve">.2-1  </w:t>
            </w:r>
            <w:r>
              <w:rPr>
                <w:rFonts w:hint="eastAsia"/>
              </w:rPr>
              <w:t>废气处理措施工艺示意图</w:t>
            </w:r>
          </w:p>
          <w:p>
            <w:pPr>
              <w:ind w:firstLine="480"/>
            </w:pPr>
            <w:r>
              <w:rPr>
                <w:rFonts w:hint="eastAsia"/>
              </w:rPr>
              <w:t>本项目在楼顶新建2套废气处理装置，采用“活性炭纤维+碱液喷淋塔”处理工艺，设计风量均为1</w:t>
            </w:r>
            <w:r>
              <w:t>2000</w:t>
            </w:r>
            <w:r>
              <w:rPr>
                <w:rFonts w:hint="eastAsia"/>
              </w:rPr>
              <w:t>m</w:t>
            </w:r>
            <w:r>
              <w:rPr>
                <w:vertAlign w:val="superscript"/>
              </w:rPr>
              <w:t>3</w:t>
            </w:r>
            <w:r>
              <w:t>/</w:t>
            </w:r>
            <w:r>
              <w:rPr>
                <w:rFonts w:hint="eastAsia"/>
              </w:rPr>
              <w:t>h。实验废气经收集后，通过排气管道排至楼顶废气处理设施处理，可达到有机废气处理效率不低于8</w:t>
            </w:r>
            <w:r>
              <w:t>5</w:t>
            </w:r>
            <w:r>
              <w:rPr>
                <w:rFonts w:hint="eastAsia"/>
              </w:rPr>
              <w:t>%，氯化氢、硫酸雾处理效率不低于9</w:t>
            </w:r>
            <w:r>
              <w:t>0</w:t>
            </w:r>
            <w:r>
              <w:rPr>
                <w:rFonts w:hint="eastAsia"/>
              </w:rPr>
              <w:t>%的效果，废气经处理后通过排气筒（DA</w:t>
            </w:r>
            <w:r>
              <w:t>001</w:t>
            </w:r>
            <w:r>
              <w:rPr>
                <w:rFonts w:hint="eastAsia"/>
              </w:rPr>
              <w:t>、DA</w:t>
            </w:r>
            <w:r>
              <w:t>002</w:t>
            </w:r>
            <w:r>
              <w:rPr>
                <w:rFonts w:hint="eastAsia"/>
              </w:rPr>
              <w:t>，H=</w:t>
            </w:r>
            <w:r>
              <w:t>25</w:t>
            </w:r>
            <w:r>
              <w:rPr>
                <w:rFonts w:hint="eastAsia"/>
              </w:rPr>
              <w:t>m）排放。实验废气经处理后排放情况如下表所示：</w:t>
            </w:r>
          </w:p>
          <w:p>
            <w:pPr>
              <w:pStyle w:val="157"/>
            </w:pPr>
            <w:r>
              <w:rPr>
                <w:rFonts w:hint="eastAsia"/>
              </w:rPr>
              <w:t>表4</w:t>
            </w:r>
            <w:r>
              <w:t xml:space="preserve">.2-3  </w:t>
            </w:r>
            <w:r>
              <w:rPr>
                <w:rFonts w:hint="eastAsia"/>
              </w:rPr>
              <w:t>项目废气产生、治理及排放情况一览表</w:t>
            </w:r>
          </w:p>
          <w:tbl>
            <w:tblPr>
              <w:tblStyle w:val="19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71"/>
              <w:gridCol w:w="759"/>
              <w:gridCol w:w="763"/>
              <w:gridCol w:w="757"/>
              <w:gridCol w:w="1161"/>
              <w:gridCol w:w="757"/>
              <w:gridCol w:w="759"/>
              <w:gridCol w:w="873"/>
              <w:gridCol w:w="793"/>
              <w:gridCol w:w="7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473" w:type="pct"/>
                  <w:noWrap/>
                  <w:vAlign w:val="center"/>
                </w:tcPr>
                <w:p>
                  <w:pPr>
                    <w:pStyle w:val="136"/>
                    <w:adjustRightInd w:val="0"/>
                    <w:snapToGrid w:val="0"/>
                    <w:rPr>
                      <w:b/>
                      <w:bCs/>
                    </w:rPr>
                  </w:pPr>
                  <w:r>
                    <w:rPr>
                      <w:rFonts w:hint="eastAsia"/>
                      <w:b/>
                      <w:bCs/>
                    </w:rPr>
                    <w:t>污染源</w:t>
                  </w:r>
                </w:p>
              </w:tc>
              <w:tc>
                <w:tcPr>
                  <w:tcW w:w="465" w:type="pct"/>
                  <w:vAlign w:val="center"/>
                </w:tcPr>
                <w:p>
                  <w:pPr>
                    <w:pStyle w:val="136"/>
                    <w:adjustRightInd w:val="0"/>
                    <w:snapToGrid w:val="0"/>
                    <w:rPr>
                      <w:rFonts w:ascii="宋体" w:hAnsi="宋体"/>
                      <w:b/>
                      <w:bCs/>
                      <w:szCs w:val="18"/>
                    </w:rPr>
                  </w:pPr>
                  <w:r>
                    <w:rPr>
                      <w:rFonts w:hint="eastAsia" w:ascii="宋体" w:hAnsi="宋体"/>
                      <w:b/>
                      <w:bCs/>
                      <w:szCs w:val="18"/>
                    </w:rPr>
                    <w:t>污染物</w:t>
                  </w:r>
                </w:p>
              </w:tc>
              <w:tc>
                <w:tcPr>
                  <w:tcW w:w="468" w:type="pct"/>
                  <w:vAlign w:val="center"/>
                </w:tcPr>
                <w:p>
                  <w:pPr>
                    <w:pStyle w:val="136"/>
                    <w:adjustRightInd w:val="0"/>
                    <w:snapToGrid w:val="0"/>
                    <w:rPr>
                      <w:rFonts w:ascii="宋体" w:hAnsi="宋体"/>
                      <w:b/>
                      <w:bCs/>
                      <w:szCs w:val="18"/>
                    </w:rPr>
                  </w:pPr>
                  <w:r>
                    <w:rPr>
                      <w:rFonts w:hint="eastAsia" w:ascii="宋体" w:hAnsi="宋体"/>
                      <w:b/>
                      <w:bCs/>
                      <w:szCs w:val="18"/>
                    </w:rPr>
                    <w:t>产生量（</w:t>
                  </w:r>
                  <w:r>
                    <w:rPr>
                      <w:b/>
                      <w:bCs/>
                      <w:szCs w:val="18"/>
                    </w:rPr>
                    <w:t>kg/a</w:t>
                  </w:r>
                  <w:r>
                    <w:rPr>
                      <w:rFonts w:hint="eastAsia" w:ascii="宋体" w:hAnsi="宋体"/>
                      <w:b/>
                      <w:bCs/>
                      <w:szCs w:val="18"/>
                    </w:rPr>
                    <w:t>）</w:t>
                  </w:r>
                </w:p>
              </w:tc>
              <w:tc>
                <w:tcPr>
                  <w:tcW w:w="464" w:type="pct"/>
                  <w:vAlign w:val="center"/>
                </w:tcPr>
                <w:p>
                  <w:pPr>
                    <w:pStyle w:val="136"/>
                    <w:adjustRightInd w:val="0"/>
                    <w:snapToGrid w:val="0"/>
                    <w:rPr>
                      <w:rFonts w:ascii="宋体" w:hAnsi="宋体"/>
                      <w:b/>
                      <w:bCs/>
                      <w:szCs w:val="18"/>
                    </w:rPr>
                  </w:pPr>
                  <w:r>
                    <w:rPr>
                      <w:rFonts w:hint="eastAsia" w:ascii="宋体" w:hAnsi="宋体"/>
                      <w:b/>
                      <w:bCs/>
                      <w:szCs w:val="18"/>
                    </w:rPr>
                    <w:t>收集效率</w:t>
                  </w:r>
                </w:p>
              </w:tc>
              <w:tc>
                <w:tcPr>
                  <w:tcW w:w="712" w:type="pct"/>
                  <w:vAlign w:val="center"/>
                </w:tcPr>
                <w:p>
                  <w:pPr>
                    <w:pStyle w:val="136"/>
                    <w:adjustRightInd w:val="0"/>
                    <w:snapToGrid w:val="0"/>
                    <w:rPr>
                      <w:rFonts w:ascii="宋体" w:hAnsi="宋体"/>
                      <w:b/>
                      <w:bCs/>
                      <w:szCs w:val="18"/>
                    </w:rPr>
                  </w:pPr>
                  <w:r>
                    <w:rPr>
                      <w:rFonts w:hint="eastAsia" w:ascii="宋体" w:hAnsi="宋体"/>
                      <w:b/>
                      <w:bCs/>
                      <w:szCs w:val="18"/>
                    </w:rPr>
                    <w:t>治理措施</w:t>
                  </w:r>
                </w:p>
              </w:tc>
              <w:tc>
                <w:tcPr>
                  <w:tcW w:w="464" w:type="pct"/>
                  <w:vAlign w:val="center"/>
                </w:tcPr>
                <w:p>
                  <w:pPr>
                    <w:pStyle w:val="136"/>
                    <w:adjustRightInd w:val="0"/>
                    <w:snapToGrid w:val="0"/>
                    <w:rPr>
                      <w:rFonts w:ascii="宋体" w:hAnsi="宋体"/>
                      <w:b/>
                      <w:bCs/>
                      <w:szCs w:val="18"/>
                    </w:rPr>
                  </w:pPr>
                  <w:r>
                    <w:rPr>
                      <w:rFonts w:hint="eastAsia" w:ascii="宋体" w:hAnsi="宋体"/>
                      <w:b/>
                      <w:bCs/>
                      <w:szCs w:val="18"/>
                    </w:rPr>
                    <w:t>去除效率</w:t>
                  </w:r>
                </w:p>
              </w:tc>
              <w:tc>
                <w:tcPr>
                  <w:tcW w:w="465" w:type="pct"/>
                  <w:vAlign w:val="center"/>
                </w:tcPr>
                <w:p>
                  <w:pPr>
                    <w:pStyle w:val="136"/>
                    <w:adjustRightInd w:val="0"/>
                    <w:snapToGrid w:val="0"/>
                    <w:rPr>
                      <w:rFonts w:ascii="宋体" w:hAnsi="宋体"/>
                      <w:b/>
                      <w:bCs/>
                      <w:szCs w:val="18"/>
                    </w:rPr>
                  </w:pPr>
                  <w:r>
                    <w:rPr>
                      <w:rFonts w:hint="eastAsia" w:ascii="宋体" w:hAnsi="宋体"/>
                      <w:b/>
                      <w:bCs/>
                      <w:szCs w:val="18"/>
                    </w:rPr>
                    <w:t>年排放时间（</w:t>
                  </w:r>
                  <w:r>
                    <w:rPr>
                      <w:b/>
                      <w:bCs/>
                      <w:szCs w:val="18"/>
                    </w:rPr>
                    <w:t>h</w:t>
                  </w:r>
                  <w:r>
                    <w:rPr>
                      <w:rFonts w:hint="eastAsia" w:ascii="宋体" w:hAnsi="宋体"/>
                      <w:b/>
                      <w:bCs/>
                      <w:szCs w:val="18"/>
                    </w:rPr>
                    <w:t>）</w:t>
                  </w:r>
                </w:p>
              </w:tc>
              <w:tc>
                <w:tcPr>
                  <w:tcW w:w="535" w:type="pct"/>
                  <w:vAlign w:val="center"/>
                </w:tcPr>
                <w:p>
                  <w:pPr>
                    <w:pStyle w:val="136"/>
                    <w:adjustRightInd w:val="0"/>
                    <w:snapToGrid w:val="0"/>
                    <w:rPr>
                      <w:rFonts w:ascii="宋体" w:hAnsi="宋体"/>
                      <w:b/>
                      <w:bCs/>
                      <w:szCs w:val="18"/>
                    </w:rPr>
                  </w:pPr>
                  <w:r>
                    <w:rPr>
                      <w:rFonts w:hint="eastAsia" w:ascii="宋体" w:hAnsi="宋体"/>
                      <w:b/>
                      <w:bCs/>
                      <w:szCs w:val="18"/>
                    </w:rPr>
                    <w:t>排放浓度（</w:t>
                  </w:r>
                  <w:r>
                    <w:rPr>
                      <w:b/>
                      <w:bCs/>
                      <w:szCs w:val="18"/>
                    </w:rPr>
                    <w:t>mg/m</w:t>
                  </w:r>
                  <w:r>
                    <w:rPr>
                      <w:b/>
                      <w:bCs/>
                      <w:szCs w:val="18"/>
                      <w:vertAlign w:val="superscript"/>
                    </w:rPr>
                    <w:t>3</w:t>
                  </w:r>
                  <w:r>
                    <w:rPr>
                      <w:rFonts w:hint="eastAsia" w:ascii="宋体" w:hAnsi="宋体"/>
                      <w:b/>
                      <w:bCs/>
                      <w:szCs w:val="18"/>
                    </w:rPr>
                    <w:t>）</w:t>
                  </w:r>
                </w:p>
              </w:tc>
              <w:tc>
                <w:tcPr>
                  <w:tcW w:w="486" w:type="pct"/>
                  <w:vAlign w:val="center"/>
                </w:tcPr>
                <w:p>
                  <w:pPr>
                    <w:pStyle w:val="136"/>
                    <w:adjustRightInd w:val="0"/>
                    <w:snapToGrid w:val="0"/>
                    <w:rPr>
                      <w:rFonts w:ascii="宋体" w:hAnsi="宋体"/>
                      <w:b/>
                      <w:bCs/>
                      <w:szCs w:val="18"/>
                    </w:rPr>
                  </w:pPr>
                  <w:r>
                    <w:rPr>
                      <w:rFonts w:hint="eastAsia" w:ascii="宋体" w:hAnsi="宋体"/>
                      <w:b/>
                      <w:bCs/>
                      <w:szCs w:val="18"/>
                    </w:rPr>
                    <w:t>排放速率（</w:t>
                  </w:r>
                  <w:r>
                    <w:rPr>
                      <w:b/>
                      <w:bCs/>
                      <w:szCs w:val="18"/>
                    </w:rPr>
                    <w:t>kg/h</w:t>
                  </w:r>
                  <w:r>
                    <w:rPr>
                      <w:rFonts w:hint="eastAsia" w:ascii="宋体" w:hAnsi="宋体"/>
                      <w:b/>
                      <w:bCs/>
                      <w:szCs w:val="18"/>
                    </w:rPr>
                    <w:t>）</w:t>
                  </w:r>
                </w:p>
              </w:tc>
              <w:tc>
                <w:tcPr>
                  <w:tcW w:w="468" w:type="pct"/>
                  <w:vAlign w:val="center"/>
                </w:tcPr>
                <w:p>
                  <w:pPr>
                    <w:pStyle w:val="136"/>
                    <w:adjustRightInd w:val="0"/>
                    <w:snapToGrid w:val="0"/>
                    <w:rPr>
                      <w:rFonts w:ascii="宋体" w:hAnsi="宋体"/>
                      <w:b/>
                      <w:bCs/>
                      <w:szCs w:val="18"/>
                    </w:rPr>
                  </w:pPr>
                  <w:r>
                    <w:rPr>
                      <w:rFonts w:hint="eastAsia" w:ascii="宋体" w:hAnsi="宋体"/>
                      <w:b/>
                      <w:bCs/>
                      <w:szCs w:val="18"/>
                    </w:rPr>
                    <w:t>排放量（</w:t>
                  </w:r>
                  <w:r>
                    <w:rPr>
                      <w:b/>
                      <w:bCs/>
                      <w:szCs w:val="18"/>
                    </w:rPr>
                    <w:t>kg/a</w:t>
                  </w:r>
                  <w:r>
                    <w:rPr>
                      <w:rFonts w:hint="eastAsia" w:ascii="宋体" w:hAnsi="宋体"/>
                      <w:b/>
                      <w:bCs/>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50" w:hRule="atLeast"/>
              </w:trPr>
              <w:tc>
                <w:tcPr>
                  <w:tcW w:w="473" w:type="pct"/>
                  <w:vMerge w:val="restart"/>
                  <w:noWrap/>
                  <w:vAlign w:val="center"/>
                </w:tcPr>
                <w:p>
                  <w:pPr>
                    <w:pStyle w:val="136"/>
                    <w:adjustRightInd w:val="0"/>
                    <w:snapToGrid w:val="0"/>
                  </w:pPr>
                  <w:r>
                    <w:rPr>
                      <w:rFonts w:hint="eastAsia"/>
                    </w:rPr>
                    <w:t>DA001</w:t>
                  </w:r>
                </w:p>
              </w:tc>
              <w:tc>
                <w:tcPr>
                  <w:tcW w:w="465" w:type="pct"/>
                  <w:vAlign w:val="center"/>
                </w:tcPr>
                <w:p>
                  <w:pPr>
                    <w:pStyle w:val="136"/>
                    <w:adjustRightInd w:val="0"/>
                    <w:snapToGrid w:val="0"/>
                    <w:rPr>
                      <w:szCs w:val="18"/>
                    </w:rPr>
                  </w:pPr>
                  <w:r>
                    <w:rPr>
                      <w:szCs w:val="18"/>
                    </w:rPr>
                    <w:t>VOCs</w:t>
                  </w:r>
                </w:p>
              </w:tc>
              <w:tc>
                <w:tcPr>
                  <w:tcW w:w="468" w:type="pct"/>
                  <w:vAlign w:val="center"/>
                </w:tcPr>
                <w:p>
                  <w:pPr>
                    <w:pStyle w:val="136"/>
                    <w:adjustRightInd w:val="0"/>
                    <w:snapToGrid w:val="0"/>
                    <w:rPr>
                      <w:szCs w:val="18"/>
                    </w:rPr>
                  </w:pPr>
                  <w:r>
                    <w:rPr>
                      <w:szCs w:val="18"/>
                    </w:rPr>
                    <w:t>5.27</w:t>
                  </w:r>
                </w:p>
              </w:tc>
              <w:tc>
                <w:tcPr>
                  <w:tcW w:w="464" w:type="pct"/>
                  <w:vMerge w:val="restart"/>
                  <w:vAlign w:val="center"/>
                </w:tcPr>
                <w:p>
                  <w:pPr>
                    <w:pStyle w:val="136"/>
                    <w:adjustRightInd w:val="0"/>
                    <w:snapToGrid w:val="0"/>
                    <w:rPr>
                      <w:szCs w:val="18"/>
                    </w:rPr>
                  </w:pPr>
                  <w:r>
                    <w:rPr>
                      <w:szCs w:val="18"/>
                    </w:rPr>
                    <w:t>90%</w:t>
                  </w:r>
                </w:p>
              </w:tc>
              <w:tc>
                <w:tcPr>
                  <w:tcW w:w="712" w:type="pct"/>
                  <w:vMerge w:val="restart"/>
                  <w:vAlign w:val="center"/>
                </w:tcPr>
                <w:p>
                  <w:pPr>
                    <w:pStyle w:val="136"/>
                    <w:adjustRightInd w:val="0"/>
                    <w:snapToGrid w:val="0"/>
                    <w:jc w:val="both"/>
                    <w:rPr>
                      <w:rFonts w:ascii="宋体" w:hAnsi="宋体"/>
                      <w:szCs w:val="18"/>
                    </w:rPr>
                  </w:pPr>
                  <w:r>
                    <w:rPr>
                      <w:rFonts w:hint="eastAsia" w:ascii="宋体" w:hAnsi="宋体"/>
                      <w:szCs w:val="18"/>
                    </w:rPr>
                    <w:t>通风柜或万向排气罩收集后，采用“双层活性炭纤维</w:t>
                  </w:r>
                  <w:r>
                    <w:rPr>
                      <w:szCs w:val="18"/>
                    </w:rPr>
                    <w:t>+</w:t>
                  </w:r>
                  <w:r>
                    <w:rPr>
                      <w:rFonts w:hint="eastAsia" w:ascii="宋体" w:hAnsi="宋体"/>
                      <w:szCs w:val="18"/>
                    </w:rPr>
                    <w:t>碱液喷淋塔”处理后通过</w:t>
                  </w:r>
                  <w:r>
                    <w:rPr>
                      <w:szCs w:val="18"/>
                    </w:rPr>
                    <w:t>25m</w:t>
                  </w:r>
                  <w:r>
                    <w:rPr>
                      <w:rFonts w:hint="eastAsia" w:ascii="宋体" w:hAnsi="宋体"/>
                      <w:szCs w:val="18"/>
                    </w:rPr>
                    <w:t>排气筒排放（</w:t>
                  </w:r>
                  <w:r>
                    <w:rPr>
                      <w:szCs w:val="18"/>
                    </w:rPr>
                    <w:t>12000m</w:t>
                  </w:r>
                  <w:r>
                    <w:rPr>
                      <w:szCs w:val="18"/>
                      <w:vertAlign w:val="superscript"/>
                    </w:rPr>
                    <w:t>3</w:t>
                  </w:r>
                  <w:r>
                    <w:rPr>
                      <w:szCs w:val="18"/>
                    </w:rPr>
                    <w:t>/h</w:t>
                  </w:r>
                  <w:r>
                    <w:rPr>
                      <w:rFonts w:hint="eastAsia" w:ascii="宋体" w:hAnsi="宋体"/>
                      <w:szCs w:val="18"/>
                    </w:rPr>
                    <w:t>）</w:t>
                  </w:r>
                </w:p>
              </w:tc>
              <w:tc>
                <w:tcPr>
                  <w:tcW w:w="464" w:type="pct"/>
                  <w:vAlign w:val="center"/>
                </w:tcPr>
                <w:p>
                  <w:pPr>
                    <w:pStyle w:val="136"/>
                    <w:adjustRightInd w:val="0"/>
                    <w:snapToGrid w:val="0"/>
                    <w:rPr>
                      <w:szCs w:val="18"/>
                    </w:rPr>
                  </w:pPr>
                  <w:r>
                    <w:rPr>
                      <w:szCs w:val="18"/>
                    </w:rPr>
                    <w:t>85%</w:t>
                  </w:r>
                </w:p>
              </w:tc>
              <w:tc>
                <w:tcPr>
                  <w:tcW w:w="465" w:type="pct"/>
                  <w:vMerge w:val="restart"/>
                  <w:vAlign w:val="center"/>
                </w:tcPr>
                <w:p>
                  <w:pPr>
                    <w:pStyle w:val="136"/>
                    <w:adjustRightInd w:val="0"/>
                    <w:snapToGrid w:val="0"/>
                    <w:rPr>
                      <w:szCs w:val="18"/>
                    </w:rPr>
                  </w:pPr>
                  <w:r>
                    <w:rPr>
                      <w:szCs w:val="18"/>
                    </w:rPr>
                    <w:t>520</w:t>
                  </w:r>
                </w:p>
              </w:tc>
              <w:tc>
                <w:tcPr>
                  <w:tcW w:w="535" w:type="pct"/>
                  <w:vAlign w:val="center"/>
                </w:tcPr>
                <w:p>
                  <w:pPr>
                    <w:pStyle w:val="136"/>
                    <w:adjustRightInd w:val="0"/>
                    <w:snapToGrid w:val="0"/>
                    <w:rPr>
                      <w:szCs w:val="18"/>
                    </w:rPr>
                  </w:pPr>
                  <w:r>
                    <w:rPr>
                      <w:szCs w:val="18"/>
                    </w:rPr>
                    <w:t>0.11</w:t>
                  </w:r>
                </w:p>
              </w:tc>
              <w:tc>
                <w:tcPr>
                  <w:tcW w:w="486" w:type="pct"/>
                  <w:vAlign w:val="center"/>
                </w:tcPr>
                <w:p>
                  <w:pPr>
                    <w:pStyle w:val="136"/>
                    <w:adjustRightInd w:val="0"/>
                    <w:snapToGrid w:val="0"/>
                    <w:rPr>
                      <w:szCs w:val="18"/>
                    </w:rPr>
                  </w:pPr>
                  <w:r>
                    <w:rPr>
                      <w:szCs w:val="18"/>
                    </w:rPr>
                    <w:t>0.0014</w:t>
                  </w:r>
                </w:p>
              </w:tc>
              <w:tc>
                <w:tcPr>
                  <w:tcW w:w="468" w:type="pct"/>
                  <w:vAlign w:val="center"/>
                </w:tcPr>
                <w:p>
                  <w:pPr>
                    <w:pStyle w:val="136"/>
                    <w:adjustRightInd w:val="0"/>
                    <w:snapToGrid w:val="0"/>
                    <w:rPr>
                      <w:szCs w:val="18"/>
                    </w:rPr>
                  </w:pPr>
                  <w:r>
                    <w:rPr>
                      <w:szCs w:val="18"/>
                    </w:rPr>
                    <w:t>0.711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473" w:type="pct"/>
                  <w:vMerge w:val="continue"/>
                  <w:vAlign w:val="center"/>
                </w:tcPr>
                <w:p>
                  <w:pPr>
                    <w:pStyle w:val="136"/>
                    <w:adjustRightInd w:val="0"/>
                    <w:snapToGrid w:val="0"/>
                  </w:pPr>
                </w:p>
              </w:tc>
              <w:tc>
                <w:tcPr>
                  <w:tcW w:w="465" w:type="pct"/>
                  <w:vAlign w:val="center"/>
                </w:tcPr>
                <w:p>
                  <w:pPr>
                    <w:pStyle w:val="136"/>
                    <w:adjustRightInd w:val="0"/>
                    <w:snapToGrid w:val="0"/>
                    <w:rPr>
                      <w:rFonts w:ascii="宋体" w:hAnsi="宋体"/>
                      <w:szCs w:val="18"/>
                    </w:rPr>
                  </w:pPr>
                  <w:r>
                    <w:rPr>
                      <w:rFonts w:hint="eastAsia" w:ascii="宋体" w:hAnsi="宋体"/>
                      <w:szCs w:val="18"/>
                    </w:rPr>
                    <w:t>丙酮</w:t>
                  </w:r>
                </w:p>
              </w:tc>
              <w:tc>
                <w:tcPr>
                  <w:tcW w:w="468" w:type="pct"/>
                  <w:vAlign w:val="center"/>
                </w:tcPr>
                <w:p>
                  <w:pPr>
                    <w:pStyle w:val="136"/>
                    <w:adjustRightInd w:val="0"/>
                    <w:snapToGrid w:val="0"/>
                    <w:rPr>
                      <w:szCs w:val="18"/>
                    </w:rPr>
                  </w:pPr>
                  <w:r>
                    <w:rPr>
                      <w:szCs w:val="18"/>
                    </w:rPr>
                    <w:t>1.975</w:t>
                  </w:r>
                </w:p>
              </w:tc>
              <w:tc>
                <w:tcPr>
                  <w:tcW w:w="464" w:type="pct"/>
                  <w:vMerge w:val="continue"/>
                  <w:vAlign w:val="center"/>
                </w:tcPr>
                <w:p>
                  <w:pPr>
                    <w:pStyle w:val="136"/>
                    <w:adjustRightInd w:val="0"/>
                    <w:snapToGrid w:val="0"/>
                    <w:rPr>
                      <w:szCs w:val="18"/>
                    </w:rPr>
                  </w:pPr>
                </w:p>
              </w:tc>
              <w:tc>
                <w:tcPr>
                  <w:tcW w:w="712" w:type="pct"/>
                  <w:vMerge w:val="continue"/>
                  <w:vAlign w:val="center"/>
                </w:tcPr>
                <w:p>
                  <w:pPr>
                    <w:pStyle w:val="136"/>
                    <w:adjustRightInd w:val="0"/>
                    <w:snapToGrid w:val="0"/>
                    <w:rPr>
                      <w:rFonts w:ascii="宋体" w:hAnsi="宋体"/>
                      <w:szCs w:val="18"/>
                    </w:rPr>
                  </w:pPr>
                </w:p>
              </w:tc>
              <w:tc>
                <w:tcPr>
                  <w:tcW w:w="464" w:type="pct"/>
                  <w:vAlign w:val="center"/>
                </w:tcPr>
                <w:p>
                  <w:pPr>
                    <w:pStyle w:val="136"/>
                    <w:adjustRightInd w:val="0"/>
                    <w:snapToGrid w:val="0"/>
                    <w:rPr>
                      <w:szCs w:val="18"/>
                    </w:rPr>
                  </w:pPr>
                  <w:r>
                    <w:rPr>
                      <w:szCs w:val="18"/>
                    </w:rPr>
                    <w:t>85%</w:t>
                  </w:r>
                </w:p>
              </w:tc>
              <w:tc>
                <w:tcPr>
                  <w:tcW w:w="465" w:type="pct"/>
                  <w:vMerge w:val="continue"/>
                  <w:vAlign w:val="center"/>
                </w:tcPr>
                <w:p>
                  <w:pPr>
                    <w:pStyle w:val="136"/>
                    <w:adjustRightInd w:val="0"/>
                    <w:snapToGrid w:val="0"/>
                    <w:rPr>
                      <w:szCs w:val="18"/>
                    </w:rPr>
                  </w:pPr>
                </w:p>
              </w:tc>
              <w:tc>
                <w:tcPr>
                  <w:tcW w:w="535" w:type="pct"/>
                  <w:vAlign w:val="center"/>
                </w:tcPr>
                <w:p>
                  <w:pPr>
                    <w:pStyle w:val="136"/>
                    <w:adjustRightInd w:val="0"/>
                    <w:snapToGrid w:val="0"/>
                    <w:rPr>
                      <w:szCs w:val="18"/>
                    </w:rPr>
                  </w:pPr>
                  <w:r>
                    <w:rPr>
                      <w:szCs w:val="18"/>
                    </w:rPr>
                    <w:t>0.04</w:t>
                  </w:r>
                </w:p>
              </w:tc>
              <w:tc>
                <w:tcPr>
                  <w:tcW w:w="486" w:type="pct"/>
                  <w:vAlign w:val="center"/>
                </w:tcPr>
                <w:p>
                  <w:pPr>
                    <w:pStyle w:val="136"/>
                    <w:adjustRightInd w:val="0"/>
                    <w:snapToGrid w:val="0"/>
                    <w:rPr>
                      <w:szCs w:val="18"/>
                    </w:rPr>
                  </w:pPr>
                  <w:r>
                    <w:rPr>
                      <w:szCs w:val="18"/>
                    </w:rPr>
                    <w:t>0.0005</w:t>
                  </w:r>
                </w:p>
              </w:tc>
              <w:tc>
                <w:tcPr>
                  <w:tcW w:w="468" w:type="pct"/>
                  <w:vAlign w:val="center"/>
                </w:tcPr>
                <w:p>
                  <w:pPr>
                    <w:pStyle w:val="136"/>
                    <w:adjustRightInd w:val="0"/>
                    <w:snapToGrid w:val="0"/>
                    <w:rPr>
                      <w:szCs w:val="18"/>
                    </w:rPr>
                  </w:pPr>
                  <w:r>
                    <w:rPr>
                      <w:szCs w:val="18"/>
                    </w:rPr>
                    <w:t>0.267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473" w:type="pct"/>
                  <w:vMerge w:val="continue"/>
                  <w:vAlign w:val="center"/>
                </w:tcPr>
                <w:p>
                  <w:pPr>
                    <w:pStyle w:val="136"/>
                    <w:adjustRightInd w:val="0"/>
                    <w:snapToGrid w:val="0"/>
                  </w:pPr>
                </w:p>
              </w:tc>
              <w:tc>
                <w:tcPr>
                  <w:tcW w:w="465" w:type="pct"/>
                  <w:vAlign w:val="center"/>
                </w:tcPr>
                <w:p>
                  <w:pPr>
                    <w:pStyle w:val="136"/>
                    <w:adjustRightInd w:val="0"/>
                    <w:snapToGrid w:val="0"/>
                    <w:rPr>
                      <w:rFonts w:ascii="宋体" w:hAnsi="宋体"/>
                      <w:szCs w:val="18"/>
                    </w:rPr>
                  </w:pPr>
                  <w:r>
                    <w:rPr>
                      <w:rFonts w:hint="eastAsia" w:ascii="宋体" w:hAnsi="宋体"/>
                      <w:szCs w:val="18"/>
                    </w:rPr>
                    <w:t>正己烷</w:t>
                  </w:r>
                </w:p>
              </w:tc>
              <w:tc>
                <w:tcPr>
                  <w:tcW w:w="468" w:type="pct"/>
                  <w:vAlign w:val="center"/>
                </w:tcPr>
                <w:p>
                  <w:pPr>
                    <w:pStyle w:val="136"/>
                    <w:adjustRightInd w:val="0"/>
                    <w:snapToGrid w:val="0"/>
                    <w:rPr>
                      <w:szCs w:val="18"/>
                    </w:rPr>
                  </w:pPr>
                  <w:r>
                    <w:rPr>
                      <w:szCs w:val="18"/>
                    </w:rPr>
                    <w:t>3.295</w:t>
                  </w:r>
                </w:p>
              </w:tc>
              <w:tc>
                <w:tcPr>
                  <w:tcW w:w="464" w:type="pct"/>
                  <w:vMerge w:val="continue"/>
                  <w:vAlign w:val="center"/>
                </w:tcPr>
                <w:p>
                  <w:pPr>
                    <w:pStyle w:val="136"/>
                    <w:adjustRightInd w:val="0"/>
                    <w:snapToGrid w:val="0"/>
                    <w:rPr>
                      <w:szCs w:val="18"/>
                    </w:rPr>
                  </w:pPr>
                </w:p>
              </w:tc>
              <w:tc>
                <w:tcPr>
                  <w:tcW w:w="712" w:type="pct"/>
                  <w:vMerge w:val="continue"/>
                  <w:vAlign w:val="center"/>
                </w:tcPr>
                <w:p>
                  <w:pPr>
                    <w:pStyle w:val="136"/>
                    <w:adjustRightInd w:val="0"/>
                    <w:snapToGrid w:val="0"/>
                    <w:rPr>
                      <w:rFonts w:ascii="宋体" w:hAnsi="宋体"/>
                      <w:szCs w:val="18"/>
                    </w:rPr>
                  </w:pPr>
                </w:p>
              </w:tc>
              <w:tc>
                <w:tcPr>
                  <w:tcW w:w="464" w:type="pct"/>
                  <w:vAlign w:val="center"/>
                </w:tcPr>
                <w:p>
                  <w:pPr>
                    <w:pStyle w:val="136"/>
                    <w:adjustRightInd w:val="0"/>
                    <w:snapToGrid w:val="0"/>
                    <w:rPr>
                      <w:szCs w:val="18"/>
                    </w:rPr>
                  </w:pPr>
                  <w:r>
                    <w:rPr>
                      <w:szCs w:val="18"/>
                    </w:rPr>
                    <w:t>85%</w:t>
                  </w:r>
                </w:p>
              </w:tc>
              <w:tc>
                <w:tcPr>
                  <w:tcW w:w="465" w:type="pct"/>
                  <w:vMerge w:val="continue"/>
                  <w:vAlign w:val="center"/>
                </w:tcPr>
                <w:p>
                  <w:pPr>
                    <w:pStyle w:val="136"/>
                    <w:adjustRightInd w:val="0"/>
                    <w:snapToGrid w:val="0"/>
                    <w:rPr>
                      <w:szCs w:val="18"/>
                    </w:rPr>
                  </w:pPr>
                </w:p>
              </w:tc>
              <w:tc>
                <w:tcPr>
                  <w:tcW w:w="535" w:type="pct"/>
                  <w:vAlign w:val="center"/>
                </w:tcPr>
                <w:p>
                  <w:pPr>
                    <w:pStyle w:val="136"/>
                    <w:adjustRightInd w:val="0"/>
                    <w:snapToGrid w:val="0"/>
                    <w:rPr>
                      <w:szCs w:val="18"/>
                    </w:rPr>
                  </w:pPr>
                  <w:r>
                    <w:rPr>
                      <w:szCs w:val="18"/>
                    </w:rPr>
                    <w:t>0.14</w:t>
                  </w:r>
                </w:p>
              </w:tc>
              <w:tc>
                <w:tcPr>
                  <w:tcW w:w="486" w:type="pct"/>
                  <w:vAlign w:val="center"/>
                </w:tcPr>
                <w:p>
                  <w:pPr>
                    <w:pStyle w:val="136"/>
                    <w:adjustRightInd w:val="0"/>
                    <w:snapToGrid w:val="0"/>
                    <w:rPr>
                      <w:szCs w:val="18"/>
                    </w:rPr>
                  </w:pPr>
                  <w:r>
                    <w:rPr>
                      <w:szCs w:val="18"/>
                    </w:rPr>
                    <w:t>0.0017</w:t>
                  </w:r>
                </w:p>
              </w:tc>
              <w:tc>
                <w:tcPr>
                  <w:tcW w:w="468" w:type="pct"/>
                  <w:vAlign w:val="center"/>
                </w:tcPr>
                <w:p>
                  <w:pPr>
                    <w:pStyle w:val="136"/>
                    <w:adjustRightInd w:val="0"/>
                    <w:snapToGrid w:val="0"/>
                    <w:rPr>
                      <w:szCs w:val="18"/>
                    </w:rPr>
                  </w:pPr>
                  <w:r>
                    <w:rPr>
                      <w:szCs w:val="18"/>
                    </w:rPr>
                    <w:t>0.890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473" w:type="pct"/>
                  <w:vMerge w:val="continue"/>
                  <w:vAlign w:val="center"/>
                </w:tcPr>
                <w:p>
                  <w:pPr>
                    <w:pStyle w:val="136"/>
                    <w:adjustRightInd w:val="0"/>
                    <w:snapToGrid w:val="0"/>
                  </w:pPr>
                </w:p>
              </w:tc>
              <w:tc>
                <w:tcPr>
                  <w:tcW w:w="465" w:type="pct"/>
                  <w:vAlign w:val="center"/>
                </w:tcPr>
                <w:p>
                  <w:pPr>
                    <w:pStyle w:val="136"/>
                    <w:adjustRightInd w:val="0"/>
                    <w:snapToGrid w:val="0"/>
                    <w:rPr>
                      <w:rFonts w:ascii="宋体" w:hAnsi="宋体"/>
                      <w:szCs w:val="18"/>
                    </w:rPr>
                  </w:pPr>
                  <w:r>
                    <w:rPr>
                      <w:rFonts w:hint="eastAsia" w:ascii="宋体" w:hAnsi="宋体"/>
                      <w:szCs w:val="18"/>
                    </w:rPr>
                    <w:t>硫酸雾</w:t>
                  </w:r>
                </w:p>
              </w:tc>
              <w:tc>
                <w:tcPr>
                  <w:tcW w:w="468" w:type="pct"/>
                  <w:vAlign w:val="center"/>
                </w:tcPr>
                <w:p>
                  <w:pPr>
                    <w:pStyle w:val="136"/>
                    <w:adjustRightInd w:val="0"/>
                    <w:snapToGrid w:val="0"/>
                    <w:rPr>
                      <w:szCs w:val="18"/>
                    </w:rPr>
                  </w:pPr>
                  <w:r>
                    <w:rPr>
                      <w:szCs w:val="18"/>
                    </w:rPr>
                    <w:t>9.016</w:t>
                  </w:r>
                </w:p>
              </w:tc>
              <w:tc>
                <w:tcPr>
                  <w:tcW w:w="464" w:type="pct"/>
                  <w:vMerge w:val="continue"/>
                  <w:vAlign w:val="center"/>
                </w:tcPr>
                <w:p>
                  <w:pPr>
                    <w:pStyle w:val="136"/>
                    <w:adjustRightInd w:val="0"/>
                    <w:snapToGrid w:val="0"/>
                    <w:rPr>
                      <w:szCs w:val="18"/>
                    </w:rPr>
                  </w:pPr>
                </w:p>
              </w:tc>
              <w:tc>
                <w:tcPr>
                  <w:tcW w:w="712" w:type="pct"/>
                  <w:vMerge w:val="continue"/>
                  <w:vAlign w:val="center"/>
                </w:tcPr>
                <w:p>
                  <w:pPr>
                    <w:pStyle w:val="136"/>
                    <w:adjustRightInd w:val="0"/>
                    <w:snapToGrid w:val="0"/>
                    <w:rPr>
                      <w:rFonts w:ascii="宋体" w:hAnsi="宋体"/>
                      <w:szCs w:val="18"/>
                    </w:rPr>
                  </w:pPr>
                </w:p>
              </w:tc>
              <w:tc>
                <w:tcPr>
                  <w:tcW w:w="464" w:type="pct"/>
                  <w:vAlign w:val="center"/>
                </w:tcPr>
                <w:p>
                  <w:pPr>
                    <w:pStyle w:val="136"/>
                    <w:adjustRightInd w:val="0"/>
                    <w:snapToGrid w:val="0"/>
                    <w:rPr>
                      <w:szCs w:val="18"/>
                    </w:rPr>
                  </w:pPr>
                  <w:r>
                    <w:rPr>
                      <w:szCs w:val="18"/>
                    </w:rPr>
                    <w:t>90%</w:t>
                  </w:r>
                </w:p>
              </w:tc>
              <w:tc>
                <w:tcPr>
                  <w:tcW w:w="465" w:type="pct"/>
                  <w:vMerge w:val="continue"/>
                  <w:vAlign w:val="center"/>
                </w:tcPr>
                <w:p>
                  <w:pPr>
                    <w:pStyle w:val="136"/>
                    <w:adjustRightInd w:val="0"/>
                    <w:snapToGrid w:val="0"/>
                    <w:rPr>
                      <w:szCs w:val="18"/>
                    </w:rPr>
                  </w:pPr>
                </w:p>
              </w:tc>
              <w:tc>
                <w:tcPr>
                  <w:tcW w:w="535" w:type="pct"/>
                  <w:vAlign w:val="center"/>
                </w:tcPr>
                <w:p>
                  <w:pPr>
                    <w:pStyle w:val="136"/>
                    <w:adjustRightInd w:val="0"/>
                    <w:snapToGrid w:val="0"/>
                    <w:rPr>
                      <w:szCs w:val="18"/>
                    </w:rPr>
                  </w:pPr>
                  <w:r>
                    <w:rPr>
                      <w:szCs w:val="18"/>
                    </w:rPr>
                    <w:t>0.13</w:t>
                  </w:r>
                </w:p>
              </w:tc>
              <w:tc>
                <w:tcPr>
                  <w:tcW w:w="486" w:type="pct"/>
                  <w:vAlign w:val="center"/>
                </w:tcPr>
                <w:p>
                  <w:pPr>
                    <w:pStyle w:val="136"/>
                    <w:adjustRightInd w:val="0"/>
                    <w:snapToGrid w:val="0"/>
                    <w:rPr>
                      <w:szCs w:val="18"/>
                    </w:rPr>
                  </w:pPr>
                  <w:r>
                    <w:rPr>
                      <w:szCs w:val="18"/>
                    </w:rPr>
                    <w:t>0.0016</w:t>
                  </w:r>
                </w:p>
              </w:tc>
              <w:tc>
                <w:tcPr>
                  <w:tcW w:w="468" w:type="pct"/>
                  <w:vAlign w:val="center"/>
                </w:tcPr>
                <w:p>
                  <w:pPr>
                    <w:pStyle w:val="136"/>
                    <w:adjustRightInd w:val="0"/>
                    <w:snapToGrid w:val="0"/>
                    <w:rPr>
                      <w:szCs w:val="18"/>
                    </w:rPr>
                  </w:pPr>
                  <w:r>
                    <w:rPr>
                      <w:szCs w:val="18"/>
                    </w:rPr>
                    <w:t>0.811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473" w:type="pct"/>
                  <w:vMerge w:val="continue"/>
                  <w:vAlign w:val="center"/>
                </w:tcPr>
                <w:p>
                  <w:pPr>
                    <w:pStyle w:val="136"/>
                    <w:adjustRightInd w:val="0"/>
                    <w:snapToGrid w:val="0"/>
                  </w:pPr>
                </w:p>
              </w:tc>
              <w:tc>
                <w:tcPr>
                  <w:tcW w:w="465" w:type="pct"/>
                  <w:vAlign w:val="center"/>
                </w:tcPr>
                <w:p>
                  <w:pPr>
                    <w:pStyle w:val="136"/>
                    <w:adjustRightInd w:val="0"/>
                    <w:snapToGrid w:val="0"/>
                    <w:rPr>
                      <w:rFonts w:ascii="宋体" w:hAnsi="宋体"/>
                      <w:szCs w:val="18"/>
                    </w:rPr>
                  </w:pPr>
                  <w:r>
                    <w:rPr>
                      <w:rFonts w:hint="eastAsia" w:ascii="宋体" w:hAnsi="宋体"/>
                      <w:szCs w:val="18"/>
                    </w:rPr>
                    <w:t>氯化氢</w:t>
                  </w:r>
                </w:p>
              </w:tc>
              <w:tc>
                <w:tcPr>
                  <w:tcW w:w="468" w:type="pct"/>
                  <w:vAlign w:val="center"/>
                </w:tcPr>
                <w:p>
                  <w:pPr>
                    <w:pStyle w:val="136"/>
                    <w:adjustRightInd w:val="0"/>
                    <w:snapToGrid w:val="0"/>
                    <w:rPr>
                      <w:szCs w:val="18"/>
                    </w:rPr>
                  </w:pPr>
                  <w:r>
                    <w:rPr>
                      <w:szCs w:val="18"/>
                    </w:rPr>
                    <w:t>4.537</w:t>
                  </w:r>
                </w:p>
              </w:tc>
              <w:tc>
                <w:tcPr>
                  <w:tcW w:w="464" w:type="pct"/>
                  <w:vMerge w:val="continue"/>
                  <w:vAlign w:val="center"/>
                </w:tcPr>
                <w:p>
                  <w:pPr>
                    <w:pStyle w:val="136"/>
                    <w:adjustRightInd w:val="0"/>
                    <w:snapToGrid w:val="0"/>
                    <w:rPr>
                      <w:szCs w:val="18"/>
                    </w:rPr>
                  </w:pPr>
                </w:p>
              </w:tc>
              <w:tc>
                <w:tcPr>
                  <w:tcW w:w="712" w:type="pct"/>
                  <w:vMerge w:val="continue"/>
                  <w:vAlign w:val="center"/>
                </w:tcPr>
                <w:p>
                  <w:pPr>
                    <w:pStyle w:val="136"/>
                    <w:adjustRightInd w:val="0"/>
                    <w:snapToGrid w:val="0"/>
                    <w:rPr>
                      <w:rFonts w:ascii="宋体" w:hAnsi="宋体"/>
                      <w:szCs w:val="18"/>
                    </w:rPr>
                  </w:pPr>
                </w:p>
              </w:tc>
              <w:tc>
                <w:tcPr>
                  <w:tcW w:w="464" w:type="pct"/>
                  <w:vAlign w:val="center"/>
                </w:tcPr>
                <w:p>
                  <w:pPr>
                    <w:pStyle w:val="136"/>
                    <w:adjustRightInd w:val="0"/>
                    <w:snapToGrid w:val="0"/>
                    <w:rPr>
                      <w:szCs w:val="18"/>
                    </w:rPr>
                  </w:pPr>
                  <w:r>
                    <w:rPr>
                      <w:szCs w:val="18"/>
                    </w:rPr>
                    <w:t>90%</w:t>
                  </w:r>
                </w:p>
              </w:tc>
              <w:tc>
                <w:tcPr>
                  <w:tcW w:w="465" w:type="pct"/>
                  <w:vMerge w:val="continue"/>
                  <w:vAlign w:val="center"/>
                </w:tcPr>
                <w:p>
                  <w:pPr>
                    <w:pStyle w:val="136"/>
                    <w:adjustRightInd w:val="0"/>
                    <w:snapToGrid w:val="0"/>
                    <w:rPr>
                      <w:szCs w:val="18"/>
                    </w:rPr>
                  </w:pPr>
                </w:p>
              </w:tc>
              <w:tc>
                <w:tcPr>
                  <w:tcW w:w="535" w:type="pct"/>
                  <w:vAlign w:val="center"/>
                </w:tcPr>
                <w:p>
                  <w:pPr>
                    <w:pStyle w:val="136"/>
                    <w:adjustRightInd w:val="0"/>
                    <w:snapToGrid w:val="0"/>
                    <w:rPr>
                      <w:szCs w:val="18"/>
                    </w:rPr>
                  </w:pPr>
                  <w:r>
                    <w:rPr>
                      <w:szCs w:val="18"/>
                    </w:rPr>
                    <w:t>0.07</w:t>
                  </w:r>
                </w:p>
              </w:tc>
              <w:tc>
                <w:tcPr>
                  <w:tcW w:w="486" w:type="pct"/>
                  <w:vAlign w:val="center"/>
                </w:tcPr>
                <w:p>
                  <w:pPr>
                    <w:pStyle w:val="136"/>
                    <w:adjustRightInd w:val="0"/>
                    <w:snapToGrid w:val="0"/>
                    <w:rPr>
                      <w:szCs w:val="18"/>
                    </w:rPr>
                  </w:pPr>
                  <w:r>
                    <w:rPr>
                      <w:szCs w:val="18"/>
                    </w:rPr>
                    <w:t>0.0008</w:t>
                  </w:r>
                </w:p>
              </w:tc>
              <w:tc>
                <w:tcPr>
                  <w:tcW w:w="468" w:type="pct"/>
                  <w:vAlign w:val="center"/>
                </w:tcPr>
                <w:p>
                  <w:pPr>
                    <w:pStyle w:val="136"/>
                    <w:adjustRightInd w:val="0"/>
                    <w:snapToGrid w:val="0"/>
                    <w:rPr>
                      <w:szCs w:val="18"/>
                    </w:rPr>
                  </w:pPr>
                  <w:r>
                    <w:rPr>
                      <w:szCs w:val="18"/>
                    </w:rPr>
                    <w:t>0.408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473" w:type="pct"/>
                  <w:vMerge w:val="restart"/>
                  <w:noWrap/>
                  <w:vAlign w:val="center"/>
                </w:tcPr>
                <w:p>
                  <w:pPr>
                    <w:pStyle w:val="136"/>
                    <w:adjustRightInd w:val="0"/>
                    <w:snapToGrid w:val="0"/>
                  </w:pPr>
                  <w:r>
                    <w:rPr>
                      <w:rFonts w:hint="eastAsia"/>
                    </w:rPr>
                    <w:t>DA002</w:t>
                  </w:r>
                </w:p>
              </w:tc>
              <w:tc>
                <w:tcPr>
                  <w:tcW w:w="465" w:type="pct"/>
                  <w:vAlign w:val="center"/>
                </w:tcPr>
                <w:p>
                  <w:pPr>
                    <w:pStyle w:val="136"/>
                    <w:adjustRightInd w:val="0"/>
                    <w:snapToGrid w:val="0"/>
                    <w:rPr>
                      <w:szCs w:val="18"/>
                    </w:rPr>
                  </w:pPr>
                  <w:r>
                    <w:rPr>
                      <w:szCs w:val="18"/>
                    </w:rPr>
                    <w:t>VOCs</w:t>
                  </w:r>
                </w:p>
              </w:tc>
              <w:tc>
                <w:tcPr>
                  <w:tcW w:w="468" w:type="pct"/>
                  <w:vAlign w:val="center"/>
                </w:tcPr>
                <w:p>
                  <w:pPr>
                    <w:pStyle w:val="136"/>
                    <w:adjustRightInd w:val="0"/>
                    <w:snapToGrid w:val="0"/>
                    <w:rPr>
                      <w:szCs w:val="18"/>
                    </w:rPr>
                  </w:pPr>
                  <w:r>
                    <w:rPr>
                      <w:szCs w:val="18"/>
                    </w:rPr>
                    <w:t>5.27</w:t>
                  </w:r>
                </w:p>
              </w:tc>
              <w:tc>
                <w:tcPr>
                  <w:tcW w:w="464" w:type="pct"/>
                  <w:vMerge w:val="restart"/>
                  <w:vAlign w:val="center"/>
                </w:tcPr>
                <w:p>
                  <w:pPr>
                    <w:pStyle w:val="136"/>
                    <w:adjustRightInd w:val="0"/>
                    <w:snapToGrid w:val="0"/>
                    <w:rPr>
                      <w:szCs w:val="18"/>
                    </w:rPr>
                  </w:pPr>
                  <w:r>
                    <w:rPr>
                      <w:szCs w:val="18"/>
                    </w:rPr>
                    <w:t>90%</w:t>
                  </w:r>
                </w:p>
              </w:tc>
              <w:tc>
                <w:tcPr>
                  <w:tcW w:w="712" w:type="pct"/>
                  <w:vMerge w:val="restart"/>
                  <w:vAlign w:val="center"/>
                </w:tcPr>
                <w:p>
                  <w:pPr>
                    <w:pStyle w:val="136"/>
                    <w:adjustRightInd w:val="0"/>
                    <w:snapToGrid w:val="0"/>
                    <w:jc w:val="both"/>
                    <w:rPr>
                      <w:rFonts w:ascii="宋体" w:hAnsi="宋体"/>
                      <w:szCs w:val="18"/>
                    </w:rPr>
                  </w:pPr>
                  <w:r>
                    <w:rPr>
                      <w:rFonts w:hint="eastAsia" w:ascii="宋体" w:hAnsi="宋体"/>
                      <w:szCs w:val="18"/>
                    </w:rPr>
                    <w:t>通风柜或万向排气罩收集后，采用“双层活性炭纤维</w:t>
                  </w:r>
                  <w:r>
                    <w:rPr>
                      <w:szCs w:val="18"/>
                    </w:rPr>
                    <w:t>+</w:t>
                  </w:r>
                  <w:r>
                    <w:rPr>
                      <w:rFonts w:hint="eastAsia" w:ascii="宋体" w:hAnsi="宋体"/>
                      <w:szCs w:val="18"/>
                    </w:rPr>
                    <w:t>碱液喷淋塔”处理后通过</w:t>
                  </w:r>
                  <w:r>
                    <w:rPr>
                      <w:szCs w:val="18"/>
                    </w:rPr>
                    <w:t>25m</w:t>
                  </w:r>
                  <w:r>
                    <w:rPr>
                      <w:rFonts w:hint="eastAsia" w:ascii="宋体" w:hAnsi="宋体"/>
                      <w:szCs w:val="18"/>
                    </w:rPr>
                    <w:t>排气筒排放（</w:t>
                  </w:r>
                  <w:r>
                    <w:rPr>
                      <w:szCs w:val="18"/>
                    </w:rPr>
                    <w:t>12000m</w:t>
                  </w:r>
                  <w:r>
                    <w:rPr>
                      <w:szCs w:val="18"/>
                      <w:vertAlign w:val="superscript"/>
                    </w:rPr>
                    <w:t>3</w:t>
                  </w:r>
                  <w:r>
                    <w:rPr>
                      <w:szCs w:val="18"/>
                    </w:rPr>
                    <w:t>/h</w:t>
                  </w:r>
                  <w:r>
                    <w:rPr>
                      <w:rFonts w:hint="eastAsia" w:ascii="宋体" w:hAnsi="宋体"/>
                      <w:szCs w:val="18"/>
                    </w:rPr>
                    <w:t>）</w:t>
                  </w:r>
                </w:p>
              </w:tc>
              <w:tc>
                <w:tcPr>
                  <w:tcW w:w="464" w:type="pct"/>
                  <w:vAlign w:val="center"/>
                </w:tcPr>
                <w:p>
                  <w:pPr>
                    <w:pStyle w:val="136"/>
                    <w:adjustRightInd w:val="0"/>
                    <w:snapToGrid w:val="0"/>
                    <w:rPr>
                      <w:szCs w:val="18"/>
                    </w:rPr>
                  </w:pPr>
                  <w:r>
                    <w:rPr>
                      <w:szCs w:val="18"/>
                    </w:rPr>
                    <w:t>85%</w:t>
                  </w:r>
                </w:p>
              </w:tc>
              <w:tc>
                <w:tcPr>
                  <w:tcW w:w="465" w:type="pct"/>
                  <w:vMerge w:val="restart"/>
                  <w:vAlign w:val="center"/>
                </w:tcPr>
                <w:p>
                  <w:pPr>
                    <w:pStyle w:val="136"/>
                    <w:adjustRightInd w:val="0"/>
                    <w:snapToGrid w:val="0"/>
                    <w:rPr>
                      <w:szCs w:val="18"/>
                    </w:rPr>
                  </w:pPr>
                  <w:r>
                    <w:rPr>
                      <w:szCs w:val="18"/>
                    </w:rPr>
                    <w:t>520</w:t>
                  </w:r>
                </w:p>
              </w:tc>
              <w:tc>
                <w:tcPr>
                  <w:tcW w:w="535" w:type="pct"/>
                  <w:vAlign w:val="center"/>
                </w:tcPr>
                <w:p>
                  <w:pPr>
                    <w:pStyle w:val="136"/>
                    <w:adjustRightInd w:val="0"/>
                    <w:snapToGrid w:val="0"/>
                    <w:rPr>
                      <w:szCs w:val="18"/>
                    </w:rPr>
                  </w:pPr>
                  <w:r>
                    <w:rPr>
                      <w:szCs w:val="18"/>
                    </w:rPr>
                    <w:t>0.11</w:t>
                  </w:r>
                </w:p>
              </w:tc>
              <w:tc>
                <w:tcPr>
                  <w:tcW w:w="486" w:type="pct"/>
                  <w:vAlign w:val="center"/>
                </w:tcPr>
                <w:p>
                  <w:pPr>
                    <w:pStyle w:val="136"/>
                    <w:adjustRightInd w:val="0"/>
                    <w:snapToGrid w:val="0"/>
                    <w:rPr>
                      <w:szCs w:val="18"/>
                    </w:rPr>
                  </w:pPr>
                  <w:r>
                    <w:rPr>
                      <w:szCs w:val="18"/>
                    </w:rPr>
                    <w:t>0.0014</w:t>
                  </w:r>
                </w:p>
              </w:tc>
              <w:tc>
                <w:tcPr>
                  <w:tcW w:w="468" w:type="pct"/>
                  <w:vAlign w:val="center"/>
                </w:tcPr>
                <w:p>
                  <w:pPr>
                    <w:pStyle w:val="136"/>
                    <w:adjustRightInd w:val="0"/>
                    <w:snapToGrid w:val="0"/>
                    <w:rPr>
                      <w:szCs w:val="18"/>
                    </w:rPr>
                  </w:pPr>
                  <w:r>
                    <w:rPr>
                      <w:szCs w:val="18"/>
                    </w:rPr>
                    <w:t>0.711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473" w:type="pct"/>
                  <w:vMerge w:val="continue"/>
                  <w:vAlign w:val="center"/>
                </w:tcPr>
                <w:p>
                  <w:pPr>
                    <w:pStyle w:val="136"/>
                    <w:adjustRightInd w:val="0"/>
                    <w:snapToGrid w:val="0"/>
                  </w:pPr>
                </w:p>
              </w:tc>
              <w:tc>
                <w:tcPr>
                  <w:tcW w:w="465" w:type="pct"/>
                  <w:vAlign w:val="center"/>
                </w:tcPr>
                <w:p>
                  <w:pPr>
                    <w:pStyle w:val="136"/>
                    <w:adjustRightInd w:val="0"/>
                    <w:snapToGrid w:val="0"/>
                    <w:rPr>
                      <w:rFonts w:ascii="宋体" w:hAnsi="宋体"/>
                      <w:szCs w:val="18"/>
                    </w:rPr>
                  </w:pPr>
                  <w:r>
                    <w:rPr>
                      <w:rFonts w:hint="eastAsia" w:ascii="宋体" w:hAnsi="宋体"/>
                      <w:szCs w:val="18"/>
                    </w:rPr>
                    <w:t>丙酮</w:t>
                  </w:r>
                </w:p>
              </w:tc>
              <w:tc>
                <w:tcPr>
                  <w:tcW w:w="468" w:type="pct"/>
                  <w:vAlign w:val="center"/>
                </w:tcPr>
                <w:p>
                  <w:pPr>
                    <w:pStyle w:val="136"/>
                    <w:adjustRightInd w:val="0"/>
                    <w:snapToGrid w:val="0"/>
                    <w:rPr>
                      <w:szCs w:val="18"/>
                    </w:rPr>
                  </w:pPr>
                  <w:r>
                    <w:rPr>
                      <w:szCs w:val="18"/>
                    </w:rPr>
                    <w:t>1.975</w:t>
                  </w:r>
                </w:p>
              </w:tc>
              <w:tc>
                <w:tcPr>
                  <w:tcW w:w="464" w:type="pct"/>
                  <w:vMerge w:val="continue"/>
                  <w:vAlign w:val="center"/>
                </w:tcPr>
                <w:p>
                  <w:pPr>
                    <w:pStyle w:val="136"/>
                    <w:adjustRightInd w:val="0"/>
                    <w:snapToGrid w:val="0"/>
                    <w:rPr>
                      <w:szCs w:val="18"/>
                    </w:rPr>
                  </w:pPr>
                </w:p>
              </w:tc>
              <w:tc>
                <w:tcPr>
                  <w:tcW w:w="712" w:type="pct"/>
                  <w:vMerge w:val="continue"/>
                  <w:vAlign w:val="center"/>
                </w:tcPr>
                <w:p>
                  <w:pPr>
                    <w:pStyle w:val="136"/>
                    <w:adjustRightInd w:val="0"/>
                    <w:snapToGrid w:val="0"/>
                    <w:rPr>
                      <w:rFonts w:ascii="宋体" w:hAnsi="宋体"/>
                      <w:szCs w:val="18"/>
                    </w:rPr>
                  </w:pPr>
                </w:p>
              </w:tc>
              <w:tc>
                <w:tcPr>
                  <w:tcW w:w="464" w:type="pct"/>
                  <w:vAlign w:val="center"/>
                </w:tcPr>
                <w:p>
                  <w:pPr>
                    <w:pStyle w:val="136"/>
                    <w:adjustRightInd w:val="0"/>
                    <w:snapToGrid w:val="0"/>
                    <w:rPr>
                      <w:szCs w:val="18"/>
                    </w:rPr>
                  </w:pPr>
                  <w:r>
                    <w:rPr>
                      <w:szCs w:val="18"/>
                    </w:rPr>
                    <w:t>85%</w:t>
                  </w:r>
                </w:p>
              </w:tc>
              <w:tc>
                <w:tcPr>
                  <w:tcW w:w="465" w:type="pct"/>
                  <w:vMerge w:val="continue"/>
                  <w:vAlign w:val="center"/>
                </w:tcPr>
                <w:p>
                  <w:pPr>
                    <w:pStyle w:val="136"/>
                    <w:adjustRightInd w:val="0"/>
                    <w:snapToGrid w:val="0"/>
                    <w:rPr>
                      <w:szCs w:val="18"/>
                    </w:rPr>
                  </w:pPr>
                </w:p>
              </w:tc>
              <w:tc>
                <w:tcPr>
                  <w:tcW w:w="535" w:type="pct"/>
                  <w:vAlign w:val="center"/>
                </w:tcPr>
                <w:p>
                  <w:pPr>
                    <w:pStyle w:val="136"/>
                    <w:adjustRightInd w:val="0"/>
                    <w:snapToGrid w:val="0"/>
                    <w:rPr>
                      <w:szCs w:val="18"/>
                    </w:rPr>
                  </w:pPr>
                  <w:r>
                    <w:rPr>
                      <w:szCs w:val="18"/>
                    </w:rPr>
                    <w:t>0.04</w:t>
                  </w:r>
                </w:p>
              </w:tc>
              <w:tc>
                <w:tcPr>
                  <w:tcW w:w="486" w:type="pct"/>
                  <w:vAlign w:val="center"/>
                </w:tcPr>
                <w:p>
                  <w:pPr>
                    <w:pStyle w:val="136"/>
                    <w:adjustRightInd w:val="0"/>
                    <w:snapToGrid w:val="0"/>
                    <w:rPr>
                      <w:szCs w:val="18"/>
                    </w:rPr>
                  </w:pPr>
                  <w:r>
                    <w:rPr>
                      <w:szCs w:val="18"/>
                    </w:rPr>
                    <w:t>0.0005</w:t>
                  </w:r>
                </w:p>
              </w:tc>
              <w:tc>
                <w:tcPr>
                  <w:tcW w:w="468" w:type="pct"/>
                  <w:vAlign w:val="center"/>
                </w:tcPr>
                <w:p>
                  <w:pPr>
                    <w:pStyle w:val="136"/>
                    <w:adjustRightInd w:val="0"/>
                    <w:snapToGrid w:val="0"/>
                    <w:rPr>
                      <w:szCs w:val="18"/>
                    </w:rPr>
                  </w:pPr>
                  <w:r>
                    <w:rPr>
                      <w:szCs w:val="18"/>
                    </w:rPr>
                    <w:t>0.267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473" w:type="pct"/>
                  <w:vMerge w:val="continue"/>
                  <w:vAlign w:val="center"/>
                </w:tcPr>
                <w:p>
                  <w:pPr>
                    <w:pStyle w:val="136"/>
                    <w:adjustRightInd w:val="0"/>
                    <w:snapToGrid w:val="0"/>
                  </w:pPr>
                </w:p>
              </w:tc>
              <w:tc>
                <w:tcPr>
                  <w:tcW w:w="465" w:type="pct"/>
                  <w:vAlign w:val="center"/>
                </w:tcPr>
                <w:p>
                  <w:pPr>
                    <w:pStyle w:val="136"/>
                    <w:adjustRightInd w:val="0"/>
                    <w:snapToGrid w:val="0"/>
                    <w:rPr>
                      <w:rFonts w:ascii="宋体" w:hAnsi="宋体"/>
                      <w:szCs w:val="18"/>
                    </w:rPr>
                  </w:pPr>
                  <w:r>
                    <w:rPr>
                      <w:rFonts w:hint="eastAsia" w:ascii="宋体" w:hAnsi="宋体"/>
                      <w:szCs w:val="18"/>
                    </w:rPr>
                    <w:t>正己烷</w:t>
                  </w:r>
                </w:p>
              </w:tc>
              <w:tc>
                <w:tcPr>
                  <w:tcW w:w="468" w:type="pct"/>
                  <w:vAlign w:val="center"/>
                </w:tcPr>
                <w:p>
                  <w:pPr>
                    <w:pStyle w:val="136"/>
                    <w:adjustRightInd w:val="0"/>
                    <w:snapToGrid w:val="0"/>
                    <w:rPr>
                      <w:szCs w:val="18"/>
                    </w:rPr>
                  </w:pPr>
                  <w:r>
                    <w:rPr>
                      <w:szCs w:val="18"/>
                    </w:rPr>
                    <w:t>3.295</w:t>
                  </w:r>
                </w:p>
              </w:tc>
              <w:tc>
                <w:tcPr>
                  <w:tcW w:w="464" w:type="pct"/>
                  <w:vMerge w:val="continue"/>
                  <w:vAlign w:val="center"/>
                </w:tcPr>
                <w:p>
                  <w:pPr>
                    <w:pStyle w:val="136"/>
                    <w:adjustRightInd w:val="0"/>
                    <w:snapToGrid w:val="0"/>
                    <w:rPr>
                      <w:szCs w:val="18"/>
                    </w:rPr>
                  </w:pPr>
                </w:p>
              </w:tc>
              <w:tc>
                <w:tcPr>
                  <w:tcW w:w="712" w:type="pct"/>
                  <w:vMerge w:val="continue"/>
                  <w:vAlign w:val="center"/>
                </w:tcPr>
                <w:p>
                  <w:pPr>
                    <w:pStyle w:val="136"/>
                    <w:adjustRightInd w:val="0"/>
                    <w:snapToGrid w:val="0"/>
                    <w:rPr>
                      <w:rFonts w:ascii="宋体" w:hAnsi="宋体"/>
                      <w:szCs w:val="18"/>
                    </w:rPr>
                  </w:pPr>
                </w:p>
              </w:tc>
              <w:tc>
                <w:tcPr>
                  <w:tcW w:w="464" w:type="pct"/>
                  <w:vAlign w:val="center"/>
                </w:tcPr>
                <w:p>
                  <w:pPr>
                    <w:pStyle w:val="136"/>
                    <w:adjustRightInd w:val="0"/>
                    <w:snapToGrid w:val="0"/>
                    <w:rPr>
                      <w:szCs w:val="18"/>
                    </w:rPr>
                  </w:pPr>
                  <w:r>
                    <w:rPr>
                      <w:szCs w:val="18"/>
                    </w:rPr>
                    <w:t>85%</w:t>
                  </w:r>
                </w:p>
              </w:tc>
              <w:tc>
                <w:tcPr>
                  <w:tcW w:w="465" w:type="pct"/>
                  <w:vMerge w:val="continue"/>
                  <w:vAlign w:val="center"/>
                </w:tcPr>
                <w:p>
                  <w:pPr>
                    <w:pStyle w:val="136"/>
                    <w:adjustRightInd w:val="0"/>
                    <w:snapToGrid w:val="0"/>
                    <w:rPr>
                      <w:szCs w:val="18"/>
                    </w:rPr>
                  </w:pPr>
                </w:p>
              </w:tc>
              <w:tc>
                <w:tcPr>
                  <w:tcW w:w="535" w:type="pct"/>
                  <w:vAlign w:val="center"/>
                </w:tcPr>
                <w:p>
                  <w:pPr>
                    <w:pStyle w:val="136"/>
                    <w:adjustRightInd w:val="0"/>
                    <w:snapToGrid w:val="0"/>
                    <w:rPr>
                      <w:szCs w:val="18"/>
                    </w:rPr>
                  </w:pPr>
                  <w:r>
                    <w:rPr>
                      <w:szCs w:val="18"/>
                    </w:rPr>
                    <w:t>0.14</w:t>
                  </w:r>
                </w:p>
              </w:tc>
              <w:tc>
                <w:tcPr>
                  <w:tcW w:w="486" w:type="pct"/>
                  <w:vAlign w:val="center"/>
                </w:tcPr>
                <w:p>
                  <w:pPr>
                    <w:pStyle w:val="136"/>
                    <w:adjustRightInd w:val="0"/>
                    <w:snapToGrid w:val="0"/>
                    <w:rPr>
                      <w:szCs w:val="18"/>
                    </w:rPr>
                  </w:pPr>
                  <w:r>
                    <w:rPr>
                      <w:szCs w:val="18"/>
                    </w:rPr>
                    <w:t>0.0017</w:t>
                  </w:r>
                </w:p>
              </w:tc>
              <w:tc>
                <w:tcPr>
                  <w:tcW w:w="468" w:type="pct"/>
                  <w:vAlign w:val="center"/>
                </w:tcPr>
                <w:p>
                  <w:pPr>
                    <w:pStyle w:val="136"/>
                    <w:adjustRightInd w:val="0"/>
                    <w:snapToGrid w:val="0"/>
                    <w:rPr>
                      <w:szCs w:val="18"/>
                    </w:rPr>
                  </w:pPr>
                  <w:r>
                    <w:rPr>
                      <w:szCs w:val="18"/>
                    </w:rPr>
                    <w:t>0.890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473" w:type="pct"/>
                  <w:vMerge w:val="continue"/>
                  <w:vAlign w:val="center"/>
                </w:tcPr>
                <w:p>
                  <w:pPr>
                    <w:pStyle w:val="136"/>
                    <w:adjustRightInd w:val="0"/>
                    <w:snapToGrid w:val="0"/>
                  </w:pPr>
                </w:p>
              </w:tc>
              <w:tc>
                <w:tcPr>
                  <w:tcW w:w="465" w:type="pct"/>
                  <w:vAlign w:val="center"/>
                </w:tcPr>
                <w:p>
                  <w:pPr>
                    <w:pStyle w:val="136"/>
                    <w:adjustRightInd w:val="0"/>
                    <w:snapToGrid w:val="0"/>
                    <w:rPr>
                      <w:rFonts w:ascii="宋体" w:hAnsi="宋体"/>
                      <w:szCs w:val="18"/>
                    </w:rPr>
                  </w:pPr>
                  <w:r>
                    <w:rPr>
                      <w:rFonts w:hint="eastAsia" w:ascii="宋体" w:hAnsi="宋体"/>
                      <w:szCs w:val="18"/>
                    </w:rPr>
                    <w:t>硫酸雾</w:t>
                  </w:r>
                </w:p>
              </w:tc>
              <w:tc>
                <w:tcPr>
                  <w:tcW w:w="468" w:type="pct"/>
                  <w:vAlign w:val="center"/>
                </w:tcPr>
                <w:p>
                  <w:pPr>
                    <w:pStyle w:val="136"/>
                    <w:adjustRightInd w:val="0"/>
                    <w:snapToGrid w:val="0"/>
                    <w:rPr>
                      <w:szCs w:val="18"/>
                    </w:rPr>
                  </w:pPr>
                  <w:r>
                    <w:rPr>
                      <w:szCs w:val="18"/>
                    </w:rPr>
                    <w:t>9.016</w:t>
                  </w:r>
                </w:p>
              </w:tc>
              <w:tc>
                <w:tcPr>
                  <w:tcW w:w="464" w:type="pct"/>
                  <w:vMerge w:val="continue"/>
                  <w:vAlign w:val="center"/>
                </w:tcPr>
                <w:p>
                  <w:pPr>
                    <w:pStyle w:val="136"/>
                    <w:adjustRightInd w:val="0"/>
                    <w:snapToGrid w:val="0"/>
                    <w:rPr>
                      <w:szCs w:val="18"/>
                    </w:rPr>
                  </w:pPr>
                </w:p>
              </w:tc>
              <w:tc>
                <w:tcPr>
                  <w:tcW w:w="712" w:type="pct"/>
                  <w:vMerge w:val="continue"/>
                  <w:vAlign w:val="center"/>
                </w:tcPr>
                <w:p>
                  <w:pPr>
                    <w:pStyle w:val="136"/>
                    <w:adjustRightInd w:val="0"/>
                    <w:snapToGrid w:val="0"/>
                    <w:rPr>
                      <w:rFonts w:ascii="宋体" w:hAnsi="宋体"/>
                      <w:szCs w:val="18"/>
                    </w:rPr>
                  </w:pPr>
                </w:p>
              </w:tc>
              <w:tc>
                <w:tcPr>
                  <w:tcW w:w="464" w:type="pct"/>
                  <w:vAlign w:val="center"/>
                </w:tcPr>
                <w:p>
                  <w:pPr>
                    <w:pStyle w:val="136"/>
                    <w:adjustRightInd w:val="0"/>
                    <w:snapToGrid w:val="0"/>
                    <w:rPr>
                      <w:szCs w:val="18"/>
                    </w:rPr>
                  </w:pPr>
                  <w:r>
                    <w:rPr>
                      <w:szCs w:val="18"/>
                    </w:rPr>
                    <w:t>90%</w:t>
                  </w:r>
                </w:p>
              </w:tc>
              <w:tc>
                <w:tcPr>
                  <w:tcW w:w="465" w:type="pct"/>
                  <w:vMerge w:val="continue"/>
                  <w:vAlign w:val="center"/>
                </w:tcPr>
                <w:p>
                  <w:pPr>
                    <w:pStyle w:val="136"/>
                    <w:adjustRightInd w:val="0"/>
                    <w:snapToGrid w:val="0"/>
                    <w:rPr>
                      <w:szCs w:val="18"/>
                    </w:rPr>
                  </w:pPr>
                </w:p>
              </w:tc>
              <w:tc>
                <w:tcPr>
                  <w:tcW w:w="535" w:type="pct"/>
                  <w:vAlign w:val="center"/>
                </w:tcPr>
                <w:p>
                  <w:pPr>
                    <w:pStyle w:val="136"/>
                    <w:adjustRightInd w:val="0"/>
                    <w:snapToGrid w:val="0"/>
                    <w:rPr>
                      <w:szCs w:val="18"/>
                    </w:rPr>
                  </w:pPr>
                  <w:r>
                    <w:rPr>
                      <w:szCs w:val="18"/>
                    </w:rPr>
                    <w:t>0.13</w:t>
                  </w:r>
                </w:p>
              </w:tc>
              <w:tc>
                <w:tcPr>
                  <w:tcW w:w="486" w:type="pct"/>
                  <w:vAlign w:val="center"/>
                </w:tcPr>
                <w:p>
                  <w:pPr>
                    <w:pStyle w:val="136"/>
                    <w:adjustRightInd w:val="0"/>
                    <w:snapToGrid w:val="0"/>
                    <w:rPr>
                      <w:szCs w:val="18"/>
                    </w:rPr>
                  </w:pPr>
                  <w:r>
                    <w:rPr>
                      <w:szCs w:val="18"/>
                    </w:rPr>
                    <w:t>0.0016</w:t>
                  </w:r>
                </w:p>
              </w:tc>
              <w:tc>
                <w:tcPr>
                  <w:tcW w:w="468" w:type="pct"/>
                  <w:vAlign w:val="center"/>
                </w:tcPr>
                <w:p>
                  <w:pPr>
                    <w:pStyle w:val="136"/>
                    <w:adjustRightInd w:val="0"/>
                    <w:snapToGrid w:val="0"/>
                    <w:rPr>
                      <w:szCs w:val="18"/>
                    </w:rPr>
                  </w:pPr>
                  <w:r>
                    <w:rPr>
                      <w:szCs w:val="18"/>
                    </w:rPr>
                    <w:t>0.811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473" w:type="pct"/>
                  <w:vMerge w:val="continue"/>
                  <w:vAlign w:val="center"/>
                </w:tcPr>
                <w:p>
                  <w:pPr>
                    <w:pStyle w:val="136"/>
                    <w:adjustRightInd w:val="0"/>
                    <w:snapToGrid w:val="0"/>
                  </w:pPr>
                </w:p>
              </w:tc>
              <w:tc>
                <w:tcPr>
                  <w:tcW w:w="465" w:type="pct"/>
                  <w:vAlign w:val="center"/>
                </w:tcPr>
                <w:p>
                  <w:pPr>
                    <w:pStyle w:val="136"/>
                    <w:adjustRightInd w:val="0"/>
                    <w:snapToGrid w:val="0"/>
                    <w:rPr>
                      <w:rFonts w:ascii="宋体" w:hAnsi="宋体"/>
                      <w:szCs w:val="18"/>
                    </w:rPr>
                  </w:pPr>
                  <w:r>
                    <w:rPr>
                      <w:rFonts w:hint="eastAsia" w:ascii="宋体" w:hAnsi="宋体"/>
                      <w:szCs w:val="18"/>
                    </w:rPr>
                    <w:t>氯化氢</w:t>
                  </w:r>
                </w:p>
              </w:tc>
              <w:tc>
                <w:tcPr>
                  <w:tcW w:w="468" w:type="pct"/>
                  <w:vAlign w:val="center"/>
                </w:tcPr>
                <w:p>
                  <w:pPr>
                    <w:pStyle w:val="136"/>
                    <w:adjustRightInd w:val="0"/>
                    <w:snapToGrid w:val="0"/>
                    <w:rPr>
                      <w:szCs w:val="18"/>
                    </w:rPr>
                  </w:pPr>
                  <w:r>
                    <w:rPr>
                      <w:szCs w:val="18"/>
                    </w:rPr>
                    <w:t>4.537</w:t>
                  </w:r>
                </w:p>
              </w:tc>
              <w:tc>
                <w:tcPr>
                  <w:tcW w:w="464" w:type="pct"/>
                  <w:vMerge w:val="continue"/>
                  <w:vAlign w:val="center"/>
                </w:tcPr>
                <w:p>
                  <w:pPr>
                    <w:pStyle w:val="136"/>
                    <w:adjustRightInd w:val="0"/>
                    <w:snapToGrid w:val="0"/>
                    <w:rPr>
                      <w:szCs w:val="18"/>
                    </w:rPr>
                  </w:pPr>
                </w:p>
              </w:tc>
              <w:tc>
                <w:tcPr>
                  <w:tcW w:w="712" w:type="pct"/>
                  <w:vMerge w:val="continue"/>
                  <w:vAlign w:val="center"/>
                </w:tcPr>
                <w:p>
                  <w:pPr>
                    <w:pStyle w:val="136"/>
                    <w:adjustRightInd w:val="0"/>
                    <w:snapToGrid w:val="0"/>
                    <w:rPr>
                      <w:rFonts w:ascii="宋体" w:hAnsi="宋体"/>
                      <w:szCs w:val="18"/>
                    </w:rPr>
                  </w:pPr>
                </w:p>
              </w:tc>
              <w:tc>
                <w:tcPr>
                  <w:tcW w:w="464" w:type="pct"/>
                  <w:vAlign w:val="center"/>
                </w:tcPr>
                <w:p>
                  <w:pPr>
                    <w:pStyle w:val="136"/>
                    <w:adjustRightInd w:val="0"/>
                    <w:snapToGrid w:val="0"/>
                    <w:rPr>
                      <w:szCs w:val="18"/>
                    </w:rPr>
                  </w:pPr>
                  <w:r>
                    <w:rPr>
                      <w:szCs w:val="18"/>
                    </w:rPr>
                    <w:t>90%</w:t>
                  </w:r>
                </w:p>
              </w:tc>
              <w:tc>
                <w:tcPr>
                  <w:tcW w:w="465" w:type="pct"/>
                  <w:vMerge w:val="continue"/>
                  <w:vAlign w:val="center"/>
                </w:tcPr>
                <w:p>
                  <w:pPr>
                    <w:pStyle w:val="136"/>
                    <w:adjustRightInd w:val="0"/>
                    <w:snapToGrid w:val="0"/>
                    <w:rPr>
                      <w:szCs w:val="18"/>
                    </w:rPr>
                  </w:pPr>
                </w:p>
              </w:tc>
              <w:tc>
                <w:tcPr>
                  <w:tcW w:w="535" w:type="pct"/>
                  <w:vAlign w:val="center"/>
                </w:tcPr>
                <w:p>
                  <w:pPr>
                    <w:pStyle w:val="136"/>
                    <w:adjustRightInd w:val="0"/>
                    <w:snapToGrid w:val="0"/>
                    <w:rPr>
                      <w:szCs w:val="18"/>
                    </w:rPr>
                  </w:pPr>
                  <w:r>
                    <w:rPr>
                      <w:szCs w:val="18"/>
                    </w:rPr>
                    <w:t>0.07</w:t>
                  </w:r>
                </w:p>
              </w:tc>
              <w:tc>
                <w:tcPr>
                  <w:tcW w:w="486" w:type="pct"/>
                  <w:vAlign w:val="center"/>
                </w:tcPr>
                <w:p>
                  <w:pPr>
                    <w:pStyle w:val="136"/>
                    <w:adjustRightInd w:val="0"/>
                    <w:snapToGrid w:val="0"/>
                    <w:rPr>
                      <w:szCs w:val="18"/>
                    </w:rPr>
                  </w:pPr>
                  <w:r>
                    <w:rPr>
                      <w:szCs w:val="18"/>
                    </w:rPr>
                    <w:t>0.0008</w:t>
                  </w:r>
                </w:p>
              </w:tc>
              <w:tc>
                <w:tcPr>
                  <w:tcW w:w="468" w:type="pct"/>
                  <w:vAlign w:val="center"/>
                </w:tcPr>
                <w:p>
                  <w:pPr>
                    <w:pStyle w:val="136"/>
                    <w:adjustRightInd w:val="0"/>
                    <w:snapToGrid w:val="0"/>
                    <w:rPr>
                      <w:szCs w:val="18"/>
                    </w:rPr>
                  </w:pPr>
                  <w:r>
                    <w:rPr>
                      <w:szCs w:val="18"/>
                    </w:rPr>
                    <w:t>0.408</w:t>
                  </w:r>
                </w:p>
              </w:tc>
            </w:tr>
          </w:tbl>
          <w:p>
            <w:pPr>
              <w:ind w:firstLine="480"/>
            </w:pPr>
            <w:r>
              <w:rPr>
                <w:rFonts w:hint="eastAsia"/>
              </w:rPr>
              <w:t>综上分析，本项目实验室废气经收集处理后，有机废气（VOCs、丙酮、正己烷）排放浓度及排放速率满足</w:t>
            </w:r>
            <w:r>
              <w:rPr>
                <w:bCs/>
              </w:rPr>
              <w:t>《四川省固定污染源大气挥发性有机物排放标准》（DB51/2377-2017）</w:t>
            </w:r>
            <w:r>
              <w:rPr>
                <w:rFonts w:hint="eastAsia"/>
                <w:bCs/>
              </w:rPr>
              <w:t>表3、表</w:t>
            </w:r>
            <w:r>
              <w:rPr>
                <w:bCs/>
              </w:rPr>
              <w:t>4</w:t>
            </w:r>
            <w:r>
              <w:rPr>
                <w:rFonts w:hint="eastAsia"/>
                <w:bCs/>
              </w:rPr>
              <w:t>相应标准限值要求，氯化氢、硫酸雾排放浓度及排放速率满足《大气污染物综合排放标准》（GB16297-1996）二级标准限值要求。</w:t>
            </w:r>
          </w:p>
          <w:p>
            <w:pPr>
              <w:ind w:firstLine="482"/>
              <w:rPr>
                <w:b/>
                <w:bCs/>
              </w:rPr>
            </w:pPr>
            <w:r>
              <w:rPr>
                <w:b/>
                <w:bCs/>
              </w:rPr>
              <w:t>3</w:t>
            </w:r>
            <w:r>
              <w:rPr>
                <w:rFonts w:hint="eastAsia"/>
                <w:b/>
                <w:bCs/>
              </w:rPr>
              <w:t>、废气处理可行性分析</w:t>
            </w:r>
          </w:p>
          <w:p>
            <w:pPr>
              <w:ind w:firstLine="480"/>
            </w:pPr>
            <w:r>
              <w:rPr>
                <w:rFonts w:hint="eastAsia"/>
              </w:rPr>
              <w:t>本项目采用“双层活性炭纤维+碱液喷淋塔”处理实验室产生的废气。</w:t>
            </w:r>
          </w:p>
          <w:p>
            <w:pPr>
              <w:ind w:firstLine="480"/>
            </w:pPr>
            <w:r>
              <w:rPr>
                <w:rFonts w:hint="eastAsia"/>
              </w:rPr>
              <w:t>（1）有机废气处理措施可行性分析</w:t>
            </w:r>
          </w:p>
          <w:p>
            <w:pPr>
              <w:ind w:firstLine="480"/>
            </w:pPr>
            <w:r>
              <w:rPr>
                <w:rFonts w:hint="eastAsia"/>
              </w:rPr>
              <w:t>活性炭</w:t>
            </w:r>
            <w:r>
              <w:t>纤维具有大</w:t>
            </w:r>
            <w:r>
              <w:rPr>
                <w:rFonts w:hint="eastAsia"/>
                <w:lang w:eastAsia="zh-CN"/>
              </w:rPr>
              <w:t>（</w:t>
            </w:r>
            <w:r>
              <w:t>1000～3000m</w:t>
            </w:r>
            <w:r>
              <w:rPr>
                <w:vertAlign w:val="superscript"/>
              </w:rPr>
              <w:t>2</w:t>
            </w:r>
            <w:r>
              <w:t>/g</w:t>
            </w:r>
            <w:r>
              <w:rPr>
                <w:rFonts w:hint="eastAsia"/>
              </w:rPr>
              <w:t>）</w:t>
            </w:r>
            <w:r>
              <w:t>和丰富的微孔，微孔体积占总孔体积90%以上。</w:t>
            </w:r>
            <w:r>
              <w:rPr>
                <w:rFonts w:hint="eastAsia"/>
              </w:rPr>
              <w:t>活性炭</w:t>
            </w:r>
            <w:r>
              <w:t>纤维具有比</w:t>
            </w:r>
            <w:r>
              <w:rPr>
                <w:rFonts w:hint="eastAsia"/>
              </w:rPr>
              <w:t>粒状活性炭</w:t>
            </w:r>
            <w:r>
              <w:t>更大的吸附容量和更快的</w:t>
            </w:r>
            <w:r>
              <w:fldChar w:fldCharType="begin"/>
            </w:r>
            <w:r>
              <w:instrText xml:space="preserve"> HYPERLINK "https://baike.baidu.com/item/%E5%90%B8%E9%99%84%E5%8A%A8%E5%8A%9B%E5%AD%A6/5695396?fromModule=lemma_inlink" \t "_blank" </w:instrText>
            </w:r>
            <w:r>
              <w:fldChar w:fldCharType="separate"/>
            </w:r>
            <w:r>
              <w:rPr>
                <w:rStyle w:val="42"/>
              </w:rPr>
              <w:t>吸附动力学</w:t>
            </w:r>
            <w:r>
              <w:rPr>
                <w:rStyle w:val="42"/>
              </w:rPr>
              <w:fldChar w:fldCharType="end"/>
            </w:r>
            <w:r>
              <w:t>性能，在液相、气相中对有机物和阴、阳离子吸附效率高，吸、脱附速度快，可再生循环使用，同时耐酸、碱，耐高温，适应性强，导电性和化学稳定性好，是一种比较理想的环保材料。</w:t>
            </w:r>
            <w:r>
              <w:rPr>
                <w:rFonts w:hint="eastAsia"/>
              </w:rPr>
              <w:t>在处理气态混合物时，气体的某一些组分或某些组分可被吸引到固体表面并聚集其上，从而达到去除污染物的目的。可处理有机溶剂种类包括苯类、酮类、酯类、醛类、醚类、烷类及其混合类。本项目有机废气含丙酮、正己烷，且具有低浓度、大风量的特点，选用活性炭吸附装置符合《挥发性有机物（</w:t>
            </w:r>
            <w:r>
              <w:t>VOCs</w:t>
            </w:r>
            <w:r>
              <w:rPr>
                <w:rFonts w:hint="eastAsia"/>
              </w:rPr>
              <w:t>）污染防治技术政策》要求，措施可行。</w:t>
            </w:r>
          </w:p>
          <w:p>
            <w:pPr>
              <w:ind w:firstLine="480"/>
            </w:pPr>
            <w:r>
              <w:rPr>
                <w:rFonts w:hint="eastAsia"/>
              </w:rPr>
              <w:t>（2）酸性废气处理措施可行性分析</w:t>
            </w:r>
          </w:p>
          <w:p>
            <w:pPr>
              <w:ind w:firstLine="480"/>
            </w:pPr>
            <w:r>
              <w:rPr>
                <w:rFonts w:hint="eastAsia"/>
              </w:rPr>
              <w:t>参考《排污许可证申请与核发技术规范 电镀工业》（</w:t>
            </w:r>
            <w:r>
              <w:t>HJ855-2017</w:t>
            </w:r>
            <w:r>
              <w:rPr>
                <w:rFonts w:hint="eastAsia"/>
              </w:rPr>
              <w:t>）表</w:t>
            </w:r>
            <w:r>
              <w:t>2</w:t>
            </w:r>
            <w:r>
              <w:rPr>
                <w:rFonts w:hint="eastAsia"/>
              </w:rPr>
              <w:t>中电镀生产线的硫酸雾、氯化氢污染治理设施可行技术可知，在酸性废气处理中，推荐的可行性技术为碱液喷淋技术。本项目碱液喷淋塔采用1</w:t>
            </w:r>
            <w:r>
              <w:t>0</w:t>
            </w:r>
            <w:r>
              <w:rPr>
                <w:rFonts w:hint="eastAsia"/>
              </w:rPr>
              <w:t>%的NaOH溶液作为吸收液，可有效去除废气中的氯化氢和硫酸雾，技术可行。</w:t>
            </w:r>
          </w:p>
          <w:p>
            <w:pPr>
              <w:ind w:firstLine="482"/>
              <w:rPr>
                <w:b/>
              </w:rPr>
            </w:pPr>
            <w:r>
              <w:rPr>
                <w:b/>
              </w:rPr>
              <w:t>4</w:t>
            </w:r>
            <w:r>
              <w:rPr>
                <w:rFonts w:hint="eastAsia"/>
                <w:b/>
              </w:rPr>
              <w:t>、废气非正常排放情况</w:t>
            </w:r>
          </w:p>
          <w:p>
            <w:pPr>
              <w:ind w:firstLine="480"/>
            </w:pPr>
            <w:r>
              <w:t>根据工程分析，本项目最有可能发生废气非正常排放的有以下情形：</w:t>
            </w:r>
          </w:p>
          <w:p>
            <w:pPr>
              <w:ind w:firstLine="480"/>
            </w:pPr>
            <w:r>
              <w:t>（1）活性炭吸附处理装置故障</w:t>
            </w:r>
          </w:p>
          <w:p>
            <w:pPr>
              <w:ind w:firstLine="480"/>
            </w:pPr>
            <w:r>
              <w:t>项目有机废气主要靠活性炭吸附工艺去除污染物，如因没有及时更换活性炭，导致有机废气未经活性炭充分吸附（考虑故障状态下活性炭对有机废气的吸附效率降低至30%）就排入环境中，造成有机废气的事故性排放。</w:t>
            </w:r>
          </w:p>
          <w:p>
            <w:pPr>
              <w:ind w:firstLine="480"/>
            </w:pPr>
            <w:r>
              <w:t>因活性炭更换非常方便，更换时间一般在30分钟以内，最长不超过1个小时，此种情况一年最多1~2次。根据工程分析可知，本项目VOCs产生浓度</w:t>
            </w:r>
            <w:r>
              <w:rPr>
                <w:rFonts w:hint="eastAsia"/>
              </w:rPr>
              <w:t>较低</w:t>
            </w:r>
            <w:r>
              <w:t>，而且未更换的活性炭依然有部分处理能力，因此活性炭吸附处理装置的短时间故障不会导致有机废气对外环境造成很大的影响。</w:t>
            </w:r>
          </w:p>
          <w:p>
            <w:pPr>
              <w:ind w:firstLine="480"/>
            </w:pPr>
            <w:r>
              <w:rPr>
                <w:rFonts w:hint="eastAsia"/>
              </w:rPr>
              <w:t>为保证吸附装置的可靠性，环评要求，项目采用碘值不低于8</w:t>
            </w:r>
            <w:r>
              <w:t>00</w:t>
            </w:r>
            <w:r>
              <w:rPr>
                <w:rFonts w:hint="eastAsia"/>
              </w:rPr>
              <w:t>mg</w:t>
            </w:r>
            <w:r>
              <w:t>/</w:t>
            </w:r>
            <w:r>
              <w:rPr>
                <w:rFonts w:hint="eastAsia"/>
              </w:rPr>
              <w:t>g活性炭纤维作为吸附材料，活性炭装填量不低于2</w:t>
            </w:r>
            <w:r>
              <w:t>00</w:t>
            </w:r>
            <w:r>
              <w:rPr>
                <w:rFonts w:hint="eastAsia"/>
              </w:rPr>
              <w:t>kg，更换周期不超过6个月。</w:t>
            </w:r>
          </w:p>
          <w:p>
            <w:pPr>
              <w:ind w:firstLine="480"/>
            </w:pPr>
            <w:r>
              <w:t>（2）碱液喷淋塔故障</w:t>
            </w:r>
          </w:p>
          <w:p>
            <w:pPr>
              <w:ind w:firstLine="480"/>
              <w:rPr>
                <w:lang w:val="de-DE"/>
              </w:rPr>
            </w:pPr>
            <w:r>
              <w:rPr>
                <w:lang w:val="de-DE"/>
              </w:rPr>
              <w:t>碱液喷淋塔在去除酸性废气的过程中，可能存在碱投入较少，碱液对</w:t>
            </w:r>
            <w:r>
              <w:rPr>
                <w:rFonts w:hint="eastAsia"/>
                <w:lang w:val="de-DE"/>
              </w:rPr>
              <w:t>硫酸雾</w:t>
            </w:r>
            <w:r>
              <w:rPr>
                <w:lang w:val="de-DE"/>
              </w:rPr>
              <w:t>、氯化氢吸附效率降低。此时，需要向循环水池投入氢氧化钠，投入以及溶解时间一般在20分钟左右即可恢复正常，最长不超过30分钟。此时，碱液对氯化氢、</w:t>
            </w:r>
            <w:r>
              <w:rPr>
                <w:rFonts w:hint="eastAsia"/>
                <w:lang w:val="de-DE"/>
              </w:rPr>
              <w:t>硫化氢</w:t>
            </w:r>
            <w:r>
              <w:rPr>
                <w:lang w:val="de-DE"/>
              </w:rPr>
              <w:t>的吸附效率会降低，但仍有50%的处理效率。</w:t>
            </w:r>
          </w:p>
          <w:p>
            <w:pPr>
              <w:pStyle w:val="157"/>
              <w:keepNext/>
              <w:rPr>
                <w:lang w:val="de-DE"/>
              </w:rPr>
            </w:pPr>
            <w:r>
              <w:rPr>
                <w:lang w:val="de-DE"/>
              </w:rPr>
              <w:t>表4.2-4  废气非正常排放参数</w:t>
            </w:r>
          </w:p>
          <w:tbl>
            <w:tblPr>
              <w:tblStyle w:val="19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843"/>
              <w:gridCol w:w="1346"/>
              <w:gridCol w:w="2186"/>
              <w:gridCol w:w="1510"/>
              <w:gridCol w:w="12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79" w:hRule="atLeast"/>
              </w:trPr>
              <w:tc>
                <w:tcPr>
                  <w:tcW w:w="1130" w:type="pct"/>
                  <w:vAlign w:val="center"/>
                </w:tcPr>
                <w:p>
                  <w:pPr>
                    <w:pStyle w:val="136"/>
                    <w:adjustRightInd w:val="0"/>
                    <w:snapToGrid w:val="0"/>
                    <w:rPr>
                      <w:b/>
                      <w:bCs/>
                      <w:lang w:val="de-DE"/>
                    </w:rPr>
                  </w:pPr>
                  <w:r>
                    <w:rPr>
                      <w:b/>
                      <w:bCs/>
                    </w:rPr>
                    <w:t>非正常排放原因</w:t>
                  </w:r>
                </w:p>
              </w:tc>
              <w:tc>
                <w:tcPr>
                  <w:tcW w:w="825" w:type="pct"/>
                  <w:vAlign w:val="center"/>
                </w:tcPr>
                <w:p>
                  <w:pPr>
                    <w:pStyle w:val="136"/>
                    <w:adjustRightInd w:val="0"/>
                    <w:snapToGrid w:val="0"/>
                    <w:rPr>
                      <w:b/>
                      <w:bCs/>
                      <w:lang w:val="de-DE"/>
                    </w:rPr>
                  </w:pPr>
                  <w:r>
                    <w:rPr>
                      <w:b/>
                      <w:bCs/>
                    </w:rPr>
                    <w:t>污染物</w:t>
                  </w:r>
                </w:p>
              </w:tc>
              <w:tc>
                <w:tcPr>
                  <w:tcW w:w="1340" w:type="pct"/>
                  <w:vAlign w:val="center"/>
                </w:tcPr>
                <w:p>
                  <w:pPr>
                    <w:pStyle w:val="136"/>
                    <w:adjustRightInd w:val="0"/>
                    <w:snapToGrid w:val="0"/>
                    <w:rPr>
                      <w:b/>
                      <w:bCs/>
                      <w:lang w:val="de-DE"/>
                    </w:rPr>
                  </w:pPr>
                  <w:r>
                    <w:rPr>
                      <w:b/>
                      <w:bCs/>
                    </w:rPr>
                    <w:t>非正常排放速率</w:t>
                  </w:r>
                  <w:r>
                    <w:rPr>
                      <w:b/>
                      <w:bCs/>
                      <w:lang w:val="de-DE"/>
                    </w:rPr>
                    <w:t>/（kg/h）</w:t>
                  </w:r>
                </w:p>
              </w:tc>
              <w:tc>
                <w:tcPr>
                  <w:tcW w:w="926" w:type="pct"/>
                  <w:vAlign w:val="center"/>
                </w:tcPr>
                <w:p>
                  <w:pPr>
                    <w:pStyle w:val="136"/>
                    <w:adjustRightInd w:val="0"/>
                    <w:snapToGrid w:val="0"/>
                    <w:rPr>
                      <w:b/>
                      <w:bCs/>
                    </w:rPr>
                  </w:pPr>
                  <w:r>
                    <w:rPr>
                      <w:b/>
                      <w:bCs/>
                    </w:rPr>
                    <w:t>单次持续时间/h</w:t>
                  </w:r>
                </w:p>
              </w:tc>
              <w:tc>
                <w:tcPr>
                  <w:tcW w:w="780" w:type="pct"/>
                  <w:vAlign w:val="center"/>
                </w:tcPr>
                <w:p>
                  <w:pPr>
                    <w:pStyle w:val="136"/>
                    <w:adjustRightInd w:val="0"/>
                    <w:snapToGrid w:val="0"/>
                    <w:rPr>
                      <w:b/>
                      <w:bCs/>
                    </w:rPr>
                  </w:pPr>
                  <w:r>
                    <w:rPr>
                      <w:b/>
                      <w:bCs/>
                    </w:rPr>
                    <w:t>年发生频次/次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130" w:type="pct"/>
                  <w:vMerge w:val="restart"/>
                  <w:vAlign w:val="center"/>
                </w:tcPr>
                <w:p>
                  <w:pPr>
                    <w:pStyle w:val="136"/>
                    <w:adjustRightInd w:val="0"/>
                    <w:snapToGrid w:val="0"/>
                  </w:pPr>
                  <w:r>
                    <w:t>碱液喷淋塔故障</w:t>
                  </w:r>
                  <w:r>
                    <w:rPr>
                      <w:rFonts w:hint="eastAsia"/>
                    </w:rPr>
                    <w:t>、活性炭吸附装置故障</w:t>
                  </w:r>
                </w:p>
              </w:tc>
              <w:tc>
                <w:tcPr>
                  <w:tcW w:w="825" w:type="pct"/>
                  <w:vAlign w:val="center"/>
                </w:tcPr>
                <w:p>
                  <w:pPr>
                    <w:pStyle w:val="136"/>
                    <w:adjustRightInd w:val="0"/>
                    <w:snapToGrid w:val="0"/>
                  </w:pPr>
                  <w:r>
                    <w:rPr>
                      <w:rFonts w:hint="eastAsia"/>
                    </w:rPr>
                    <w:t>VOCs</w:t>
                  </w:r>
                </w:p>
              </w:tc>
              <w:tc>
                <w:tcPr>
                  <w:tcW w:w="1340" w:type="pct"/>
                  <w:vAlign w:val="center"/>
                </w:tcPr>
                <w:p>
                  <w:pPr>
                    <w:pStyle w:val="136"/>
                    <w:adjustRightInd w:val="0"/>
                    <w:snapToGrid w:val="0"/>
                  </w:pPr>
                  <w:r>
                    <w:rPr>
                      <w:rFonts w:hint="eastAsia"/>
                    </w:rPr>
                    <w:t>0</w:t>
                  </w:r>
                  <w:r>
                    <w:t>.0042</w:t>
                  </w:r>
                </w:p>
              </w:tc>
              <w:tc>
                <w:tcPr>
                  <w:tcW w:w="926" w:type="pct"/>
                  <w:vMerge w:val="restart"/>
                  <w:vAlign w:val="center"/>
                </w:tcPr>
                <w:p>
                  <w:pPr>
                    <w:pStyle w:val="136"/>
                    <w:adjustRightInd w:val="0"/>
                    <w:snapToGrid w:val="0"/>
                  </w:pPr>
                  <w:r>
                    <w:t>0.5</w:t>
                  </w:r>
                </w:p>
              </w:tc>
              <w:tc>
                <w:tcPr>
                  <w:tcW w:w="780" w:type="pct"/>
                  <w:vMerge w:val="restart"/>
                  <w:vAlign w:val="center"/>
                </w:tcPr>
                <w:p>
                  <w:pPr>
                    <w:pStyle w:val="136"/>
                    <w:adjustRightInd w:val="0"/>
                    <w:snapToGrid w:val="0"/>
                  </w:pPr>
                  <w: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130" w:type="pct"/>
                  <w:vMerge w:val="continue"/>
                  <w:vAlign w:val="center"/>
                </w:tcPr>
                <w:p>
                  <w:pPr>
                    <w:pStyle w:val="136"/>
                    <w:adjustRightInd w:val="0"/>
                    <w:snapToGrid w:val="0"/>
                  </w:pPr>
                </w:p>
              </w:tc>
              <w:tc>
                <w:tcPr>
                  <w:tcW w:w="825" w:type="pct"/>
                  <w:vAlign w:val="center"/>
                </w:tcPr>
                <w:p>
                  <w:pPr>
                    <w:pStyle w:val="136"/>
                    <w:adjustRightInd w:val="0"/>
                    <w:snapToGrid w:val="0"/>
                  </w:pPr>
                  <w:r>
                    <w:rPr>
                      <w:rFonts w:hint="eastAsia"/>
                    </w:rPr>
                    <w:t>丙酮</w:t>
                  </w:r>
                </w:p>
              </w:tc>
              <w:tc>
                <w:tcPr>
                  <w:tcW w:w="1340" w:type="pct"/>
                  <w:vAlign w:val="center"/>
                </w:tcPr>
                <w:p>
                  <w:pPr>
                    <w:pStyle w:val="136"/>
                    <w:adjustRightInd w:val="0"/>
                    <w:snapToGrid w:val="0"/>
                  </w:pPr>
                  <w:r>
                    <w:rPr>
                      <w:rFonts w:hint="eastAsia"/>
                    </w:rPr>
                    <w:t>0</w:t>
                  </w:r>
                  <w:r>
                    <w:t>.0015</w:t>
                  </w:r>
                </w:p>
              </w:tc>
              <w:tc>
                <w:tcPr>
                  <w:tcW w:w="926" w:type="pct"/>
                  <w:vMerge w:val="continue"/>
                  <w:vAlign w:val="center"/>
                </w:tcPr>
                <w:p>
                  <w:pPr>
                    <w:pStyle w:val="136"/>
                    <w:adjustRightInd w:val="0"/>
                    <w:snapToGrid w:val="0"/>
                  </w:pPr>
                </w:p>
              </w:tc>
              <w:tc>
                <w:tcPr>
                  <w:tcW w:w="780" w:type="pct"/>
                  <w:vMerge w:val="continue"/>
                  <w:vAlign w:val="center"/>
                </w:tcPr>
                <w:p>
                  <w:pPr>
                    <w:pStyle w:val="136"/>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130" w:type="pct"/>
                  <w:vMerge w:val="continue"/>
                  <w:vAlign w:val="center"/>
                </w:tcPr>
                <w:p>
                  <w:pPr>
                    <w:pStyle w:val="136"/>
                    <w:adjustRightInd w:val="0"/>
                    <w:snapToGrid w:val="0"/>
                  </w:pPr>
                </w:p>
              </w:tc>
              <w:tc>
                <w:tcPr>
                  <w:tcW w:w="825" w:type="pct"/>
                  <w:vAlign w:val="center"/>
                </w:tcPr>
                <w:p>
                  <w:pPr>
                    <w:pStyle w:val="136"/>
                    <w:adjustRightInd w:val="0"/>
                    <w:snapToGrid w:val="0"/>
                  </w:pPr>
                  <w:r>
                    <w:rPr>
                      <w:rFonts w:hint="eastAsia"/>
                    </w:rPr>
                    <w:t>正己烷</w:t>
                  </w:r>
                </w:p>
              </w:tc>
              <w:tc>
                <w:tcPr>
                  <w:tcW w:w="1340" w:type="pct"/>
                  <w:vAlign w:val="center"/>
                </w:tcPr>
                <w:p>
                  <w:pPr>
                    <w:pStyle w:val="136"/>
                    <w:adjustRightInd w:val="0"/>
                    <w:snapToGrid w:val="0"/>
                  </w:pPr>
                  <w:r>
                    <w:rPr>
                      <w:rFonts w:hint="eastAsia"/>
                    </w:rPr>
                    <w:t>0</w:t>
                  </w:r>
                  <w:r>
                    <w:t>.0051</w:t>
                  </w:r>
                </w:p>
              </w:tc>
              <w:tc>
                <w:tcPr>
                  <w:tcW w:w="926" w:type="pct"/>
                  <w:vMerge w:val="continue"/>
                  <w:vAlign w:val="center"/>
                </w:tcPr>
                <w:p>
                  <w:pPr>
                    <w:pStyle w:val="136"/>
                    <w:adjustRightInd w:val="0"/>
                    <w:snapToGrid w:val="0"/>
                  </w:pPr>
                </w:p>
              </w:tc>
              <w:tc>
                <w:tcPr>
                  <w:tcW w:w="780" w:type="pct"/>
                  <w:vMerge w:val="continue"/>
                  <w:vAlign w:val="center"/>
                </w:tcPr>
                <w:p>
                  <w:pPr>
                    <w:pStyle w:val="136"/>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130" w:type="pct"/>
                  <w:vMerge w:val="continue"/>
                  <w:vAlign w:val="center"/>
                </w:tcPr>
                <w:p>
                  <w:pPr>
                    <w:pStyle w:val="136"/>
                    <w:adjustRightInd w:val="0"/>
                    <w:snapToGrid w:val="0"/>
                  </w:pPr>
                </w:p>
              </w:tc>
              <w:tc>
                <w:tcPr>
                  <w:tcW w:w="825" w:type="pct"/>
                  <w:vAlign w:val="center"/>
                </w:tcPr>
                <w:p>
                  <w:pPr>
                    <w:pStyle w:val="136"/>
                    <w:adjustRightInd w:val="0"/>
                    <w:snapToGrid w:val="0"/>
                  </w:pPr>
                  <w:r>
                    <w:rPr>
                      <w:rFonts w:hint="eastAsia"/>
                    </w:rPr>
                    <w:t>氯化氢</w:t>
                  </w:r>
                </w:p>
              </w:tc>
              <w:tc>
                <w:tcPr>
                  <w:tcW w:w="1340" w:type="pct"/>
                  <w:vAlign w:val="center"/>
                </w:tcPr>
                <w:p>
                  <w:pPr>
                    <w:pStyle w:val="136"/>
                    <w:adjustRightInd w:val="0"/>
                    <w:snapToGrid w:val="0"/>
                  </w:pPr>
                  <w:r>
                    <w:rPr>
                      <w:rFonts w:hint="eastAsia"/>
                    </w:rPr>
                    <w:t>0</w:t>
                  </w:r>
                  <w:r>
                    <w:t>.0032</w:t>
                  </w:r>
                </w:p>
              </w:tc>
              <w:tc>
                <w:tcPr>
                  <w:tcW w:w="926" w:type="pct"/>
                  <w:vMerge w:val="continue"/>
                  <w:vAlign w:val="center"/>
                </w:tcPr>
                <w:p>
                  <w:pPr>
                    <w:pStyle w:val="136"/>
                    <w:adjustRightInd w:val="0"/>
                    <w:snapToGrid w:val="0"/>
                  </w:pPr>
                </w:p>
              </w:tc>
              <w:tc>
                <w:tcPr>
                  <w:tcW w:w="780" w:type="pct"/>
                  <w:vMerge w:val="continue"/>
                  <w:vAlign w:val="center"/>
                </w:tcPr>
                <w:p>
                  <w:pPr>
                    <w:pStyle w:val="136"/>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130" w:type="pct"/>
                  <w:vMerge w:val="continue"/>
                  <w:vAlign w:val="center"/>
                </w:tcPr>
                <w:p>
                  <w:pPr>
                    <w:pStyle w:val="136"/>
                    <w:adjustRightInd w:val="0"/>
                    <w:snapToGrid w:val="0"/>
                  </w:pPr>
                </w:p>
              </w:tc>
              <w:tc>
                <w:tcPr>
                  <w:tcW w:w="825" w:type="pct"/>
                  <w:vAlign w:val="center"/>
                </w:tcPr>
                <w:p>
                  <w:pPr>
                    <w:pStyle w:val="136"/>
                    <w:adjustRightInd w:val="0"/>
                    <w:snapToGrid w:val="0"/>
                  </w:pPr>
                  <w:r>
                    <w:rPr>
                      <w:rFonts w:hint="eastAsia"/>
                    </w:rPr>
                    <w:t>硫酸雾</w:t>
                  </w:r>
                </w:p>
              </w:tc>
              <w:tc>
                <w:tcPr>
                  <w:tcW w:w="1340" w:type="pct"/>
                  <w:vAlign w:val="center"/>
                </w:tcPr>
                <w:p>
                  <w:pPr>
                    <w:pStyle w:val="136"/>
                    <w:adjustRightInd w:val="0"/>
                    <w:snapToGrid w:val="0"/>
                  </w:pPr>
                  <w:r>
                    <w:rPr>
                      <w:rFonts w:hint="eastAsia"/>
                    </w:rPr>
                    <w:t>0</w:t>
                  </w:r>
                  <w:r>
                    <w:t>.0016</w:t>
                  </w:r>
                </w:p>
              </w:tc>
              <w:tc>
                <w:tcPr>
                  <w:tcW w:w="926" w:type="pct"/>
                  <w:vMerge w:val="continue"/>
                  <w:vAlign w:val="center"/>
                </w:tcPr>
                <w:p>
                  <w:pPr>
                    <w:pStyle w:val="136"/>
                    <w:adjustRightInd w:val="0"/>
                    <w:snapToGrid w:val="0"/>
                  </w:pPr>
                </w:p>
              </w:tc>
              <w:tc>
                <w:tcPr>
                  <w:tcW w:w="780" w:type="pct"/>
                  <w:vMerge w:val="continue"/>
                  <w:vAlign w:val="center"/>
                </w:tcPr>
                <w:p>
                  <w:pPr>
                    <w:pStyle w:val="136"/>
                    <w:adjustRightInd w:val="0"/>
                    <w:snapToGrid w:val="0"/>
                  </w:pPr>
                </w:p>
              </w:tc>
            </w:tr>
          </w:tbl>
          <w:p>
            <w:pPr>
              <w:ind w:firstLine="482"/>
              <w:rPr>
                <w:b/>
              </w:rPr>
            </w:pPr>
            <w:r>
              <w:rPr>
                <w:b/>
              </w:rPr>
              <w:t>5</w:t>
            </w:r>
            <w:r>
              <w:rPr>
                <w:rFonts w:hint="eastAsia"/>
                <w:b/>
              </w:rPr>
              <w:t>、废气排放口设置情况</w:t>
            </w:r>
          </w:p>
          <w:p>
            <w:pPr>
              <w:ind w:firstLine="480"/>
            </w:pPr>
            <w:r>
              <w:rPr>
                <w:rFonts w:hint="eastAsia"/>
              </w:rPr>
              <w:t>本项目于楼顶设置2套废气处理措施，废气经处理后分别通过2个排气筒排放，排气筒参数如下：</w:t>
            </w:r>
          </w:p>
          <w:p>
            <w:pPr>
              <w:pStyle w:val="157"/>
            </w:pPr>
            <w:r>
              <w:rPr>
                <w:rFonts w:hint="eastAsia"/>
              </w:rPr>
              <w:t>表4</w:t>
            </w:r>
            <w:r>
              <w:t xml:space="preserve">.2-5  </w:t>
            </w:r>
            <w:r>
              <w:rPr>
                <w:rFonts w:hint="eastAsia"/>
              </w:rPr>
              <w:t>废气排放口设置情况一览表</w:t>
            </w:r>
          </w:p>
          <w:tbl>
            <w:tblPr>
              <w:tblStyle w:val="19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88"/>
              <w:gridCol w:w="1388"/>
              <w:gridCol w:w="909"/>
              <w:gridCol w:w="1215"/>
              <w:gridCol w:w="1194"/>
              <w:gridCol w:w="20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51" w:type="pct"/>
                  <w:vAlign w:val="center"/>
                </w:tcPr>
                <w:p>
                  <w:pPr>
                    <w:pStyle w:val="136"/>
                    <w:adjustRightInd w:val="0"/>
                    <w:snapToGrid w:val="0"/>
                    <w:rPr>
                      <w:b/>
                      <w:bCs/>
                    </w:rPr>
                  </w:pPr>
                  <w:r>
                    <w:rPr>
                      <w:rFonts w:hint="eastAsia"/>
                      <w:b/>
                      <w:bCs/>
                    </w:rPr>
                    <w:t>排放口编号</w:t>
                  </w:r>
                </w:p>
              </w:tc>
              <w:tc>
                <w:tcPr>
                  <w:tcW w:w="851" w:type="pct"/>
                  <w:vAlign w:val="center"/>
                </w:tcPr>
                <w:p>
                  <w:pPr>
                    <w:pStyle w:val="136"/>
                    <w:adjustRightInd w:val="0"/>
                    <w:snapToGrid w:val="0"/>
                    <w:rPr>
                      <w:b/>
                      <w:bCs/>
                    </w:rPr>
                  </w:pPr>
                  <w:r>
                    <w:rPr>
                      <w:rFonts w:hint="eastAsia"/>
                      <w:b/>
                      <w:bCs/>
                    </w:rPr>
                    <w:t>排放口类型</w:t>
                  </w:r>
                </w:p>
              </w:tc>
              <w:tc>
                <w:tcPr>
                  <w:tcW w:w="557" w:type="pct"/>
                  <w:vAlign w:val="center"/>
                </w:tcPr>
                <w:p>
                  <w:pPr>
                    <w:pStyle w:val="136"/>
                    <w:adjustRightInd w:val="0"/>
                    <w:snapToGrid w:val="0"/>
                    <w:rPr>
                      <w:b/>
                      <w:bCs/>
                    </w:rPr>
                  </w:pPr>
                  <w:r>
                    <w:rPr>
                      <w:rFonts w:hint="eastAsia"/>
                      <w:b/>
                      <w:bCs/>
                    </w:rPr>
                    <w:t>高度（m）</w:t>
                  </w:r>
                </w:p>
              </w:tc>
              <w:tc>
                <w:tcPr>
                  <w:tcW w:w="745" w:type="pct"/>
                  <w:vAlign w:val="center"/>
                </w:tcPr>
                <w:p>
                  <w:pPr>
                    <w:pStyle w:val="136"/>
                    <w:adjustRightInd w:val="0"/>
                    <w:snapToGrid w:val="0"/>
                    <w:rPr>
                      <w:b/>
                      <w:bCs/>
                    </w:rPr>
                  </w:pPr>
                  <w:r>
                    <w:rPr>
                      <w:rFonts w:hint="eastAsia"/>
                      <w:b/>
                      <w:bCs/>
                    </w:rPr>
                    <w:t>内径</w:t>
                  </w:r>
                </w:p>
              </w:tc>
              <w:tc>
                <w:tcPr>
                  <w:tcW w:w="732" w:type="pct"/>
                  <w:vAlign w:val="center"/>
                </w:tcPr>
                <w:p>
                  <w:pPr>
                    <w:pStyle w:val="136"/>
                    <w:adjustRightInd w:val="0"/>
                    <w:snapToGrid w:val="0"/>
                    <w:rPr>
                      <w:b/>
                      <w:bCs/>
                    </w:rPr>
                  </w:pPr>
                  <w:r>
                    <w:rPr>
                      <w:rFonts w:hint="eastAsia"/>
                      <w:b/>
                      <w:bCs/>
                    </w:rPr>
                    <w:t>废气量</w:t>
                  </w:r>
                </w:p>
              </w:tc>
              <w:tc>
                <w:tcPr>
                  <w:tcW w:w="1264" w:type="pct"/>
                  <w:vAlign w:val="center"/>
                </w:tcPr>
                <w:p>
                  <w:pPr>
                    <w:pStyle w:val="136"/>
                    <w:adjustRightInd w:val="0"/>
                    <w:snapToGrid w:val="0"/>
                    <w:rPr>
                      <w:b/>
                      <w:bCs/>
                    </w:rPr>
                  </w:pPr>
                  <w:r>
                    <w:rPr>
                      <w:rFonts w:hint="eastAsia"/>
                      <w:b/>
                      <w:bCs/>
                    </w:rPr>
                    <w:t>坐标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51" w:type="pct"/>
                  <w:vAlign w:val="center"/>
                </w:tcPr>
                <w:p>
                  <w:pPr>
                    <w:pStyle w:val="136"/>
                    <w:adjustRightInd w:val="0"/>
                    <w:snapToGrid w:val="0"/>
                  </w:pPr>
                  <w:r>
                    <w:rPr>
                      <w:rFonts w:hint="eastAsia"/>
                    </w:rPr>
                    <w:t>DA</w:t>
                  </w:r>
                  <w:r>
                    <w:t>001</w:t>
                  </w:r>
                </w:p>
              </w:tc>
              <w:tc>
                <w:tcPr>
                  <w:tcW w:w="851" w:type="pct"/>
                  <w:vAlign w:val="center"/>
                </w:tcPr>
                <w:p>
                  <w:pPr>
                    <w:pStyle w:val="136"/>
                    <w:adjustRightInd w:val="0"/>
                    <w:snapToGrid w:val="0"/>
                  </w:pPr>
                  <w:r>
                    <w:rPr>
                      <w:rFonts w:hint="eastAsia"/>
                    </w:rPr>
                    <w:t>一般排放口</w:t>
                  </w:r>
                </w:p>
              </w:tc>
              <w:tc>
                <w:tcPr>
                  <w:tcW w:w="557" w:type="pct"/>
                  <w:vAlign w:val="center"/>
                </w:tcPr>
                <w:p>
                  <w:pPr>
                    <w:pStyle w:val="136"/>
                    <w:adjustRightInd w:val="0"/>
                    <w:snapToGrid w:val="0"/>
                  </w:pPr>
                  <w:r>
                    <w:rPr>
                      <w:rFonts w:hint="eastAsia"/>
                    </w:rPr>
                    <w:t>2</w:t>
                  </w:r>
                  <w:r>
                    <w:t>5</w:t>
                  </w:r>
                </w:p>
              </w:tc>
              <w:tc>
                <w:tcPr>
                  <w:tcW w:w="745" w:type="pct"/>
                  <w:vAlign w:val="center"/>
                </w:tcPr>
                <w:p>
                  <w:pPr>
                    <w:pStyle w:val="136"/>
                    <w:adjustRightInd w:val="0"/>
                    <w:snapToGrid w:val="0"/>
                  </w:pPr>
                  <w:r>
                    <w:rPr>
                      <w:rFonts w:hint="eastAsia"/>
                    </w:rPr>
                    <w:t>0</w:t>
                  </w:r>
                  <w:r>
                    <w:t>.5</w:t>
                  </w:r>
                  <w:r>
                    <w:rPr>
                      <w:rFonts w:hint="eastAsia"/>
                    </w:rPr>
                    <w:t>m</w:t>
                  </w:r>
                </w:p>
              </w:tc>
              <w:tc>
                <w:tcPr>
                  <w:tcW w:w="732" w:type="pct"/>
                  <w:vAlign w:val="center"/>
                </w:tcPr>
                <w:p>
                  <w:pPr>
                    <w:pStyle w:val="136"/>
                    <w:adjustRightInd w:val="0"/>
                    <w:snapToGrid w:val="0"/>
                  </w:pPr>
                  <w:r>
                    <w:t>1</w:t>
                  </w:r>
                  <w:r>
                    <w:rPr>
                      <w:rFonts w:hint="eastAsia"/>
                    </w:rPr>
                    <w:t>2</w:t>
                  </w:r>
                  <w:r>
                    <w:t>000</w:t>
                  </w:r>
                  <w:r>
                    <w:rPr>
                      <w:rFonts w:hint="eastAsia"/>
                    </w:rPr>
                    <w:t>m</w:t>
                  </w:r>
                  <w:r>
                    <w:rPr>
                      <w:vertAlign w:val="superscript"/>
                    </w:rPr>
                    <w:t>3</w:t>
                  </w:r>
                  <w:r>
                    <w:t>/</w:t>
                  </w:r>
                  <w:r>
                    <w:rPr>
                      <w:rFonts w:hint="eastAsia"/>
                    </w:rPr>
                    <w:t>h</w:t>
                  </w:r>
                </w:p>
              </w:tc>
              <w:tc>
                <w:tcPr>
                  <w:tcW w:w="1264" w:type="pct"/>
                  <w:vAlign w:val="center"/>
                </w:tcPr>
                <w:p>
                  <w:pPr>
                    <w:pStyle w:val="136"/>
                    <w:adjustRightInd w:val="0"/>
                    <w:snapToGrid w:val="0"/>
                    <w:rPr>
                      <w:rFonts w:cs="Times New Roman"/>
                    </w:rPr>
                  </w:pPr>
                  <w:r>
                    <w:rPr>
                      <w:rFonts w:cs="Times New Roman"/>
                    </w:rPr>
                    <w:t>106°50′23.614″,31°51′56.800″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51" w:type="pct"/>
                  <w:vAlign w:val="center"/>
                </w:tcPr>
                <w:p>
                  <w:pPr>
                    <w:pStyle w:val="136"/>
                    <w:adjustRightInd w:val="0"/>
                    <w:snapToGrid w:val="0"/>
                  </w:pPr>
                  <w:r>
                    <w:rPr>
                      <w:rFonts w:hint="eastAsia"/>
                    </w:rPr>
                    <w:t>DA</w:t>
                  </w:r>
                  <w:r>
                    <w:t>002</w:t>
                  </w:r>
                </w:p>
              </w:tc>
              <w:tc>
                <w:tcPr>
                  <w:tcW w:w="851" w:type="pct"/>
                  <w:vAlign w:val="center"/>
                </w:tcPr>
                <w:p>
                  <w:pPr>
                    <w:pStyle w:val="136"/>
                    <w:adjustRightInd w:val="0"/>
                    <w:snapToGrid w:val="0"/>
                  </w:pPr>
                  <w:r>
                    <w:rPr>
                      <w:rFonts w:hint="eastAsia"/>
                    </w:rPr>
                    <w:t>一般排放口</w:t>
                  </w:r>
                </w:p>
              </w:tc>
              <w:tc>
                <w:tcPr>
                  <w:tcW w:w="557" w:type="pct"/>
                  <w:vAlign w:val="center"/>
                </w:tcPr>
                <w:p>
                  <w:pPr>
                    <w:pStyle w:val="136"/>
                    <w:adjustRightInd w:val="0"/>
                    <w:snapToGrid w:val="0"/>
                  </w:pPr>
                  <w:r>
                    <w:rPr>
                      <w:rFonts w:hint="eastAsia"/>
                    </w:rPr>
                    <w:t>2</w:t>
                  </w:r>
                  <w:r>
                    <w:t>5</w:t>
                  </w:r>
                </w:p>
              </w:tc>
              <w:tc>
                <w:tcPr>
                  <w:tcW w:w="745" w:type="pct"/>
                  <w:vAlign w:val="center"/>
                </w:tcPr>
                <w:p>
                  <w:pPr>
                    <w:pStyle w:val="136"/>
                    <w:adjustRightInd w:val="0"/>
                    <w:snapToGrid w:val="0"/>
                  </w:pPr>
                  <w:r>
                    <w:rPr>
                      <w:rFonts w:hint="eastAsia"/>
                    </w:rPr>
                    <w:t>0</w:t>
                  </w:r>
                  <w:r>
                    <w:t>.5</w:t>
                  </w:r>
                  <w:r>
                    <w:rPr>
                      <w:rFonts w:hint="eastAsia"/>
                    </w:rPr>
                    <w:t>m</w:t>
                  </w:r>
                </w:p>
              </w:tc>
              <w:tc>
                <w:tcPr>
                  <w:tcW w:w="732" w:type="pct"/>
                  <w:vAlign w:val="center"/>
                </w:tcPr>
                <w:p>
                  <w:pPr>
                    <w:pStyle w:val="136"/>
                    <w:adjustRightInd w:val="0"/>
                    <w:snapToGrid w:val="0"/>
                  </w:pPr>
                  <w:r>
                    <w:t>1</w:t>
                  </w:r>
                  <w:r>
                    <w:rPr>
                      <w:rFonts w:hint="eastAsia"/>
                    </w:rPr>
                    <w:t>2</w:t>
                  </w:r>
                  <w:r>
                    <w:t>000</w:t>
                  </w:r>
                  <w:r>
                    <w:rPr>
                      <w:rFonts w:hint="eastAsia"/>
                    </w:rPr>
                    <w:t>m</w:t>
                  </w:r>
                  <w:r>
                    <w:rPr>
                      <w:vertAlign w:val="superscript"/>
                    </w:rPr>
                    <w:t>3</w:t>
                  </w:r>
                  <w:r>
                    <w:t>/</w:t>
                  </w:r>
                  <w:r>
                    <w:rPr>
                      <w:rFonts w:hint="eastAsia"/>
                    </w:rPr>
                    <w:t>h</w:t>
                  </w:r>
                </w:p>
              </w:tc>
              <w:tc>
                <w:tcPr>
                  <w:tcW w:w="1264" w:type="pct"/>
                  <w:vAlign w:val="center"/>
                </w:tcPr>
                <w:p>
                  <w:pPr>
                    <w:pStyle w:val="136"/>
                    <w:adjustRightInd w:val="0"/>
                    <w:snapToGrid w:val="0"/>
                    <w:rPr>
                      <w:rFonts w:cs="Times New Roman"/>
                    </w:rPr>
                  </w:pPr>
                  <w:r>
                    <w:rPr>
                      <w:rFonts w:cs="Times New Roman"/>
                    </w:rPr>
                    <w:t>106°50′23.218″,31°51′57.138″</w:t>
                  </w:r>
                </w:p>
              </w:tc>
            </w:tr>
          </w:tbl>
          <w:p>
            <w:pPr>
              <w:ind w:firstLine="482"/>
              <w:rPr>
                <w:b/>
              </w:rPr>
            </w:pPr>
            <w:r>
              <w:rPr>
                <w:rFonts w:hint="eastAsia"/>
                <w:b/>
              </w:rPr>
              <w:t>6、废气监测计划</w:t>
            </w:r>
          </w:p>
          <w:p>
            <w:pPr>
              <w:ind w:firstLine="480"/>
            </w:pPr>
            <w:r>
              <w:rPr>
                <w:rFonts w:hint="eastAsia"/>
              </w:rPr>
              <w:t>根据本项目实际情况，参考《</w:t>
            </w:r>
            <w:r>
              <w:rPr>
                <w:rFonts w:hint="eastAsia"/>
                <w:lang w:eastAsia="zh-CN"/>
              </w:rPr>
              <w:t>排污单位自行监测技术指南 总则</w:t>
            </w:r>
            <w:r>
              <w:rPr>
                <w:rFonts w:hint="eastAsia"/>
              </w:rPr>
              <w:t>》（HJ</w:t>
            </w:r>
            <w:r>
              <w:t>819-2017</w:t>
            </w:r>
            <w:r>
              <w:rPr>
                <w:rFonts w:hint="eastAsia"/>
              </w:rPr>
              <w:t>），项目运营期废气监测要求见下表：</w:t>
            </w:r>
          </w:p>
          <w:p>
            <w:pPr>
              <w:pStyle w:val="157"/>
            </w:pPr>
            <w:r>
              <w:rPr>
                <w:rFonts w:hint="eastAsia"/>
              </w:rPr>
              <w:t>表4</w:t>
            </w:r>
            <w:r>
              <w:t xml:space="preserve">.2-6  </w:t>
            </w:r>
            <w:r>
              <w:rPr>
                <w:rFonts w:hint="eastAsia"/>
              </w:rPr>
              <w:t>废气监测计划一览表</w:t>
            </w:r>
          </w:p>
          <w:tbl>
            <w:tblPr>
              <w:tblStyle w:val="19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66"/>
              <w:gridCol w:w="1782"/>
              <w:gridCol w:w="769"/>
              <w:gridCol w:w="851"/>
              <w:gridCol w:w="41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66" w:type="dxa"/>
                  <w:vAlign w:val="center"/>
                </w:tcPr>
                <w:p>
                  <w:pPr>
                    <w:pStyle w:val="136"/>
                    <w:adjustRightInd w:val="0"/>
                    <w:snapToGrid w:val="0"/>
                    <w:rPr>
                      <w:b/>
                      <w:bCs/>
                    </w:rPr>
                  </w:pPr>
                  <w:r>
                    <w:rPr>
                      <w:rFonts w:hint="eastAsia"/>
                      <w:b/>
                      <w:bCs/>
                    </w:rPr>
                    <w:t>类别</w:t>
                  </w:r>
                </w:p>
              </w:tc>
              <w:tc>
                <w:tcPr>
                  <w:tcW w:w="1782" w:type="dxa"/>
                  <w:vAlign w:val="center"/>
                </w:tcPr>
                <w:p>
                  <w:pPr>
                    <w:pStyle w:val="136"/>
                    <w:adjustRightInd w:val="0"/>
                    <w:snapToGrid w:val="0"/>
                    <w:rPr>
                      <w:b/>
                      <w:bCs/>
                    </w:rPr>
                  </w:pPr>
                  <w:r>
                    <w:rPr>
                      <w:rFonts w:hint="eastAsia"/>
                      <w:b/>
                      <w:bCs/>
                    </w:rPr>
                    <w:t>监测项目</w:t>
                  </w:r>
                </w:p>
              </w:tc>
              <w:tc>
                <w:tcPr>
                  <w:tcW w:w="769" w:type="dxa"/>
                  <w:vAlign w:val="center"/>
                </w:tcPr>
                <w:p>
                  <w:pPr>
                    <w:pStyle w:val="136"/>
                    <w:adjustRightInd w:val="0"/>
                    <w:snapToGrid w:val="0"/>
                    <w:rPr>
                      <w:b/>
                      <w:bCs/>
                    </w:rPr>
                  </w:pPr>
                  <w:r>
                    <w:rPr>
                      <w:rFonts w:hint="eastAsia"/>
                      <w:b/>
                      <w:bCs/>
                    </w:rPr>
                    <w:t>监测点位</w:t>
                  </w:r>
                </w:p>
              </w:tc>
              <w:tc>
                <w:tcPr>
                  <w:tcW w:w="851" w:type="dxa"/>
                  <w:vAlign w:val="center"/>
                </w:tcPr>
                <w:p>
                  <w:pPr>
                    <w:pStyle w:val="136"/>
                    <w:adjustRightInd w:val="0"/>
                    <w:snapToGrid w:val="0"/>
                    <w:rPr>
                      <w:b/>
                      <w:bCs/>
                    </w:rPr>
                  </w:pPr>
                  <w:r>
                    <w:rPr>
                      <w:rFonts w:hint="eastAsia"/>
                      <w:b/>
                      <w:bCs/>
                    </w:rPr>
                    <w:t>监测频率</w:t>
                  </w:r>
                </w:p>
              </w:tc>
              <w:tc>
                <w:tcPr>
                  <w:tcW w:w="4188" w:type="dxa"/>
                  <w:vAlign w:val="center"/>
                </w:tcPr>
                <w:p>
                  <w:pPr>
                    <w:pStyle w:val="136"/>
                    <w:adjustRightInd w:val="0"/>
                    <w:snapToGrid w:val="0"/>
                    <w:rPr>
                      <w:b/>
                      <w:bCs/>
                    </w:rPr>
                  </w:pPr>
                  <w:r>
                    <w:rPr>
                      <w:rFonts w:hint="eastAsia"/>
                      <w:b/>
                      <w:bCs/>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66" w:type="dxa"/>
                  <w:vMerge w:val="restart"/>
                  <w:vAlign w:val="center"/>
                </w:tcPr>
                <w:p>
                  <w:pPr>
                    <w:pStyle w:val="136"/>
                    <w:adjustRightInd w:val="0"/>
                    <w:snapToGrid w:val="0"/>
                  </w:pPr>
                  <w:r>
                    <w:rPr>
                      <w:rFonts w:hint="eastAsia"/>
                    </w:rPr>
                    <w:t>废气</w:t>
                  </w:r>
                </w:p>
              </w:tc>
              <w:tc>
                <w:tcPr>
                  <w:tcW w:w="1782" w:type="dxa"/>
                  <w:vAlign w:val="center"/>
                </w:tcPr>
                <w:p>
                  <w:pPr>
                    <w:pStyle w:val="136"/>
                    <w:adjustRightInd w:val="0"/>
                    <w:snapToGrid w:val="0"/>
                  </w:pPr>
                  <w:r>
                    <w:rPr>
                      <w:rFonts w:hint="eastAsia"/>
                    </w:rPr>
                    <w:t>VOCs、丙酮、正己烷</w:t>
                  </w:r>
                </w:p>
              </w:tc>
              <w:tc>
                <w:tcPr>
                  <w:tcW w:w="769" w:type="dxa"/>
                  <w:vMerge w:val="restart"/>
                  <w:vAlign w:val="center"/>
                </w:tcPr>
                <w:p>
                  <w:pPr>
                    <w:pStyle w:val="136"/>
                    <w:adjustRightInd w:val="0"/>
                    <w:snapToGrid w:val="0"/>
                  </w:pPr>
                  <w:r>
                    <w:rPr>
                      <w:rFonts w:hint="eastAsia"/>
                    </w:rPr>
                    <w:t>DA</w:t>
                  </w:r>
                  <w:r>
                    <w:t>001</w:t>
                  </w:r>
                </w:p>
                <w:p>
                  <w:pPr>
                    <w:pStyle w:val="136"/>
                    <w:adjustRightInd w:val="0"/>
                    <w:snapToGrid w:val="0"/>
                  </w:pPr>
                  <w:r>
                    <w:rPr>
                      <w:rFonts w:hint="eastAsia"/>
                    </w:rPr>
                    <w:t>DA</w:t>
                  </w:r>
                  <w:r>
                    <w:t>002</w:t>
                  </w:r>
                </w:p>
              </w:tc>
              <w:tc>
                <w:tcPr>
                  <w:tcW w:w="851" w:type="dxa"/>
                  <w:vMerge w:val="restart"/>
                  <w:vAlign w:val="center"/>
                </w:tcPr>
                <w:p>
                  <w:pPr>
                    <w:pStyle w:val="136"/>
                    <w:adjustRightInd w:val="0"/>
                    <w:snapToGrid w:val="0"/>
                  </w:pPr>
                  <w:r>
                    <w:rPr>
                      <w:rFonts w:hint="eastAsia"/>
                    </w:rPr>
                    <w:t>1次/年</w:t>
                  </w:r>
                </w:p>
              </w:tc>
              <w:tc>
                <w:tcPr>
                  <w:tcW w:w="4188" w:type="dxa"/>
                  <w:vAlign w:val="center"/>
                </w:tcPr>
                <w:p>
                  <w:pPr>
                    <w:pStyle w:val="136"/>
                    <w:adjustRightInd w:val="0"/>
                    <w:snapToGrid w:val="0"/>
                  </w:pPr>
                  <w:r>
                    <w:rPr>
                      <w:rFonts w:hint="eastAsia"/>
                    </w:rPr>
                    <w:t>《四川省固定污染源大气挥发性有机物排放标准》（DB</w:t>
                  </w:r>
                  <w:r>
                    <w:t>51/2377-2017</w:t>
                  </w:r>
                  <w:r>
                    <w:rPr>
                      <w:rFonts w:hint="eastAsia"/>
                    </w:rPr>
                    <w:t>）表</w:t>
                  </w:r>
                  <w:r>
                    <w:t>3</w:t>
                  </w:r>
                  <w:r>
                    <w:rPr>
                      <w:rFonts w:hint="eastAsia"/>
                    </w:rPr>
                    <w:t>、表</w:t>
                  </w:r>
                  <w: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66" w:type="dxa"/>
                  <w:vMerge w:val="continue"/>
                  <w:vAlign w:val="center"/>
                </w:tcPr>
                <w:p>
                  <w:pPr>
                    <w:pStyle w:val="136"/>
                    <w:adjustRightInd w:val="0"/>
                    <w:snapToGrid w:val="0"/>
                  </w:pPr>
                </w:p>
              </w:tc>
              <w:tc>
                <w:tcPr>
                  <w:tcW w:w="1782" w:type="dxa"/>
                  <w:vAlign w:val="center"/>
                </w:tcPr>
                <w:p>
                  <w:pPr>
                    <w:pStyle w:val="136"/>
                    <w:adjustRightInd w:val="0"/>
                    <w:snapToGrid w:val="0"/>
                  </w:pPr>
                  <w:r>
                    <w:rPr>
                      <w:rFonts w:hint="eastAsia"/>
                    </w:rPr>
                    <w:t>氯化氢、硫酸雾</w:t>
                  </w:r>
                </w:p>
              </w:tc>
              <w:tc>
                <w:tcPr>
                  <w:tcW w:w="769" w:type="dxa"/>
                  <w:vMerge w:val="continue"/>
                  <w:vAlign w:val="center"/>
                </w:tcPr>
                <w:p>
                  <w:pPr>
                    <w:pStyle w:val="136"/>
                    <w:adjustRightInd w:val="0"/>
                    <w:snapToGrid w:val="0"/>
                  </w:pPr>
                </w:p>
              </w:tc>
              <w:tc>
                <w:tcPr>
                  <w:tcW w:w="851" w:type="dxa"/>
                  <w:vMerge w:val="continue"/>
                  <w:vAlign w:val="center"/>
                </w:tcPr>
                <w:p>
                  <w:pPr>
                    <w:pStyle w:val="136"/>
                    <w:adjustRightInd w:val="0"/>
                    <w:snapToGrid w:val="0"/>
                  </w:pPr>
                </w:p>
              </w:tc>
              <w:tc>
                <w:tcPr>
                  <w:tcW w:w="4188" w:type="dxa"/>
                  <w:vAlign w:val="center"/>
                </w:tcPr>
                <w:p>
                  <w:pPr>
                    <w:pStyle w:val="136"/>
                    <w:adjustRightInd w:val="0"/>
                    <w:snapToGrid w:val="0"/>
                  </w:pPr>
                  <w:r>
                    <w:rPr>
                      <w:rFonts w:hint="eastAsia"/>
                    </w:rPr>
                    <w:t>《大气污染物综合排放标准》（GB16297-1996）表</w:t>
                  </w:r>
                  <w: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66" w:type="dxa"/>
                  <w:vMerge w:val="continue"/>
                  <w:vAlign w:val="center"/>
                </w:tcPr>
                <w:p>
                  <w:pPr>
                    <w:pStyle w:val="136"/>
                    <w:adjustRightInd w:val="0"/>
                    <w:snapToGrid w:val="0"/>
                  </w:pPr>
                </w:p>
              </w:tc>
              <w:tc>
                <w:tcPr>
                  <w:tcW w:w="1782" w:type="dxa"/>
                  <w:vAlign w:val="center"/>
                </w:tcPr>
                <w:p>
                  <w:pPr>
                    <w:pStyle w:val="136"/>
                    <w:adjustRightInd w:val="0"/>
                    <w:snapToGrid w:val="0"/>
                  </w:pPr>
                  <w:r>
                    <w:rPr>
                      <w:rFonts w:hint="eastAsia"/>
                    </w:rPr>
                    <w:t>VOCs、丙酮、正己烷</w:t>
                  </w:r>
                </w:p>
              </w:tc>
              <w:tc>
                <w:tcPr>
                  <w:tcW w:w="769" w:type="dxa"/>
                  <w:vMerge w:val="restart"/>
                  <w:vAlign w:val="center"/>
                </w:tcPr>
                <w:p>
                  <w:pPr>
                    <w:pStyle w:val="136"/>
                    <w:adjustRightInd w:val="0"/>
                    <w:snapToGrid w:val="0"/>
                  </w:pPr>
                  <w:r>
                    <w:rPr>
                      <w:rFonts w:hint="eastAsia"/>
                    </w:rPr>
                    <w:t>厂界四周</w:t>
                  </w:r>
                </w:p>
              </w:tc>
              <w:tc>
                <w:tcPr>
                  <w:tcW w:w="851" w:type="dxa"/>
                  <w:vMerge w:val="restart"/>
                  <w:vAlign w:val="center"/>
                </w:tcPr>
                <w:p>
                  <w:pPr>
                    <w:pStyle w:val="136"/>
                    <w:adjustRightInd w:val="0"/>
                    <w:snapToGrid w:val="0"/>
                  </w:pPr>
                  <w:r>
                    <w:rPr>
                      <w:rFonts w:hint="eastAsia"/>
                    </w:rPr>
                    <w:t>1次/年</w:t>
                  </w:r>
                </w:p>
              </w:tc>
              <w:tc>
                <w:tcPr>
                  <w:tcW w:w="4188" w:type="dxa"/>
                  <w:vAlign w:val="center"/>
                </w:tcPr>
                <w:p>
                  <w:pPr>
                    <w:pStyle w:val="136"/>
                    <w:adjustRightInd w:val="0"/>
                    <w:snapToGrid w:val="0"/>
                  </w:pPr>
                  <w:r>
                    <w:rPr>
                      <w:rFonts w:hint="eastAsia"/>
                    </w:rPr>
                    <w:t>《四川省固定污染源大气挥发性有机物排放标准》（DB</w:t>
                  </w:r>
                  <w:r>
                    <w:t>51/2377-2017</w:t>
                  </w:r>
                  <w:r>
                    <w:rPr>
                      <w:rFonts w:hint="eastAsia"/>
                    </w:rPr>
                    <w:t xml:space="preserve">）表5、表6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66" w:type="dxa"/>
                  <w:vMerge w:val="continue"/>
                  <w:vAlign w:val="center"/>
                </w:tcPr>
                <w:p>
                  <w:pPr>
                    <w:pStyle w:val="136"/>
                    <w:adjustRightInd w:val="0"/>
                    <w:snapToGrid w:val="0"/>
                  </w:pPr>
                </w:p>
              </w:tc>
              <w:tc>
                <w:tcPr>
                  <w:tcW w:w="1782" w:type="dxa"/>
                  <w:vAlign w:val="center"/>
                </w:tcPr>
                <w:p>
                  <w:pPr>
                    <w:pStyle w:val="136"/>
                    <w:adjustRightInd w:val="0"/>
                    <w:snapToGrid w:val="0"/>
                  </w:pPr>
                  <w:r>
                    <w:rPr>
                      <w:rFonts w:hint="eastAsia"/>
                    </w:rPr>
                    <w:t>氯化氢、硫酸雾</w:t>
                  </w:r>
                </w:p>
              </w:tc>
              <w:tc>
                <w:tcPr>
                  <w:tcW w:w="769" w:type="dxa"/>
                  <w:vMerge w:val="continue"/>
                  <w:vAlign w:val="center"/>
                </w:tcPr>
                <w:p>
                  <w:pPr>
                    <w:pStyle w:val="136"/>
                    <w:adjustRightInd w:val="0"/>
                    <w:snapToGrid w:val="0"/>
                  </w:pPr>
                </w:p>
              </w:tc>
              <w:tc>
                <w:tcPr>
                  <w:tcW w:w="851" w:type="dxa"/>
                  <w:vMerge w:val="continue"/>
                  <w:vAlign w:val="center"/>
                </w:tcPr>
                <w:p>
                  <w:pPr>
                    <w:pStyle w:val="136"/>
                    <w:adjustRightInd w:val="0"/>
                    <w:snapToGrid w:val="0"/>
                  </w:pPr>
                </w:p>
              </w:tc>
              <w:tc>
                <w:tcPr>
                  <w:tcW w:w="4188" w:type="dxa"/>
                  <w:vAlign w:val="center"/>
                </w:tcPr>
                <w:p>
                  <w:pPr>
                    <w:pStyle w:val="136"/>
                    <w:adjustRightInd w:val="0"/>
                    <w:snapToGrid w:val="0"/>
                  </w:pPr>
                  <w:r>
                    <w:rPr>
                      <w:rFonts w:hint="eastAsia"/>
                    </w:rPr>
                    <w:t>《大气污染物综合排放标准》（GB16297-1996）表</w:t>
                  </w:r>
                  <w:r>
                    <w:t>2</w:t>
                  </w:r>
                </w:p>
              </w:tc>
            </w:tr>
          </w:tbl>
          <w:p>
            <w:pPr>
              <w:ind w:firstLine="482"/>
              <w:rPr>
                <w:b/>
              </w:rPr>
            </w:pPr>
            <w:r>
              <w:rPr>
                <w:b/>
              </w:rPr>
              <w:t>7</w:t>
            </w:r>
            <w:r>
              <w:rPr>
                <w:rFonts w:hint="eastAsia"/>
                <w:b/>
              </w:rPr>
              <w:t>、大气环境影响分析</w:t>
            </w:r>
          </w:p>
          <w:p>
            <w:pPr>
              <w:ind w:firstLine="480"/>
              <w:rPr>
                <w:lang w:bidi="ar"/>
              </w:rPr>
            </w:pPr>
            <w:r>
              <w:rPr>
                <w:rFonts w:hint="eastAsia"/>
                <w:lang w:bidi="ar"/>
              </w:rPr>
              <w:t>综上，本项目产生的废气能得到有效治理，废气排放满足相应标准限值要求，对评价范围内的大气环境影响较小，不会改变评价范围内的大气环境功能，不会对评价范围内的保护目标造成明显不利影响。本项目废气的排放在落实本次评价的废气治理措施后，对区域大气环境质量影响较小。</w:t>
            </w:r>
          </w:p>
          <w:p>
            <w:pPr>
              <w:pStyle w:val="158"/>
            </w:pPr>
            <w:r>
              <w:rPr>
                <w:rFonts w:hint="eastAsia"/>
              </w:rPr>
              <w:t>三、</w:t>
            </w:r>
            <w:r>
              <w:t>噪声</w:t>
            </w:r>
          </w:p>
          <w:p>
            <w:pPr>
              <w:ind w:firstLine="482"/>
              <w:rPr>
                <w:b/>
              </w:rPr>
            </w:pPr>
            <w:r>
              <w:rPr>
                <w:rFonts w:hint="eastAsia"/>
                <w:b/>
              </w:rPr>
              <w:t>1、噪声源强</w:t>
            </w:r>
          </w:p>
          <w:p>
            <w:pPr>
              <w:ind w:firstLine="480"/>
            </w:pPr>
            <w:r>
              <w:t>项目运行期间产生的噪声主要来源于设备运行噪声，经分析，项目噪声声源强度介于</w:t>
            </w:r>
            <w:r>
              <w:rPr>
                <w:rFonts w:hint="eastAsia"/>
              </w:rPr>
              <w:t>75</w:t>
            </w:r>
            <w:r>
              <w:t>~</w:t>
            </w:r>
            <w:r>
              <w:rPr>
                <w:rFonts w:hint="eastAsia"/>
              </w:rPr>
              <w:t>100</w:t>
            </w:r>
            <w:r>
              <w:t>dB(A)，</w:t>
            </w:r>
          </w:p>
          <w:p>
            <w:pPr>
              <w:ind w:firstLine="480"/>
            </w:pPr>
            <w:r>
              <w:rPr>
                <w:rFonts w:hint="eastAsia"/>
              </w:rPr>
              <w:t>项目拟采取以下降噪措施：</w:t>
            </w:r>
          </w:p>
          <w:p>
            <w:pPr>
              <w:ind w:firstLine="480"/>
            </w:pPr>
            <w:r>
              <w:rPr>
                <w:rFonts w:hint="eastAsia"/>
              </w:rPr>
              <w:t>①控制设备噪声：在设备选型时选用先进的低噪声设备，在满足工艺设计的前提下，尽量选用满足国际标准的低噪声、低振动型号的设备，降低噪声源强。</w:t>
            </w:r>
          </w:p>
          <w:p>
            <w:pPr>
              <w:ind w:firstLine="480"/>
            </w:pPr>
            <w:r>
              <w:rPr>
                <w:rFonts w:hint="eastAsia"/>
              </w:rPr>
              <w:t>②设备减振、隔声：设备与地面接触部分加装橡胶垫减振；风机安装阻性消声器，并在机组与地基之间安置减震器，在风机与排放口之间设置软连接，对风机采取配套的通风散热装置设置消声器。</w:t>
            </w:r>
          </w:p>
          <w:p>
            <w:pPr>
              <w:ind w:firstLine="480"/>
            </w:pPr>
            <w:r>
              <w:rPr>
                <w:rFonts w:hint="eastAsia"/>
              </w:rPr>
              <w:t>③强化生产管理：确保各类防治措施有效运行，各设备均保持良好运行状态，防止突发噪声。</w:t>
            </w:r>
          </w:p>
          <w:p>
            <w:pPr>
              <w:ind w:firstLine="480"/>
            </w:pPr>
            <w:r>
              <w:t>项目各类主要产噪设备噪声产生情况及处理措施见</w:t>
            </w:r>
            <w:r>
              <w:rPr>
                <w:rFonts w:hint="eastAsia"/>
              </w:rPr>
              <w:t>下表</w:t>
            </w:r>
            <w:r>
              <w:t>所示</w:t>
            </w:r>
            <w:r>
              <w:rPr>
                <w:rFonts w:hint="eastAsia"/>
              </w:rPr>
              <w:t>：</w:t>
            </w:r>
          </w:p>
          <w:p>
            <w:pPr>
              <w:pStyle w:val="157"/>
              <w:ind w:firstLine="420"/>
            </w:pPr>
            <w:r>
              <w:rPr>
                <w:rFonts w:hint="eastAsia"/>
              </w:rPr>
              <w:t>表</w:t>
            </w:r>
            <w:r>
              <w:t xml:space="preserve">4.3-1  </w:t>
            </w:r>
            <w:r>
              <w:rPr>
                <w:rFonts w:hint="eastAsia"/>
              </w:rPr>
              <w:t>主要噪声设备声压级</w:t>
            </w:r>
          </w:p>
          <w:tbl>
            <w:tblPr>
              <w:tblStyle w:val="3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54"/>
              <w:gridCol w:w="1122"/>
              <w:gridCol w:w="770"/>
              <w:gridCol w:w="1229"/>
              <w:gridCol w:w="768"/>
              <w:gridCol w:w="1693"/>
              <w:gridCol w:w="1047"/>
              <w:gridCol w:w="10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8" w:type="pct"/>
                  <w:tcBorders>
                    <w:tl2br w:val="nil"/>
                    <w:tr2bl w:val="nil"/>
                  </w:tcBorders>
                  <w:vAlign w:val="center"/>
                </w:tcPr>
                <w:p>
                  <w:pPr>
                    <w:pStyle w:val="136"/>
                    <w:adjustRightInd w:val="0"/>
                    <w:snapToGrid w:val="0"/>
                    <w:rPr>
                      <w:b/>
                      <w:szCs w:val="18"/>
                    </w:rPr>
                  </w:pPr>
                  <w:r>
                    <w:rPr>
                      <w:b/>
                      <w:szCs w:val="18"/>
                    </w:rPr>
                    <w:t>序号</w:t>
                  </w:r>
                </w:p>
              </w:tc>
              <w:tc>
                <w:tcPr>
                  <w:tcW w:w="688" w:type="pct"/>
                  <w:tcBorders>
                    <w:tl2br w:val="nil"/>
                    <w:tr2bl w:val="nil"/>
                  </w:tcBorders>
                  <w:vAlign w:val="center"/>
                </w:tcPr>
                <w:p>
                  <w:pPr>
                    <w:pStyle w:val="136"/>
                    <w:adjustRightInd w:val="0"/>
                    <w:snapToGrid w:val="0"/>
                    <w:rPr>
                      <w:b/>
                      <w:szCs w:val="18"/>
                    </w:rPr>
                  </w:pPr>
                  <w:r>
                    <w:rPr>
                      <w:b/>
                      <w:szCs w:val="18"/>
                    </w:rPr>
                    <w:t>设备名称</w:t>
                  </w:r>
                </w:p>
              </w:tc>
              <w:tc>
                <w:tcPr>
                  <w:tcW w:w="472" w:type="pct"/>
                  <w:tcBorders>
                    <w:tl2br w:val="nil"/>
                    <w:tr2bl w:val="nil"/>
                  </w:tcBorders>
                  <w:vAlign w:val="center"/>
                </w:tcPr>
                <w:p>
                  <w:pPr>
                    <w:pStyle w:val="136"/>
                    <w:adjustRightInd w:val="0"/>
                    <w:snapToGrid w:val="0"/>
                    <w:rPr>
                      <w:b/>
                      <w:szCs w:val="18"/>
                    </w:rPr>
                  </w:pPr>
                  <w:r>
                    <w:rPr>
                      <w:b/>
                      <w:szCs w:val="18"/>
                    </w:rPr>
                    <w:t>数量（台）</w:t>
                  </w:r>
                </w:p>
              </w:tc>
              <w:tc>
                <w:tcPr>
                  <w:tcW w:w="754" w:type="pct"/>
                  <w:tcBorders>
                    <w:tl2br w:val="nil"/>
                    <w:tr2bl w:val="nil"/>
                  </w:tcBorders>
                  <w:vAlign w:val="center"/>
                </w:tcPr>
                <w:p>
                  <w:pPr>
                    <w:pStyle w:val="136"/>
                    <w:adjustRightInd w:val="0"/>
                    <w:snapToGrid w:val="0"/>
                    <w:rPr>
                      <w:b/>
                      <w:szCs w:val="18"/>
                    </w:rPr>
                  </w:pPr>
                  <w:r>
                    <w:rPr>
                      <w:b/>
                      <w:szCs w:val="18"/>
                    </w:rPr>
                    <w:t>噪声源强dB</w:t>
                  </w:r>
                  <w:r>
                    <w:rPr>
                      <w:rFonts w:hint="eastAsia"/>
                      <w:b/>
                      <w:szCs w:val="18"/>
                    </w:rPr>
                    <w:t>（</w:t>
                  </w:r>
                  <w:r>
                    <w:rPr>
                      <w:b/>
                      <w:szCs w:val="18"/>
                    </w:rPr>
                    <w:t>A</w:t>
                  </w:r>
                  <w:r>
                    <w:rPr>
                      <w:rFonts w:hint="eastAsia"/>
                      <w:b/>
                      <w:szCs w:val="18"/>
                    </w:rPr>
                    <w:t>）</w:t>
                  </w:r>
                </w:p>
              </w:tc>
              <w:tc>
                <w:tcPr>
                  <w:tcW w:w="471" w:type="pct"/>
                  <w:tcBorders>
                    <w:tl2br w:val="nil"/>
                    <w:tr2bl w:val="nil"/>
                  </w:tcBorders>
                  <w:vAlign w:val="center"/>
                </w:tcPr>
                <w:p>
                  <w:pPr>
                    <w:pStyle w:val="136"/>
                    <w:adjustRightInd w:val="0"/>
                    <w:snapToGrid w:val="0"/>
                    <w:rPr>
                      <w:b/>
                      <w:szCs w:val="18"/>
                    </w:rPr>
                  </w:pPr>
                  <w:r>
                    <w:rPr>
                      <w:b/>
                      <w:szCs w:val="18"/>
                    </w:rPr>
                    <w:t>产生方式</w:t>
                  </w:r>
                </w:p>
              </w:tc>
              <w:tc>
                <w:tcPr>
                  <w:tcW w:w="1038" w:type="pct"/>
                  <w:tcBorders>
                    <w:tl2br w:val="nil"/>
                    <w:tr2bl w:val="nil"/>
                  </w:tcBorders>
                  <w:vAlign w:val="center"/>
                </w:tcPr>
                <w:p>
                  <w:pPr>
                    <w:pStyle w:val="136"/>
                    <w:adjustRightInd w:val="0"/>
                    <w:snapToGrid w:val="0"/>
                    <w:rPr>
                      <w:b/>
                      <w:szCs w:val="18"/>
                    </w:rPr>
                  </w:pPr>
                  <w:r>
                    <w:rPr>
                      <w:b/>
                      <w:szCs w:val="18"/>
                    </w:rPr>
                    <w:t>降噪措施</w:t>
                  </w:r>
                </w:p>
              </w:tc>
              <w:tc>
                <w:tcPr>
                  <w:tcW w:w="642" w:type="pct"/>
                  <w:tcBorders>
                    <w:right w:val="single" w:color="auto" w:sz="6" w:space="0"/>
                    <w:tl2br w:val="nil"/>
                    <w:tr2bl w:val="nil"/>
                  </w:tcBorders>
                  <w:vAlign w:val="center"/>
                </w:tcPr>
                <w:p>
                  <w:pPr>
                    <w:pStyle w:val="136"/>
                    <w:adjustRightInd w:val="0"/>
                    <w:snapToGrid w:val="0"/>
                    <w:rPr>
                      <w:b/>
                      <w:szCs w:val="18"/>
                    </w:rPr>
                  </w:pPr>
                  <w:r>
                    <w:rPr>
                      <w:rFonts w:hint="eastAsia"/>
                      <w:b/>
                      <w:szCs w:val="18"/>
                    </w:rPr>
                    <w:t>降噪效果</w:t>
                  </w:r>
                </w:p>
              </w:tc>
              <w:tc>
                <w:tcPr>
                  <w:tcW w:w="656" w:type="pct"/>
                  <w:tcBorders>
                    <w:left w:val="single" w:color="auto" w:sz="6" w:space="0"/>
                    <w:tl2br w:val="nil"/>
                    <w:tr2bl w:val="nil"/>
                  </w:tcBorders>
                  <w:vAlign w:val="center"/>
                </w:tcPr>
                <w:p>
                  <w:pPr>
                    <w:pStyle w:val="136"/>
                    <w:adjustRightInd w:val="0"/>
                    <w:snapToGrid w:val="0"/>
                    <w:rPr>
                      <w:b/>
                      <w:szCs w:val="18"/>
                    </w:rPr>
                  </w:pPr>
                  <w:r>
                    <w:rPr>
                      <w:rFonts w:hint="eastAsia"/>
                      <w:b/>
                      <w:szCs w:val="18"/>
                    </w:rPr>
                    <w:t>室外</w:t>
                  </w:r>
                  <w:r>
                    <w:rPr>
                      <w:b/>
                      <w:szCs w:val="18"/>
                    </w:rPr>
                    <w:t>噪声强度值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8" w:type="pct"/>
                  <w:tcBorders>
                    <w:tl2br w:val="nil"/>
                    <w:tr2bl w:val="nil"/>
                  </w:tcBorders>
                  <w:vAlign w:val="center"/>
                </w:tcPr>
                <w:p>
                  <w:pPr>
                    <w:pStyle w:val="136"/>
                    <w:adjustRightInd w:val="0"/>
                    <w:snapToGrid w:val="0"/>
                    <w:rPr>
                      <w:szCs w:val="18"/>
                    </w:rPr>
                  </w:pPr>
                  <w:r>
                    <w:rPr>
                      <w:szCs w:val="18"/>
                    </w:rPr>
                    <w:t>1</w:t>
                  </w:r>
                </w:p>
              </w:tc>
              <w:tc>
                <w:tcPr>
                  <w:tcW w:w="688" w:type="pct"/>
                  <w:tcBorders>
                    <w:tl2br w:val="nil"/>
                    <w:tr2bl w:val="nil"/>
                  </w:tcBorders>
                  <w:vAlign w:val="center"/>
                </w:tcPr>
                <w:p>
                  <w:pPr>
                    <w:pStyle w:val="136"/>
                    <w:adjustRightInd w:val="0"/>
                    <w:snapToGrid w:val="0"/>
                    <w:rPr>
                      <w:szCs w:val="18"/>
                    </w:rPr>
                  </w:pPr>
                  <w:r>
                    <w:rPr>
                      <w:rFonts w:hint="eastAsia"/>
                      <w:szCs w:val="18"/>
                    </w:rPr>
                    <w:t>离心机（室内声源）</w:t>
                  </w:r>
                </w:p>
              </w:tc>
              <w:tc>
                <w:tcPr>
                  <w:tcW w:w="472" w:type="pct"/>
                  <w:tcBorders>
                    <w:tl2br w:val="nil"/>
                    <w:tr2bl w:val="nil"/>
                  </w:tcBorders>
                  <w:vAlign w:val="center"/>
                </w:tcPr>
                <w:p>
                  <w:pPr>
                    <w:pStyle w:val="136"/>
                    <w:adjustRightInd w:val="0"/>
                    <w:snapToGrid w:val="0"/>
                    <w:rPr>
                      <w:szCs w:val="18"/>
                    </w:rPr>
                  </w:pPr>
                  <w:r>
                    <w:rPr>
                      <w:szCs w:val="18"/>
                    </w:rPr>
                    <w:t>1</w:t>
                  </w:r>
                </w:p>
              </w:tc>
              <w:tc>
                <w:tcPr>
                  <w:tcW w:w="754" w:type="pct"/>
                  <w:tcBorders>
                    <w:tl2br w:val="nil"/>
                    <w:tr2bl w:val="nil"/>
                  </w:tcBorders>
                  <w:vAlign w:val="center"/>
                </w:tcPr>
                <w:p>
                  <w:pPr>
                    <w:pStyle w:val="136"/>
                    <w:adjustRightInd w:val="0"/>
                    <w:snapToGrid w:val="0"/>
                    <w:rPr>
                      <w:szCs w:val="18"/>
                    </w:rPr>
                  </w:pPr>
                  <w:r>
                    <w:rPr>
                      <w:rFonts w:hint="eastAsia" w:cs="Times New Roman"/>
                      <w:lang w:val="de-DE"/>
                    </w:rPr>
                    <w:t>75~8</w:t>
                  </w:r>
                  <w:r>
                    <w:rPr>
                      <w:rFonts w:cs="Times New Roman"/>
                      <w:lang w:val="de-DE"/>
                    </w:rPr>
                    <w:t>5</w:t>
                  </w:r>
                </w:p>
              </w:tc>
              <w:tc>
                <w:tcPr>
                  <w:tcW w:w="471" w:type="pct"/>
                  <w:tcBorders>
                    <w:tl2br w:val="nil"/>
                    <w:tr2bl w:val="nil"/>
                  </w:tcBorders>
                  <w:vAlign w:val="center"/>
                </w:tcPr>
                <w:p>
                  <w:pPr>
                    <w:pStyle w:val="136"/>
                    <w:adjustRightInd w:val="0"/>
                    <w:snapToGrid w:val="0"/>
                    <w:rPr>
                      <w:szCs w:val="18"/>
                    </w:rPr>
                  </w:pPr>
                  <w:r>
                    <w:rPr>
                      <w:rFonts w:hint="eastAsia"/>
                      <w:szCs w:val="18"/>
                    </w:rPr>
                    <w:t>间歇</w:t>
                  </w:r>
                </w:p>
              </w:tc>
              <w:tc>
                <w:tcPr>
                  <w:tcW w:w="1038" w:type="pct"/>
                  <w:vMerge w:val="restart"/>
                  <w:tcBorders>
                    <w:tl2br w:val="nil"/>
                    <w:tr2bl w:val="nil"/>
                  </w:tcBorders>
                  <w:vAlign w:val="center"/>
                </w:tcPr>
                <w:p>
                  <w:pPr>
                    <w:pStyle w:val="136"/>
                    <w:adjustRightInd w:val="0"/>
                    <w:snapToGrid w:val="0"/>
                    <w:rPr>
                      <w:szCs w:val="18"/>
                    </w:rPr>
                  </w:pPr>
                  <w:r>
                    <w:rPr>
                      <w:rFonts w:hint="eastAsia"/>
                      <w:szCs w:val="18"/>
                    </w:rPr>
                    <w:t>厂房隔声</w:t>
                  </w:r>
                </w:p>
              </w:tc>
              <w:tc>
                <w:tcPr>
                  <w:tcW w:w="642" w:type="pct"/>
                  <w:tcBorders>
                    <w:right w:val="single" w:color="auto" w:sz="6" w:space="0"/>
                    <w:tl2br w:val="nil"/>
                    <w:tr2bl w:val="nil"/>
                  </w:tcBorders>
                  <w:vAlign w:val="center"/>
                </w:tcPr>
                <w:p>
                  <w:pPr>
                    <w:pStyle w:val="136"/>
                    <w:adjustRightInd w:val="0"/>
                    <w:snapToGrid w:val="0"/>
                    <w:rPr>
                      <w:szCs w:val="18"/>
                    </w:rPr>
                  </w:pPr>
                  <w:r>
                    <w:rPr>
                      <w:rFonts w:hint="eastAsia"/>
                      <w:szCs w:val="18"/>
                    </w:rPr>
                    <w:t>15-</w:t>
                  </w:r>
                  <w:r>
                    <w:rPr>
                      <w:szCs w:val="18"/>
                    </w:rPr>
                    <w:t>2</w:t>
                  </w:r>
                  <w:r>
                    <w:rPr>
                      <w:rFonts w:hint="eastAsia"/>
                      <w:szCs w:val="18"/>
                    </w:rPr>
                    <w:t>5</w:t>
                  </w:r>
                </w:p>
              </w:tc>
              <w:tc>
                <w:tcPr>
                  <w:tcW w:w="656" w:type="pct"/>
                  <w:tcBorders>
                    <w:left w:val="single" w:color="auto" w:sz="6" w:space="0"/>
                    <w:tl2br w:val="nil"/>
                    <w:tr2bl w:val="nil"/>
                  </w:tcBorders>
                  <w:vAlign w:val="center"/>
                </w:tcPr>
                <w:p>
                  <w:pPr>
                    <w:pStyle w:val="136"/>
                    <w:adjustRightInd w:val="0"/>
                    <w:snapToGrid w:val="0"/>
                    <w:rPr>
                      <w:szCs w:val="18"/>
                    </w:rPr>
                  </w:pPr>
                  <w:r>
                    <w:rPr>
                      <w:rFonts w:hint="eastAsia"/>
                      <w:szCs w:val="18"/>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8" w:type="pct"/>
                  <w:tcBorders>
                    <w:tl2br w:val="nil"/>
                    <w:tr2bl w:val="nil"/>
                  </w:tcBorders>
                  <w:vAlign w:val="center"/>
                </w:tcPr>
                <w:p>
                  <w:pPr>
                    <w:pStyle w:val="136"/>
                    <w:adjustRightInd w:val="0"/>
                    <w:snapToGrid w:val="0"/>
                    <w:rPr>
                      <w:szCs w:val="18"/>
                    </w:rPr>
                  </w:pPr>
                  <w:r>
                    <w:rPr>
                      <w:rFonts w:hint="eastAsia"/>
                      <w:szCs w:val="18"/>
                    </w:rPr>
                    <w:t>2</w:t>
                  </w:r>
                </w:p>
              </w:tc>
              <w:tc>
                <w:tcPr>
                  <w:tcW w:w="688" w:type="pct"/>
                  <w:tcBorders>
                    <w:tl2br w:val="nil"/>
                    <w:tr2bl w:val="nil"/>
                  </w:tcBorders>
                  <w:vAlign w:val="center"/>
                </w:tcPr>
                <w:p>
                  <w:pPr>
                    <w:pStyle w:val="136"/>
                    <w:adjustRightInd w:val="0"/>
                    <w:snapToGrid w:val="0"/>
                    <w:rPr>
                      <w:szCs w:val="18"/>
                    </w:rPr>
                  </w:pPr>
                  <w:r>
                    <w:rPr>
                      <w:rFonts w:hint="eastAsia"/>
                      <w:szCs w:val="18"/>
                    </w:rPr>
                    <w:t>超声机（室内声源）</w:t>
                  </w:r>
                </w:p>
              </w:tc>
              <w:tc>
                <w:tcPr>
                  <w:tcW w:w="472" w:type="pct"/>
                  <w:tcBorders>
                    <w:tl2br w:val="nil"/>
                    <w:tr2bl w:val="nil"/>
                  </w:tcBorders>
                  <w:vAlign w:val="center"/>
                </w:tcPr>
                <w:p>
                  <w:pPr>
                    <w:pStyle w:val="136"/>
                    <w:adjustRightInd w:val="0"/>
                    <w:snapToGrid w:val="0"/>
                    <w:rPr>
                      <w:szCs w:val="18"/>
                    </w:rPr>
                  </w:pPr>
                  <w:r>
                    <w:rPr>
                      <w:rFonts w:hint="eastAsia"/>
                      <w:szCs w:val="18"/>
                    </w:rPr>
                    <w:t>1</w:t>
                  </w:r>
                </w:p>
              </w:tc>
              <w:tc>
                <w:tcPr>
                  <w:tcW w:w="754" w:type="pct"/>
                  <w:tcBorders>
                    <w:tl2br w:val="nil"/>
                    <w:tr2bl w:val="nil"/>
                  </w:tcBorders>
                  <w:vAlign w:val="center"/>
                </w:tcPr>
                <w:p>
                  <w:pPr>
                    <w:pStyle w:val="136"/>
                    <w:adjustRightInd w:val="0"/>
                    <w:snapToGrid w:val="0"/>
                    <w:rPr>
                      <w:rFonts w:cs="Times New Roman"/>
                      <w:lang w:val="de-DE"/>
                    </w:rPr>
                  </w:pPr>
                  <w:r>
                    <w:rPr>
                      <w:rFonts w:hint="eastAsia" w:cs="Times New Roman"/>
                      <w:lang w:val="de-DE"/>
                    </w:rPr>
                    <w:t>7</w:t>
                  </w:r>
                  <w:r>
                    <w:rPr>
                      <w:rFonts w:cs="Times New Roman"/>
                      <w:lang w:val="de-DE"/>
                    </w:rPr>
                    <w:t>5</w:t>
                  </w:r>
                  <w:r>
                    <w:rPr>
                      <w:rFonts w:hint="eastAsia" w:cs="Times New Roman"/>
                      <w:lang w:val="de-DE"/>
                    </w:rPr>
                    <w:t>~</w:t>
                  </w:r>
                  <w:r>
                    <w:rPr>
                      <w:rFonts w:cs="Times New Roman"/>
                      <w:lang w:val="de-DE"/>
                    </w:rPr>
                    <w:t>85</w:t>
                  </w:r>
                </w:p>
              </w:tc>
              <w:tc>
                <w:tcPr>
                  <w:tcW w:w="471" w:type="pct"/>
                  <w:tcBorders>
                    <w:tl2br w:val="nil"/>
                    <w:tr2bl w:val="nil"/>
                  </w:tcBorders>
                  <w:vAlign w:val="center"/>
                </w:tcPr>
                <w:p>
                  <w:pPr>
                    <w:pStyle w:val="136"/>
                    <w:adjustRightInd w:val="0"/>
                    <w:snapToGrid w:val="0"/>
                    <w:rPr>
                      <w:szCs w:val="18"/>
                    </w:rPr>
                  </w:pPr>
                  <w:r>
                    <w:rPr>
                      <w:rFonts w:hint="eastAsia"/>
                      <w:szCs w:val="18"/>
                    </w:rPr>
                    <w:t>间歇</w:t>
                  </w:r>
                </w:p>
              </w:tc>
              <w:tc>
                <w:tcPr>
                  <w:tcW w:w="1038" w:type="pct"/>
                  <w:vMerge w:val="continue"/>
                  <w:tcBorders>
                    <w:tl2br w:val="nil"/>
                    <w:tr2bl w:val="nil"/>
                  </w:tcBorders>
                  <w:vAlign w:val="center"/>
                </w:tcPr>
                <w:p>
                  <w:pPr>
                    <w:pStyle w:val="136"/>
                    <w:adjustRightInd w:val="0"/>
                    <w:snapToGrid w:val="0"/>
                    <w:rPr>
                      <w:szCs w:val="18"/>
                    </w:rPr>
                  </w:pPr>
                </w:p>
              </w:tc>
              <w:tc>
                <w:tcPr>
                  <w:tcW w:w="642" w:type="pct"/>
                  <w:tcBorders>
                    <w:right w:val="single" w:color="auto" w:sz="6" w:space="0"/>
                    <w:tl2br w:val="nil"/>
                    <w:tr2bl w:val="nil"/>
                  </w:tcBorders>
                  <w:vAlign w:val="center"/>
                </w:tcPr>
                <w:p>
                  <w:pPr>
                    <w:pStyle w:val="136"/>
                    <w:adjustRightInd w:val="0"/>
                    <w:snapToGrid w:val="0"/>
                    <w:rPr>
                      <w:szCs w:val="18"/>
                    </w:rPr>
                  </w:pPr>
                  <w:r>
                    <w:rPr>
                      <w:rFonts w:hint="eastAsia"/>
                      <w:szCs w:val="18"/>
                    </w:rPr>
                    <w:t>15-</w:t>
                  </w:r>
                  <w:r>
                    <w:rPr>
                      <w:szCs w:val="18"/>
                    </w:rPr>
                    <w:t>2</w:t>
                  </w:r>
                  <w:r>
                    <w:rPr>
                      <w:rFonts w:hint="eastAsia"/>
                      <w:szCs w:val="18"/>
                    </w:rPr>
                    <w:t>5</w:t>
                  </w:r>
                </w:p>
              </w:tc>
              <w:tc>
                <w:tcPr>
                  <w:tcW w:w="656" w:type="pct"/>
                  <w:tcBorders>
                    <w:left w:val="single" w:color="auto" w:sz="6" w:space="0"/>
                    <w:tl2br w:val="nil"/>
                    <w:tr2bl w:val="nil"/>
                  </w:tcBorders>
                  <w:vAlign w:val="center"/>
                </w:tcPr>
                <w:p>
                  <w:pPr>
                    <w:pStyle w:val="136"/>
                    <w:adjustRightInd w:val="0"/>
                    <w:snapToGrid w:val="0"/>
                    <w:rPr>
                      <w:szCs w:val="18"/>
                    </w:rPr>
                  </w:pPr>
                  <w:r>
                    <w:rPr>
                      <w:rFonts w:hint="eastAsia"/>
                      <w:szCs w:val="18"/>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0" w:hRule="atLeast"/>
                <w:jc w:val="center"/>
              </w:trPr>
              <w:tc>
                <w:tcPr>
                  <w:tcW w:w="278" w:type="pct"/>
                  <w:tcBorders>
                    <w:tl2br w:val="nil"/>
                    <w:tr2bl w:val="nil"/>
                  </w:tcBorders>
                  <w:vAlign w:val="center"/>
                </w:tcPr>
                <w:p>
                  <w:pPr>
                    <w:pStyle w:val="136"/>
                    <w:adjustRightInd w:val="0"/>
                    <w:snapToGrid w:val="0"/>
                    <w:rPr>
                      <w:szCs w:val="18"/>
                    </w:rPr>
                  </w:pPr>
                  <w:r>
                    <w:rPr>
                      <w:szCs w:val="18"/>
                    </w:rPr>
                    <w:t>3</w:t>
                  </w:r>
                </w:p>
              </w:tc>
              <w:tc>
                <w:tcPr>
                  <w:tcW w:w="688" w:type="pct"/>
                  <w:tcBorders>
                    <w:tl2br w:val="nil"/>
                    <w:tr2bl w:val="nil"/>
                  </w:tcBorders>
                  <w:vAlign w:val="center"/>
                </w:tcPr>
                <w:p>
                  <w:pPr>
                    <w:pStyle w:val="136"/>
                    <w:adjustRightInd w:val="0"/>
                    <w:snapToGrid w:val="0"/>
                    <w:rPr>
                      <w:rFonts w:ascii="宋体" w:hAnsi="宋体"/>
                      <w:szCs w:val="18"/>
                    </w:rPr>
                  </w:pPr>
                  <w:r>
                    <w:rPr>
                      <w:rFonts w:hint="eastAsia" w:ascii="宋体" w:hAnsi="宋体"/>
                      <w:szCs w:val="18"/>
                    </w:rPr>
                    <w:t>风机（室外声源）</w:t>
                  </w:r>
                </w:p>
              </w:tc>
              <w:tc>
                <w:tcPr>
                  <w:tcW w:w="472" w:type="pct"/>
                  <w:tcBorders>
                    <w:tl2br w:val="nil"/>
                    <w:tr2bl w:val="nil"/>
                  </w:tcBorders>
                  <w:vAlign w:val="center"/>
                </w:tcPr>
                <w:p>
                  <w:pPr>
                    <w:pStyle w:val="136"/>
                    <w:adjustRightInd w:val="0"/>
                    <w:snapToGrid w:val="0"/>
                    <w:rPr>
                      <w:szCs w:val="18"/>
                    </w:rPr>
                  </w:pPr>
                  <w:r>
                    <w:rPr>
                      <w:szCs w:val="18"/>
                    </w:rPr>
                    <w:t>2</w:t>
                  </w:r>
                </w:p>
              </w:tc>
              <w:tc>
                <w:tcPr>
                  <w:tcW w:w="754" w:type="pct"/>
                  <w:tcBorders>
                    <w:tl2br w:val="nil"/>
                    <w:tr2bl w:val="nil"/>
                  </w:tcBorders>
                  <w:vAlign w:val="center"/>
                </w:tcPr>
                <w:p>
                  <w:pPr>
                    <w:pStyle w:val="136"/>
                    <w:adjustRightInd w:val="0"/>
                    <w:snapToGrid w:val="0"/>
                    <w:rPr>
                      <w:szCs w:val="18"/>
                    </w:rPr>
                  </w:pPr>
                  <w:r>
                    <w:rPr>
                      <w:rFonts w:hint="eastAsia" w:cs="Times New Roman"/>
                      <w:lang w:val="de-DE"/>
                    </w:rPr>
                    <w:t>90~10</w:t>
                  </w:r>
                  <w:r>
                    <w:rPr>
                      <w:rFonts w:cs="Times New Roman"/>
                      <w:lang w:val="de-DE"/>
                    </w:rPr>
                    <w:t>0</w:t>
                  </w:r>
                </w:p>
              </w:tc>
              <w:tc>
                <w:tcPr>
                  <w:tcW w:w="471" w:type="pct"/>
                  <w:tcBorders>
                    <w:tl2br w:val="nil"/>
                    <w:tr2bl w:val="nil"/>
                  </w:tcBorders>
                  <w:vAlign w:val="center"/>
                </w:tcPr>
                <w:p>
                  <w:pPr>
                    <w:pStyle w:val="136"/>
                    <w:adjustRightInd w:val="0"/>
                    <w:snapToGrid w:val="0"/>
                    <w:rPr>
                      <w:szCs w:val="18"/>
                    </w:rPr>
                  </w:pPr>
                  <w:r>
                    <w:rPr>
                      <w:rFonts w:hint="eastAsia"/>
                      <w:szCs w:val="18"/>
                    </w:rPr>
                    <w:t>间歇</w:t>
                  </w:r>
                </w:p>
              </w:tc>
              <w:tc>
                <w:tcPr>
                  <w:tcW w:w="1038" w:type="pct"/>
                  <w:tcBorders>
                    <w:tl2br w:val="nil"/>
                    <w:tr2bl w:val="nil"/>
                  </w:tcBorders>
                  <w:vAlign w:val="center"/>
                </w:tcPr>
                <w:p>
                  <w:pPr>
                    <w:pStyle w:val="136"/>
                    <w:adjustRightInd w:val="0"/>
                    <w:snapToGrid w:val="0"/>
                    <w:rPr>
                      <w:szCs w:val="18"/>
                    </w:rPr>
                  </w:pPr>
                  <w:r>
                    <w:rPr>
                      <w:rFonts w:hint="eastAsia"/>
                      <w:szCs w:val="18"/>
                    </w:rPr>
                    <w:t>安装柔性接头、减震基础、消声器</w:t>
                  </w:r>
                </w:p>
              </w:tc>
              <w:tc>
                <w:tcPr>
                  <w:tcW w:w="642" w:type="pct"/>
                  <w:tcBorders>
                    <w:right w:val="single" w:color="auto" w:sz="6" w:space="0"/>
                    <w:tl2br w:val="nil"/>
                    <w:tr2bl w:val="nil"/>
                  </w:tcBorders>
                  <w:vAlign w:val="center"/>
                </w:tcPr>
                <w:p>
                  <w:pPr>
                    <w:pStyle w:val="136"/>
                    <w:adjustRightInd w:val="0"/>
                    <w:snapToGrid w:val="0"/>
                    <w:rPr>
                      <w:szCs w:val="18"/>
                    </w:rPr>
                  </w:pPr>
                  <w:r>
                    <w:rPr>
                      <w:rFonts w:hint="eastAsia"/>
                      <w:szCs w:val="18"/>
                    </w:rPr>
                    <w:t>15-</w:t>
                  </w:r>
                  <w:r>
                    <w:rPr>
                      <w:szCs w:val="18"/>
                    </w:rPr>
                    <w:t>2</w:t>
                  </w:r>
                  <w:r>
                    <w:rPr>
                      <w:rFonts w:hint="eastAsia"/>
                      <w:szCs w:val="18"/>
                    </w:rPr>
                    <w:t>5</w:t>
                  </w:r>
                </w:p>
              </w:tc>
              <w:tc>
                <w:tcPr>
                  <w:tcW w:w="656" w:type="pct"/>
                  <w:tcBorders>
                    <w:left w:val="single" w:color="auto" w:sz="6" w:space="0"/>
                    <w:tl2br w:val="nil"/>
                    <w:tr2bl w:val="nil"/>
                  </w:tcBorders>
                  <w:vAlign w:val="center"/>
                </w:tcPr>
                <w:p>
                  <w:pPr>
                    <w:pStyle w:val="136"/>
                    <w:adjustRightInd w:val="0"/>
                    <w:snapToGrid w:val="0"/>
                    <w:rPr>
                      <w:szCs w:val="18"/>
                    </w:rPr>
                  </w:pPr>
                  <w:r>
                    <w:rPr>
                      <w:rFonts w:hint="eastAsia"/>
                      <w:szCs w:val="18"/>
                    </w:rPr>
                    <w:t>75</w:t>
                  </w:r>
                </w:p>
              </w:tc>
            </w:tr>
          </w:tbl>
          <w:p>
            <w:pPr>
              <w:ind w:firstLine="482"/>
              <w:rPr>
                <w:b/>
              </w:rPr>
            </w:pPr>
            <w:r>
              <w:rPr>
                <w:rFonts w:hint="eastAsia"/>
                <w:b/>
              </w:rPr>
              <w:t>2、预测模式</w:t>
            </w:r>
          </w:p>
          <w:p>
            <w:pPr>
              <w:ind w:firstLine="480"/>
            </w:pPr>
            <w:r>
              <w:t>本次评价采用《环境影响评价技术导则</w:t>
            </w:r>
            <w:r>
              <w:rPr>
                <w:rFonts w:hint="eastAsia"/>
              </w:rPr>
              <w:t xml:space="preserve"> </w:t>
            </w:r>
            <w:r>
              <w:t>声环境》（HJ2.4-2021）中</w:t>
            </w:r>
            <w:r>
              <w:rPr>
                <w:rFonts w:hint="eastAsia"/>
              </w:rPr>
              <w:t>附录A和附录B中给出的预测方法进行预测，</w:t>
            </w:r>
            <w:r>
              <w:t>预测方法为：</w:t>
            </w:r>
          </w:p>
          <w:p>
            <w:pPr>
              <w:ind w:firstLine="480"/>
            </w:pPr>
            <w:r>
              <w:rPr>
                <w:rFonts w:hint="eastAsia"/>
              </w:rPr>
              <w:t>（1）</w:t>
            </w:r>
            <w:r>
              <w:t>室内声源等效室外声源声功率级计算</w:t>
            </w:r>
          </w:p>
          <w:p>
            <w:pPr>
              <w:ind w:firstLine="480"/>
            </w:pPr>
            <w:r>
              <w:rPr>
                <w:rFonts w:hint="eastAsia"/>
              </w:rPr>
              <w:t>①首先计算出某一室内声源靠近围护结构处产生的倍频带声压级或A声级：</w:t>
            </w:r>
          </w:p>
          <w:p>
            <w:pPr>
              <w:ind w:firstLine="480"/>
              <w:rPr>
                <w:i/>
              </w:rPr>
            </w:pPr>
            <m:oMathPara>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hint="eastAsia" w:ascii="Cambria Math" w:hAnsi="Cambria Math"/>
                      </w:rPr>
                      <m:t>p</m:t>
                    </m:r>
                    <m:r>
                      <m:rPr/>
                      <w:rPr>
                        <w:rFonts w:ascii="Cambria Math" w:hAnsi="Cambria Math"/>
                      </w:rPr>
                      <m:t>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w</m:t>
                    </m:r>
                    <m:ctrlPr>
                      <w:rPr>
                        <w:rFonts w:ascii="Cambria Math" w:hAnsi="Cambria Math"/>
                        <w:i/>
                      </w:rPr>
                    </m:ctrlPr>
                  </m:sub>
                </m:sSub>
                <m:r>
                  <m:rPr/>
                  <w:rPr>
                    <w:rFonts w:ascii="Cambria Math" w:hAnsi="Cambria Math"/>
                  </w:rPr>
                  <m:t>+10</m:t>
                </m:r>
                <m:func>
                  <m:funcPr>
                    <m:ctrlPr>
                      <w:rPr>
                        <w:rFonts w:ascii="Cambria Math" w:hAnsi="Cambria Math"/>
                      </w:rPr>
                    </m:ctrlPr>
                  </m:funcPr>
                  <m:fName>
                    <m:r>
                      <m:rPr>
                        <m:sty m:val="p"/>
                      </m:rPr>
                      <w:rPr>
                        <w:rFonts w:ascii="Cambria Math" w:hAnsi="Cambria Math"/>
                      </w:rPr>
                      <m:t>lg</m:t>
                    </m:r>
                    <m:ctrlPr>
                      <w:rPr>
                        <w:rFonts w:ascii="Cambria Math" w:hAnsi="Cambria Math"/>
                      </w:rPr>
                    </m:ctrlPr>
                  </m:fName>
                  <m:e>
                    <m:r>
                      <m:rPr/>
                      <w:rPr>
                        <w:rFonts w:ascii="Cambria Math" w:hAnsi="Cambria Math"/>
                      </w:rPr>
                      <m:t>(</m:t>
                    </m:r>
                    <m:f>
                      <m:fPr>
                        <m:ctrlPr>
                          <w:rPr>
                            <w:rFonts w:ascii="Cambria Math" w:hAnsi="Cambria Math"/>
                            <w:i/>
                          </w:rPr>
                        </m:ctrlPr>
                      </m:fPr>
                      <m:num>
                        <m:r>
                          <m:rPr/>
                          <w:rPr>
                            <w:rFonts w:ascii="Cambria Math" w:hAnsi="Cambria Math"/>
                          </w:rPr>
                          <m:t>Q</m:t>
                        </m:r>
                        <m:ctrlPr>
                          <w:rPr>
                            <w:rFonts w:ascii="Cambria Math" w:hAnsi="Cambria Math"/>
                            <w:i/>
                          </w:rPr>
                        </m:ctrlPr>
                      </m:num>
                      <m:den>
                        <m:r>
                          <m:rPr/>
                          <w:rPr>
                            <w:rFonts w:ascii="Cambria Math" w:hAnsi="Cambria Math"/>
                          </w:rPr>
                          <m:t>4π</m:t>
                        </m:r>
                        <m:sSup>
                          <m:sSupPr>
                            <m:ctrlPr>
                              <w:rPr>
                                <w:rFonts w:ascii="Cambria Math" w:hAnsi="Cambria Math"/>
                                <w:i/>
                              </w:rPr>
                            </m:ctrlPr>
                          </m:sSupPr>
                          <m:e>
                            <m:r>
                              <m:rPr/>
                              <w:rPr>
                                <w:rFonts w:ascii="Cambria Math" w:hAnsi="Cambria Math"/>
                              </w:rPr>
                              <m:t>r</m:t>
                            </m:r>
                            <m:ctrlPr>
                              <w:rPr>
                                <w:rFonts w:ascii="Cambria Math" w:hAnsi="Cambria Math"/>
                                <w:i/>
                              </w:rPr>
                            </m:ctrlPr>
                          </m:e>
                          <m:sup>
                            <m:r>
                              <m:rPr/>
                              <w:rPr>
                                <w:rFonts w:ascii="Cambria Math" w:hAnsi="Cambria Math"/>
                              </w:rPr>
                              <m:t>2</m:t>
                            </m:r>
                            <m:ctrlPr>
                              <w:rPr>
                                <w:rFonts w:ascii="Cambria Math" w:hAnsi="Cambria Math"/>
                                <w:i/>
                              </w:rPr>
                            </m:ctrlPr>
                          </m:sup>
                        </m:sSup>
                        <m:ctrlPr>
                          <w:rPr>
                            <w:rFonts w:ascii="Cambria Math" w:hAnsi="Cambria Math"/>
                            <w:i/>
                          </w:rPr>
                        </m:ctrlPr>
                      </m:den>
                    </m:f>
                    <m:r>
                      <m:rPr/>
                      <w:rPr>
                        <w:rFonts w:ascii="Cambria Math" w:hAnsi="Cambria Math"/>
                      </w:rPr>
                      <m:t>+</m:t>
                    </m:r>
                    <m:f>
                      <m:fPr>
                        <m:ctrlPr>
                          <w:rPr>
                            <w:rFonts w:ascii="Cambria Math" w:hAnsi="Cambria Math"/>
                            <w:i/>
                          </w:rPr>
                        </m:ctrlPr>
                      </m:fPr>
                      <m:num>
                        <m:r>
                          <m:rPr/>
                          <w:rPr>
                            <w:rFonts w:ascii="Cambria Math" w:hAnsi="Cambria Math"/>
                          </w:rPr>
                          <m:t>4</m:t>
                        </m:r>
                        <m:ctrlPr>
                          <w:rPr>
                            <w:rFonts w:ascii="Cambria Math" w:hAnsi="Cambria Math"/>
                            <w:i/>
                          </w:rPr>
                        </m:ctrlPr>
                      </m:num>
                      <m:den>
                        <m:r>
                          <m:rPr/>
                          <w:rPr>
                            <w:rFonts w:ascii="Cambria Math" w:hAnsi="Cambria Math"/>
                          </w:rPr>
                          <m:t>R</m:t>
                        </m:r>
                        <m:ctrlPr>
                          <w:rPr>
                            <w:rFonts w:ascii="Cambria Math" w:hAnsi="Cambria Math"/>
                            <w:i/>
                          </w:rPr>
                        </m:ctrlPr>
                      </m:den>
                    </m:f>
                    <m:r>
                      <m:rPr/>
                      <w:rPr>
                        <w:rFonts w:ascii="Cambria Math" w:hAnsi="Cambria Math"/>
                      </w:rPr>
                      <m:t>)</m:t>
                    </m:r>
                    <m:ctrlPr>
                      <w:rPr>
                        <w:rFonts w:ascii="Cambria Math" w:hAnsi="Cambria Math"/>
                      </w:rPr>
                    </m:ctrlPr>
                  </m:e>
                </m:func>
              </m:oMath>
            </m:oMathPara>
          </w:p>
          <w:p>
            <w:pPr>
              <w:ind w:firstLine="480"/>
            </w:pPr>
            <w:r>
              <w:t>式中，</w:t>
            </w:r>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P1</m:t>
                  </m:r>
                  <m:ctrlPr>
                    <w:rPr>
                      <w:rFonts w:ascii="Cambria Math" w:hAnsi="Cambria Math"/>
                      <w:i/>
                    </w:rPr>
                  </m:ctrlPr>
                </m:sub>
              </m:sSub>
            </m:oMath>
            <w:r>
              <w:t>—</w:t>
            </w:r>
            <w:r>
              <w:rPr>
                <w:rFonts w:hint="eastAsia"/>
              </w:rPr>
              <w:t>靠近开口处（或窗户）室内某倍频带的声压级或A声级，d</w:t>
            </w:r>
            <w:r>
              <w:t>B</w:t>
            </w:r>
          </w:p>
          <w:p>
            <w:pPr>
              <w:ind w:firstLine="480"/>
            </w:pPr>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w</m:t>
                  </m:r>
                  <m:ctrlPr>
                    <w:rPr>
                      <w:rFonts w:ascii="Cambria Math" w:hAnsi="Cambria Math"/>
                      <w:i/>
                    </w:rPr>
                  </m:ctrlPr>
                </m:sub>
              </m:sSub>
            </m:oMath>
            <w:r>
              <w:t>—</w:t>
            </w:r>
            <w:r>
              <w:rPr>
                <w:rFonts w:hint="eastAsia"/>
              </w:rPr>
              <w:t>点声源声功率级（A计权或倍频带），d</w:t>
            </w:r>
            <w:r>
              <w:t>B</w:t>
            </w:r>
          </w:p>
          <w:p>
            <w:pPr>
              <w:ind w:firstLine="480"/>
            </w:pPr>
            <w:r>
              <w:t>Q—</w:t>
            </w:r>
            <w:r>
              <w:rPr>
                <w:rFonts w:hint="eastAsia"/>
              </w:rPr>
              <w:t>指向性因数；通常对无指向性声源，当声源放在房间中心时，Q</w:t>
            </w:r>
            <w:r>
              <w:t>=1</w:t>
            </w:r>
            <w:r>
              <w:rPr>
                <w:rFonts w:hint="eastAsia"/>
              </w:rPr>
              <w:t>；当放在一面墙的中心时，Q</w:t>
            </w:r>
            <w:r>
              <w:t>=2</w:t>
            </w:r>
            <w:r>
              <w:rPr>
                <w:rFonts w:hint="eastAsia"/>
              </w:rPr>
              <w:t>；当放在两面墙夹角处时，Q</w:t>
            </w:r>
            <w:r>
              <w:t>=4</w:t>
            </w:r>
            <w:r>
              <w:rPr>
                <w:rFonts w:hint="eastAsia"/>
              </w:rPr>
              <w:t>；当放在三面墙夹角处时，Q</w:t>
            </w:r>
            <w:r>
              <w:t>=8</w:t>
            </w:r>
            <w:r>
              <w:rPr>
                <w:rFonts w:hint="eastAsia"/>
              </w:rPr>
              <w:t>；</w:t>
            </w:r>
          </w:p>
          <w:p>
            <w:pPr>
              <w:ind w:firstLine="480"/>
            </w:pPr>
            <w:r>
              <w:t>R—</w:t>
            </w:r>
            <w:r>
              <w:rPr>
                <w:rFonts w:hint="eastAsia"/>
              </w:rPr>
              <w:t>房间常数；R</w:t>
            </w:r>
            <w:r>
              <w:t>=Sα/(1-α</w:t>
            </w:r>
            <w:r>
              <w:rPr>
                <w:rFonts w:hint="eastAsia"/>
              </w:rPr>
              <w:t>)，S为房间内表面面积，m</w:t>
            </w:r>
            <w:r>
              <w:rPr>
                <w:vertAlign w:val="superscript"/>
              </w:rPr>
              <w:t>2</w:t>
            </w:r>
            <w:r>
              <w:rPr>
                <w:rFonts w:hint="eastAsia"/>
              </w:rPr>
              <w:t>；</w:t>
            </w:r>
            <w:r>
              <w:t>α</w:t>
            </w:r>
            <w:r>
              <w:rPr>
                <w:rFonts w:hint="eastAsia"/>
              </w:rPr>
              <w:t>为平均吸声系数；</w:t>
            </w:r>
          </w:p>
          <w:p>
            <w:pPr>
              <w:ind w:firstLine="480"/>
            </w:pPr>
            <w:r>
              <w:rPr>
                <w:rFonts w:hint="eastAsia"/>
              </w:rPr>
              <w:t>r</w:t>
            </w:r>
            <w:r>
              <w:t>—</w:t>
            </w:r>
            <w:r>
              <w:rPr>
                <w:rFonts w:hint="eastAsia"/>
              </w:rPr>
              <w:t>声源到靠近围护结构某点处的距离，m。</w:t>
            </w:r>
          </w:p>
          <w:p>
            <w:pPr>
              <w:ind w:firstLine="480"/>
            </w:pPr>
            <w:r>
              <w:rPr>
                <w:rFonts w:hint="eastAsia"/>
              </w:rPr>
              <w:t>②计算出所有室内声源在围护结构处产生的</w:t>
            </w:r>
            <w:r>
              <w:t>i</w:t>
            </w:r>
            <w:r>
              <w:rPr>
                <w:rFonts w:hint="eastAsia"/>
              </w:rPr>
              <w:t>倍频带叠加声压级：</w:t>
            </w:r>
          </w:p>
          <w:p>
            <w:pPr>
              <w:ind w:firstLine="480"/>
              <w:rPr>
                <w:i/>
              </w:rPr>
            </w:pPr>
            <m:oMathPara>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p1i</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r>
                  <m:rPr/>
                  <w:rPr>
                    <w:rFonts w:ascii="Cambria Math" w:hAnsi="Cambria Math"/>
                  </w:rPr>
                  <m:t>=10lg⁡(</m:t>
                </m:r>
                <m:nary>
                  <m:naryPr>
                    <m:chr m:val="∑"/>
                    <m:limLoc m:val="undOvr"/>
                    <m:ctrlPr>
                      <w:rPr>
                        <w:rFonts w:ascii="Cambria Math" w:hAnsi="Cambria Math"/>
                        <w:i/>
                      </w:rPr>
                    </m:ctrlPr>
                  </m:naryPr>
                  <m:sub>
                    <m:r>
                      <m:rPr/>
                      <w:rPr>
                        <w:rFonts w:ascii="Cambria Math" w:hAnsi="Cambria Math"/>
                      </w:rPr>
                      <m:t>j=1</m:t>
                    </m:r>
                    <m:ctrlPr>
                      <w:rPr>
                        <w:rFonts w:ascii="Cambria Math" w:hAnsi="Cambria Math"/>
                        <w:i/>
                      </w:rPr>
                    </m:ctrlPr>
                  </m:sub>
                  <m:sup>
                    <m:r>
                      <m:rPr/>
                      <w:rPr>
                        <w:rFonts w:ascii="Cambria Math" w:hAnsi="Cambria Math"/>
                      </w:rPr>
                      <m:t>N</m:t>
                    </m:r>
                    <m:ctrlPr>
                      <w:rPr>
                        <w:rFonts w:ascii="Cambria Math" w:hAnsi="Cambria Math"/>
                        <w:i/>
                      </w:rPr>
                    </m:ctrlPr>
                  </m:sup>
                  <m:e>
                    <m:sSup>
                      <m:sSupPr>
                        <m:ctrlPr>
                          <w:rPr>
                            <w:rFonts w:ascii="Cambria Math" w:hAnsi="Cambria Math"/>
                            <w:i/>
                          </w:rPr>
                        </m:ctrlPr>
                      </m:sSupPr>
                      <m:e>
                        <m:r>
                          <m:rPr/>
                          <w:rPr>
                            <w:rFonts w:ascii="Cambria Math" w:hAnsi="Cambria Math"/>
                          </w:rPr>
                          <m:t>10</m:t>
                        </m:r>
                        <m:ctrlPr>
                          <w:rPr>
                            <w:rFonts w:ascii="Cambria Math" w:hAnsi="Cambria Math"/>
                            <w:i/>
                          </w:rPr>
                        </m:ctrlPr>
                      </m:e>
                      <m:sup>
                        <m:r>
                          <m:rPr/>
                          <w:rPr>
                            <w:rFonts w:ascii="Cambria Math" w:hAnsi="Cambria Math"/>
                          </w:rPr>
                          <m:t>0.1</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p1ij</m:t>
                            </m:r>
                            <m:ctrlPr>
                              <w:rPr>
                                <w:rFonts w:ascii="Cambria Math" w:hAnsi="Cambria Math"/>
                                <w:i/>
                              </w:rPr>
                            </m:ctrlPr>
                          </m:sub>
                        </m:sSub>
                        <m:ctrlPr>
                          <w:rPr>
                            <w:rFonts w:ascii="Cambria Math" w:hAnsi="Cambria Math"/>
                            <w:i/>
                          </w:rPr>
                        </m:ctrlPr>
                      </m:sup>
                    </m:sSup>
                    <m:ctrlPr>
                      <w:rPr>
                        <w:rFonts w:ascii="Cambria Math" w:hAnsi="Cambria Math"/>
                        <w:i/>
                      </w:rPr>
                    </m:ctrlPr>
                  </m:e>
                </m:nary>
                <m:r>
                  <m:rPr/>
                  <w:rPr>
                    <w:rFonts w:ascii="Cambria Math" w:hAnsi="Cambria Math"/>
                  </w:rPr>
                  <m:t>)</m:t>
                </m:r>
              </m:oMath>
            </m:oMathPara>
          </w:p>
          <w:p>
            <w:pPr>
              <w:ind w:firstLine="480"/>
            </w:pPr>
            <w:r>
              <w:t>式中，</w:t>
            </w:r>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p1i</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oMath>
            <w:r>
              <w:t>—</w:t>
            </w:r>
            <w:r>
              <w:rPr>
                <w:rFonts w:hint="eastAsia"/>
              </w:rPr>
              <w:t>靠近围护结构处室内N个声源i倍频带的叠加声压级，d</w:t>
            </w:r>
            <w:r>
              <w:t>B</w:t>
            </w:r>
          </w:p>
          <w:p>
            <w:pPr>
              <w:ind w:firstLine="480"/>
            </w:pPr>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p1ij</m:t>
                  </m:r>
                  <m:ctrlPr>
                    <w:rPr>
                      <w:rFonts w:ascii="Cambria Math" w:hAnsi="Cambria Math"/>
                      <w:i/>
                    </w:rPr>
                  </m:ctrlPr>
                </m:sub>
              </m:sSub>
            </m:oMath>
            <w:r>
              <w:t>—</w:t>
            </w:r>
            <w:r>
              <w:rPr>
                <w:rFonts w:hint="eastAsia"/>
              </w:rPr>
              <w:t>室内j声源i倍频带的声压级，d</w:t>
            </w:r>
            <w:r>
              <w:t>B</w:t>
            </w:r>
          </w:p>
          <w:p>
            <w:pPr>
              <w:ind w:firstLine="480"/>
            </w:pPr>
            <w:r>
              <w:t>N—</w:t>
            </w:r>
            <w:r>
              <w:rPr>
                <w:rFonts w:hint="eastAsia"/>
              </w:rPr>
              <w:t>室内声源总数。</w:t>
            </w:r>
          </w:p>
          <w:p>
            <w:pPr>
              <w:ind w:firstLine="480"/>
            </w:pPr>
            <w:r>
              <w:rPr>
                <w:rFonts w:hint="eastAsia"/>
              </w:rPr>
              <w:t>③计算出靠近室外围护结构处的声压级：</w:t>
            </w:r>
          </w:p>
          <w:p>
            <w:pPr>
              <w:ind w:firstLine="480"/>
              <w:rPr>
                <w:i/>
              </w:rPr>
            </w:pPr>
            <m:oMathPara>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p2i</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p1i</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r>
                  <m:rPr/>
                  <w:rPr>
                    <w:rFonts w:ascii="Cambria Math" w:hAnsi="Cambria Math"/>
                  </w:rPr>
                  <m:t>−(T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i</m:t>
                    </m:r>
                    <m:ctrlPr>
                      <w:rPr>
                        <w:rFonts w:ascii="Cambria Math" w:hAnsi="Cambria Math"/>
                        <w:i/>
                      </w:rPr>
                    </m:ctrlPr>
                  </m:sub>
                </m:sSub>
                <m:r>
                  <m:rPr/>
                  <w:rPr>
                    <w:rFonts w:ascii="Cambria Math" w:hAnsi="Cambria Math"/>
                  </w:rPr>
                  <m:t>+6)</m:t>
                </m:r>
              </m:oMath>
            </m:oMathPara>
          </w:p>
          <w:p>
            <w:pPr>
              <w:ind w:firstLine="480"/>
            </w:pPr>
            <w:r>
              <w:t>式中，</w:t>
            </w:r>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p2i</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oMath>
            <w:r>
              <w:t>—</w:t>
            </w:r>
            <w:r>
              <w:rPr>
                <w:rFonts w:hint="eastAsia"/>
              </w:rPr>
              <w:t>靠近围护结构处室外N个声源i倍频带的叠加声压级，d</w:t>
            </w:r>
            <w:r>
              <w:t>B</w:t>
            </w:r>
            <w:r>
              <w:rPr>
                <w:rFonts w:hint="eastAsia"/>
              </w:rPr>
              <w:t>；</w:t>
            </w:r>
          </w:p>
          <w:p>
            <w:pPr>
              <w:ind w:firstLine="480"/>
            </w:pPr>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p1i</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oMath>
            <w:r>
              <w:t>—</w:t>
            </w:r>
            <w:r>
              <w:rPr>
                <w:rFonts w:hint="eastAsia"/>
              </w:rPr>
              <w:t>靠近围护结构处室内N个声源i倍频带的叠加声压级，d</w:t>
            </w:r>
            <w:r>
              <w:t>B</w:t>
            </w:r>
            <w:r>
              <w:rPr>
                <w:rFonts w:hint="eastAsia"/>
              </w:rPr>
              <w:t>；</w:t>
            </w:r>
          </w:p>
          <w:p>
            <w:pPr>
              <w:ind w:firstLine="480"/>
            </w:pPr>
            <m:oMath>
              <m:r>
                <m:rPr/>
                <w:rPr>
                  <w:rFonts w:ascii="Cambria Math" w:hAnsi="Cambria Math"/>
                </w:rPr>
                <m:t>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i</m:t>
                  </m:r>
                  <m:ctrlPr>
                    <w:rPr>
                      <w:rFonts w:ascii="Cambria Math" w:hAnsi="Cambria Math"/>
                      <w:i/>
                    </w:rPr>
                  </m:ctrlPr>
                </m:sub>
              </m:sSub>
            </m:oMath>
            <w:r>
              <w:t>—</w:t>
            </w:r>
            <w:r>
              <w:rPr>
                <w:rFonts w:hint="eastAsia"/>
              </w:rPr>
              <w:t>围护结构i倍频带的隔声量，d</w:t>
            </w:r>
            <w:r>
              <w:t>B</w:t>
            </w:r>
            <w:r>
              <w:rPr>
                <w:rFonts w:hint="eastAsia"/>
              </w:rPr>
              <w:t>。</w:t>
            </w:r>
          </w:p>
          <w:p>
            <w:pPr>
              <w:ind w:firstLine="480"/>
            </w:pPr>
            <w:r>
              <w:rPr>
                <w:rFonts w:hint="eastAsia"/>
              </w:rPr>
              <w:t>④将室外声源的声压级和透声面积换算成等效的室外声源，计算出中心位置位于透声面积（S）处的等效声源的倍频带声功率级</w:t>
            </w:r>
          </w:p>
          <w:p>
            <w:pPr>
              <w:ind w:firstLine="480"/>
              <w:rPr>
                <w:i/>
              </w:rPr>
            </w:pPr>
            <m:oMathPara>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W</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p2</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r>
                  <m:rPr/>
                  <w:rPr>
                    <w:rFonts w:ascii="Cambria Math" w:hAnsi="Cambria Math"/>
                  </w:rPr>
                  <m:t>+10lgS</m:t>
                </m:r>
              </m:oMath>
            </m:oMathPara>
          </w:p>
          <w:p>
            <w:pPr>
              <w:ind w:firstLine="480"/>
            </w:pPr>
            <w:r>
              <w:t>式中，</w:t>
            </w:r>
            <m:oMath>
              <m:r>
                <m:rPr>
                  <m:sty m:val="p"/>
                </m:rPr>
                <w:rPr>
                  <w:rFonts w:ascii="Cambria Math" w:hAnsi="Cambria Math"/>
                </w:rPr>
                <m:t>S</m:t>
              </m:r>
            </m:oMath>
            <w:r>
              <w:t>—</w:t>
            </w:r>
            <w:r>
              <w:rPr>
                <w:rFonts w:hint="eastAsia"/>
              </w:rPr>
              <w:t>透声面积，m</w:t>
            </w:r>
            <w:r>
              <w:rPr>
                <w:vertAlign w:val="superscript"/>
              </w:rPr>
              <w:t>2</w:t>
            </w:r>
          </w:p>
          <w:p>
            <w:pPr>
              <w:ind w:firstLine="480"/>
            </w:pPr>
            <w:r>
              <w:rPr>
                <w:rFonts w:hint="eastAsia"/>
              </w:rPr>
              <w:t>（2）室外点源户外传播衰减公式</w:t>
            </w:r>
          </w:p>
          <w:p>
            <w:pPr>
              <w:ind w:firstLine="480"/>
            </w:pPr>
            <w:r>
              <w:t>若已知声源的倍频带声压级</w:t>
            </w:r>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m:t>
                  </m:r>
                  <m:ctrlPr>
                    <w:rPr>
                      <w:rFonts w:ascii="Cambria Math" w:hAnsi="Cambria Math"/>
                      <w:i/>
                    </w:rPr>
                  </m:ctrlPr>
                </m:sub>
              </m:sSub>
              <m:d>
                <m:dPr>
                  <m:ctrlPr>
                    <w:rPr>
                      <w:rFonts w:ascii="Cambria Math" w:hAnsi="Cambria Math"/>
                      <w:i/>
                    </w:rPr>
                  </m:ctrlPr>
                </m:dPr>
                <m:e>
                  <m:sSub>
                    <m:sSubPr>
                      <m:ctrlPr>
                        <w:rPr>
                          <w:rFonts w:ascii="Cambria Math" w:hAnsi="Cambria Math"/>
                          <w:i/>
                        </w:rPr>
                      </m:ctrlPr>
                    </m:sSubPr>
                    <m:e>
                      <m:r>
                        <m:rPr/>
                        <w:rPr>
                          <w:rFonts w:ascii="Cambria Math" w:hAnsi="Cambria Math"/>
                        </w:rPr>
                        <m:t>r</m:t>
                      </m:r>
                      <m:ctrlPr>
                        <w:rPr>
                          <w:rFonts w:ascii="Cambria Math" w:hAnsi="Cambria Math"/>
                          <w:i/>
                        </w:rPr>
                      </m:ctrlPr>
                    </m:e>
                    <m:sub>
                      <m:r>
                        <m:rPr/>
                        <w:rPr>
                          <w:rFonts w:ascii="Cambria Math" w:hAnsi="Cambria Math"/>
                        </w:rPr>
                        <m:t>0</m:t>
                      </m:r>
                      <m:ctrlPr>
                        <w:rPr>
                          <w:rFonts w:ascii="Cambria Math" w:hAnsi="Cambria Math"/>
                          <w:i/>
                        </w:rPr>
                      </m:ctrlPr>
                    </m:sub>
                  </m:sSub>
                  <m:ctrlPr>
                    <w:rPr>
                      <w:rFonts w:ascii="Cambria Math" w:hAnsi="Cambria Math"/>
                      <w:i/>
                    </w:rPr>
                  </m:ctrlPr>
                </m:e>
              </m:d>
            </m:oMath>
            <w:r>
              <w:t>时，相同方向预测点位置的倍频带声压级</w:t>
            </w:r>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m:t>
                  </m:r>
                  <m:ctrlPr>
                    <w:rPr>
                      <w:rFonts w:ascii="Cambria Math" w:hAnsi="Cambria Math"/>
                      <w:i/>
                    </w:rPr>
                  </m:ctrlPr>
                </m:sub>
              </m:sSub>
              <m:d>
                <m:dPr>
                  <m:ctrlPr>
                    <w:rPr>
                      <w:rFonts w:ascii="Cambria Math" w:hAnsi="Cambria Math"/>
                      <w:i/>
                    </w:rPr>
                  </m:ctrlPr>
                </m:dPr>
                <m:e>
                  <m:r>
                    <m:rPr/>
                    <w:rPr>
                      <w:rFonts w:ascii="Cambria Math" w:hAnsi="Cambria Math"/>
                    </w:rPr>
                    <m:t>r</m:t>
                  </m:r>
                  <m:ctrlPr>
                    <w:rPr>
                      <w:rFonts w:ascii="Cambria Math" w:hAnsi="Cambria Math"/>
                      <w:i/>
                    </w:rPr>
                  </m:ctrlPr>
                </m:e>
              </m:d>
            </m:oMath>
            <w:r>
              <w:t>按下式计算：</w:t>
            </w:r>
          </w:p>
          <w:p>
            <w:pPr>
              <w:ind w:firstLine="480"/>
              <w:rPr>
                <w:i/>
              </w:rPr>
            </w:pPr>
            <m:oMathPara>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m:t>
                    </m:r>
                    <m:ctrlPr>
                      <w:rPr>
                        <w:rFonts w:ascii="Cambria Math" w:hAnsi="Cambria Math"/>
                        <w:i/>
                      </w:rPr>
                    </m:ctrlPr>
                  </m:sub>
                </m:sSub>
                <m:d>
                  <m:dPr>
                    <m:ctrlPr>
                      <w:rPr>
                        <w:rFonts w:ascii="Cambria Math" w:hAnsi="Cambria Math"/>
                        <w:i/>
                      </w:rPr>
                    </m:ctrlPr>
                  </m:dPr>
                  <m:e>
                    <m:r>
                      <m:rPr/>
                      <w:rPr>
                        <w:rFonts w:ascii="Cambria Math" w:hAnsi="Cambria Math"/>
                      </w:rPr>
                      <m:t>r</m:t>
                    </m:r>
                    <m:ctrlPr>
                      <w:rPr>
                        <w:rFonts w:ascii="Cambria Math" w:hAnsi="Cambria Math"/>
                        <w:i/>
                      </w:rPr>
                    </m:ctrlPr>
                  </m:e>
                </m:d>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m:t>
                    </m:r>
                    <m:ctrlPr>
                      <w:rPr>
                        <w:rFonts w:ascii="Cambria Math" w:hAnsi="Cambria Math"/>
                        <w:i/>
                      </w:rPr>
                    </m:ctrlPr>
                  </m:sub>
                </m:sSub>
                <m:d>
                  <m:dPr>
                    <m:ctrlPr>
                      <w:rPr>
                        <w:rFonts w:ascii="Cambria Math" w:hAnsi="Cambria Math"/>
                        <w:i/>
                      </w:rPr>
                    </m:ctrlPr>
                  </m:dPr>
                  <m:e>
                    <m:sSub>
                      <m:sSubPr>
                        <m:ctrlPr>
                          <w:rPr>
                            <w:rFonts w:ascii="Cambria Math" w:hAnsi="Cambria Math"/>
                            <w:i/>
                          </w:rPr>
                        </m:ctrlPr>
                      </m:sSubPr>
                      <m:e>
                        <m:r>
                          <m:rPr/>
                          <w:rPr>
                            <w:rFonts w:ascii="Cambria Math" w:hAnsi="Cambria Math"/>
                          </w:rPr>
                          <m:t>r</m:t>
                        </m:r>
                        <m:ctrlPr>
                          <w:rPr>
                            <w:rFonts w:ascii="Cambria Math" w:hAnsi="Cambria Math"/>
                            <w:i/>
                          </w:rPr>
                        </m:ctrlPr>
                      </m:e>
                      <m:sub>
                        <m:r>
                          <m:rPr/>
                          <w:rPr>
                            <w:rFonts w:ascii="Cambria Math" w:hAnsi="Cambria Math"/>
                          </w:rPr>
                          <m:t>0</m:t>
                        </m:r>
                        <m:ctrlPr>
                          <w:rPr>
                            <w:rFonts w:ascii="Cambria Math" w:hAnsi="Cambria Math"/>
                            <w:i/>
                          </w:rPr>
                        </m:ctrlPr>
                      </m:sub>
                    </m:sSub>
                    <m:ctrlPr>
                      <w:rPr>
                        <w:rFonts w:ascii="Cambria Math" w:hAnsi="Cambria Math"/>
                        <w:i/>
                      </w:rPr>
                    </m:ctrlPr>
                  </m:e>
                </m:d>
                <m:r>
                  <m:rPr/>
                  <w:rPr>
                    <w:rFonts w:ascii="Cambria Math" w:hAnsi="Cambria Math"/>
                  </w:rPr>
                  <m:t>−</m:t>
                </m:r>
                <m:sSub>
                  <m:sSubPr>
                    <m:ctrlPr>
                      <w:rPr>
                        <w:rFonts w:ascii="Cambria Math" w:hAnsi="Cambria Math"/>
                        <w:i/>
                      </w:rPr>
                    </m:ctrlPr>
                  </m:sSubPr>
                  <m:e>
                    <m:r>
                      <m:rPr/>
                      <w:rPr>
                        <w:rFonts w:ascii="Cambria Math" w:hAnsi="Cambria Math"/>
                      </w:rPr>
                      <m:t>D</m:t>
                    </m:r>
                    <m:ctrlPr>
                      <w:rPr>
                        <w:rFonts w:ascii="Cambria Math" w:hAnsi="Cambria Math"/>
                        <w:i/>
                      </w:rPr>
                    </m:ctrlPr>
                  </m:e>
                  <m:sub>
                    <m:r>
                      <m:rPr/>
                      <w:rPr>
                        <w:rFonts w:ascii="Cambria Math" w:hAnsi="Cambria Math"/>
                      </w:rPr>
                      <m:t>C</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div</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atm</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gr</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bar</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misc</m:t>
                    </m:r>
                    <m:ctrlPr>
                      <w:rPr>
                        <w:rFonts w:ascii="Cambria Math" w:hAnsi="Cambria Math"/>
                        <w:i/>
                      </w:rPr>
                    </m:ctrlPr>
                  </m:sub>
                </m:sSub>
                <m:r>
                  <m:rPr/>
                  <w:rPr>
                    <w:rFonts w:ascii="Cambria Math" w:hAnsi="Cambria Math"/>
                  </w:rPr>
                  <m:t>)</m:t>
                </m:r>
              </m:oMath>
            </m:oMathPara>
          </w:p>
          <w:p>
            <w:pPr>
              <w:ind w:firstLine="480"/>
            </w:pPr>
            <w:r>
              <w:t>式中，</w:t>
            </w:r>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m:t>
                  </m:r>
                  <m:ctrlPr>
                    <w:rPr>
                      <w:rFonts w:ascii="Cambria Math" w:hAnsi="Cambria Math"/>
                      <w:i/>
                    </w:rPr>
                  </m:ctrlPr>
                </m:sub>
              </m:sSub>
              <m:d>
                <m:dPr>
                  <m:ctrlPr>
                    <w:rPr>
                      <w:rFonts w:ascii="Cambria Math" w:hAnsi="Cambria Math"/>
                      <w:i/>
                    </w:rPr>
                  </m:ctrlPr>
                </m:dPr>
                <m:e>
                  <m:r>
                    <m:rPr/>
                    <w:rPr>
                      <w:rFonts w:ascii="Cambria Math" w:hAnsi="Cambria Math"/>
                    </w:rPr>
                    <m:t>r</m:t>
                  </m:r>
                  <m:ctrlPr>
                    <w:rPr>
                      <w:rFonts w:ascii="Cambria Math" w:hAnsi="Cambria Math"/>
                      <w:i/>
                    </w:rPr>
                  </m:ctrlPr>
                </m:e>
              </m:d>
            </m:oMath>
            <w:r>
              <w:t>——</w:t>
            </w:r>
            <w:r>
              <w:rPr>
                <w:rFonts w:hint="eastAsia"/>
              </w:rPr>
              <w:t>预测点处声压级</w:t>
            </w:r>
            <w:r>
              <w:t>，dB；</w:t>
            </w:r>
          </w:p>
          <w:p>
            <w:pPr>
              <w:ind w:firstLine="480"/>
            </w:pPr>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m:t>
                  </m:r>
                  <m:ctrlPr>
                    <w:rPr>
                      <w:rFonts w:ascii="Cambria Math" w:hAnsi="Cambria Math"/>
                      <w:i/>
                    </w:rPr>
                  </m:ctrlPr>
                </m:sub>
              </m:sSub>
              <m:d>
                <m:dPr>
                  <m:ctrlPr>
                    <w:rPr>
                      <w:rFonts w:ascii="Cambria Math" w:hAnsi="Cambria Math"/>
                      <w:i/>
                    </w:rPr>
                  </m:ctrlPr>
                </m:dPr>
                <m:e>
                  <m:sSub>
                    <m:sSubPr>
                      <m:ctrlPr>
                        <w:rPr>
                          <w:rFonts w:ascii="Cambria Math" w:hAnsi="Cambria Math"/>
                          <w:i/>
                        </w:rPr>
                      </m:ctrlPr>
                    </m:sSubPr>
                    <m:e>
                      <m:r>
                        <m:rPr/>
                        <w:rPr>
                          <w:rFonts w:ascii="Cambria Math" w:hAnsi="Cambria Math"/>
                        </w:rPr>
                        <m:t>r</m:t>
                      </m:r>
                      <m:ctrlPr>
                        <w:rPr>
                          <w:rFonts w:ascii="Cambria Math" w:hAnsi="Cambria Math"/>
                          <w:i/>
                        </w:rPr>
                      </m:ctrlPr>
                    </m:e>
                    <m:sub>
                      <m:r>
                        <m:rPr/>
                        <w:rPr>
                          <w:rFonts w:ascii="Cambria Math" w:hAnsi="Cambria Math"/>
                        </w:rPr>
                        <m:t>0</m:t>
                      </m:r>
                      <m:ctrlPr>
                        <w:rPr>
                          <w:rFonts w:ascii="Cambria Math" w:hAnsi="Cambria Math"/>
                          <w:i/>
                        </w:rPr>
                      </m:ctrlPr>
                    </m:sub>
                  </m:sSub>
                  <m:ctrlPr>
                    <w:rPr>
                      <w:rFonts w:ascii="Cambria Math" w:hAnsi="Cambria Math"/>
                      <w:i/>
                    </w:rPr>
                  </m:ctrlPr>
                </m:e>
              </m:d>
            </m:oMath>
            <w:r>
              <w:t>——</w:t>
            </w:r>
            <w:r>
              <w:rPr>
                <w:rFonts w:hint="eastAsia"/>
              </w:rPr>
              <w:t>参考位置</w:t>
            </w:r>
            <m:oMath>
              <m:sSub>
                <m:sSubPr>
                  <m:ctrlPr>
                    <w:rPr>
                      <w:rFonts w:ascii="Cambria Math" w:hAnsi="Cambria Math"/>
                      <w:i/>
                    </w:rPr>
                  </m:ctrlPr>
                </m:sSubPr>
                <m:e>
                  <m:r>
                    <m:rPr/>
                    <w:rPr>
                      <w:rFonts w:ascii="Cambria Math" w:hAnsi="Cambria Math"/>
                    </w:rPr>
                    <m:t>r</m:t>
                  </m:r>
                  <m:ctrlPr>
                    <w:rPr>
                      <w:rFonts w:ascii="Cambria Math" w:hAnsi="Cambria Math"/>
                      <w:i/>
                    </w:rPr>
                  </m:ctrlPr>
                </m:e>
                <m:sub>
                  <m:r>
                    <m:rPr/>
                    <w:rPr>
                      <w:rFonts w:ascii="Cambria Math" w:hAnsi="Cambria Math"/>
                    </w:rPr>
                    <m:t>0</m:t>
                  </m:r>
                  <m:ctrlPr>
                    <w:rPr>
                      <w:rFonts w:ascii="Cambria Math" w:hAnsi="Cambria Math"/>
                      <w:i/>
                    </w:rPr>
                  </m:ctrlPr>
                </m:sub>
              </m:sSub>
            </m:oMath>
            <w:r>
              <w:rPr>
                <w:rFonts w:hint="eastAsia"/>
              </w:rPr>
              <w:t>处声压级</w:t>
            </w:r>
            <w:r>
              <w:t>，dB</w:t>
            </w:r>
            <w:r>
              <w:rPr>
                <w:rFonts w:hint="eastAsia"/>
              </w:rPr>
              <w:t>；</w:t>
            </w:r>
          </w:p>
          <w:p>
            <w:pPr>
              <w:ind w:firstLine="480"/>
            </w:pPr>
            <m:oMath>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div</m:t>
                  </m:r>
                  <m:ctrlPr>
                    <w:rPr>
                      <w:rFonts w:ascii="Cambria Math" w:hAnsi="Cambria Math"/>
                      <w:i/>
                    </w:rPr>
                  </m:ctrlPr>
                </m:sub>
              </m:sSub>
            </m:oMath>
            <w:r>
              <w:t>——几何发散引起的倍频带衰减，dB；</w:t>
            </w:r>
          </w:p>
          <w:p>
            <w:pPr>
              <w:ind w:firstLine="480"/>
            </w:pPr>
            <m:oMath>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atm</m:t>
                  </m:r>
                  <m:ctrlPr>
                    <w:rPr>
                      <w:rFonts w:ascii="Cambria Math" w:hAnsi="Cambria Math"/>
                      <w:i/>
                    </w:rPr>
                  </m:ctrlPr>
                </m:sub>
              </m:sSub>
            </m:oMath>
            <w:r>
              <w:t>——大气吸收引起的倍频带衰减，dB；</w:t>
            </w:r>
          </w:p>
          <w:p>
            <w:pPr>
              <w:ind w:firstLine="480"/>
            </w:pPr>
            <m:oMath>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gr</m:t>
                  </m:r>
                  <m:ctrlPr>
                    <w:rPr>
                      <w:rFonts w:ascii="Cambria Math" w:hAnsi="Cambria Math"/>
                      <w:i/>
                    </w:rPr>
                  </m:ctrlPr>
                </m:sub>
              </m:sSub>
            </m:oMath>
            <w:r>
              <w:t>——地面效应引起的倍频带衰减，dB；</w:t>
            </w:r>
          </w:p>
          <w:p>
            <w:pPr>
              <w:ind w:firstLine="480"/>
            </w:pPr>
            <m:oMath>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bar</m:t>
                  </m:r>
                  <m:ctrlPr>
                    <w:rPr>
                      <w:rFonts w:ascii="Cambria Math" w:hAnsi="Cambria Math"/>
                      <w:i/>
                    </w:rPr>
                  </m:ctrlPr>
                </m:sub>
              </m:sSub>
            </m:oMath>
            <w:r>
              <w:t>——声屏障引起的倍频带衰减，dB；</w:t>
            </w:r>
          </w:p>
          <w:p>
            <w:pPr>
              <w:ind w:firstLine="480"/>
            </w:pPr>
            <m:oMath>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misc</m:t>
                  </m:r>
                  <m:ctrlPr>
                    <w:rPr>
                      <w:rFonts w:ascii="Cambria Math" w:hAnsi="Cambria Math"/>
                      <w:i/>
                    </w:rPr>
                  </m:ctrlPr>
                </m:sub>
              </m:sSub>
            </m:oMath>
            <w:r>
              <w:t>——其他多方面效应引起的倍频带衰减，dB。</w:t>
            </w:r>
          </w:p>
          <w:p>
            <w:pPr>
              <w:ind w:firstLine="480"/>
            </w:pPr>
            <w:r>
              <w:t>本次评价只考虑几何发散（</w:t>
            </w:r>
            <m:oMath>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div</m:t>
                  </m:r>
                  <m:ctrlPr>
                    <w:rPr>
                      <w:rFonts w:ascii="Cambria Math" w:hAnsi="Cambria Math"/>
                      <w:i/>
                    </w:rPr>
                  </m:ctrlPr>
                </m:sub>
              </m:sSub>
            </m:oMath>
            <w:r>
              <w:t>）引起的衰减。</w:t>
            </w:r>
          </w:p>
          <w:p>
            <w:pPr>
              <w:ind w:firstLine="480"/>
            </w:pPr>
            <w:r>
              <w:t>无指向性</w:t>
            </w:r>
            <w:r>
              <w:rPr>
                <w:rFonts w:hint="eastAsia"/>
              </w:rPr>
              <w:t>点声源的</w:t>
            </w:r>
            <w:r>
              <w:t>几何发散衰减（</w:t>
            </w:r>
            <m:oMath>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div</m:t>
                  </m:r>
                  <m:ctrlPr>
                    <w:rPr>
                      <w:rFonts w:ascii="Cambria Math" w:hAnsi="Cambria Math"/>
                      <w:i/>
                    </w:rPr>
                  </m:ctrlPr>
                </m:sub>
              </m:sSub>
            </m:oMath>
            <w:r>
              <w:t>）按下式计算：</w:t>
            </w:r>
          </w:p>
          <w:p>
            <w:pPr>
              <w:ind w:firstLine="480"/>
              <w:rPr>
                <w:i/>
              </w:rPr>
            </w:pPr>
            <m:oMathPara>
              <m:oMath>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div</m:t>
                    </m:r>
                    <m:ctrlPr>
                      <w:rPr>
                        <w:rFonts w:ascii="Cambria Math" w:hAnsi="Cambria Math"/>
                        <w:i/>
                      </w:rPr>
                    </m:ctrlPr>
                  </m:sub>
                </m:sSub>
                <m:r>
                  <m:rPr/>
                  <w:rPr>
                    <w:rFonts w:ascii="Cambria Math" w:hAnsi="Cambria Math"/>
                  </w:rPr>
                  <m:t>=20</m:t>
                </m:r>
                <m:func>
                  <m:funcPr>
                    <m:ctrlPr>
                      <w:rPr>
                        <w:rFonts w:ascii="Cambria Math" w:hAnsi="Cambria Math"/>
                        <w:i/>
                      </w:rPr>
                    </m:ctrlPr>
                  </m:funcPr>
                  <m:fName>
                    <m:r>
                      <m:rPr/>
                      <w:rPr>
                        <w:rFonts w:ascii="Cambria Math" w:hAnsi="Cambria Math"/>
                      </w:rPr>
                      <m:t>lg</m:t>
                    </m:r>
                    <m:ctrlPr>
                      <w:rPr>
                        <w:rFonts w:ascii="Cambria Math" w:hAnsi="Cambria Math"/>
                        <w:i/>
                      </w:rPr>
                    </m:ctrlPr>
                  </m:fName>
                  <m:e>
                    <m:d>
                      <m:dPr>
                        <m:ctrlPr>
                          <w:rPr>
                            <w:rFonts w:ascii="Cambria Math" w:hAnsi="Cambria Math"/>
                            <w:i/>
                          </w:rPr>
                        </m:ctrlPr>
                      </m:dPr>
                      <m:e>
                        <m:r>
                          <m:rPr/>
                          <w:rPr>
                            <w:rFonts w:ascii="Cambria Math" w:hAnsi="Cambria Math"/>
                          </w:rPr>
                          <m:t>r/</m:t>
                        </m:r>
                        <m:sSub>
                          <m:sSubPr>
                            <m:ctrlPr>
                              <w:rPr>
                                <w:rFonts w:ascii="Cambria Math" w:hAnsi="Cambria Math"/>
                                <w:i/>
                              </w:rPr>
                            </m:ctrlPr>
                          </m:sSubPr>
                          <m:e>
                            <m:r>
                              <m:rPr/>
                              <w:rPr>
                                <w:rFonts w:ascii="Cambria Math" w:hAnsi="Cambria Math"/>
                              </w:rPr>
                              <m:t>r</m:t>
                            </m:r>
                            <m:ctrlPr>
                              <w:rPr>
                                <w:rFonts w:ascii="Cambria Math" w:hAnsi="Cambria Math"/>
                                <w:i/>
                              </w:rPr>
                            </m:ctrlPr>
                          </m:e>
                          <m:sub>
                            <m:r>
                              <m:rPr/>
                              <w:rPr>
                                <w:rFonts w:ascii="Cambria Math" w:hAnsi="Cambria Math"/>
                              </w:rPr>
                              <m:t>0</m:t>
                            </m:r>
                            <m:ctrlPr>
                              <w:rPr>
                                <w:rFonts w:ascii="Cambria Math" w:hAnsi="Cambria Math"/>
                                <w:i/>
                              </w:rPr>
                            </m:ctrlPr>
                          </m:sub>
                        </m:sSub>
                        <m:ctrlPr>
                          <w:rPr>
                            <w:rFonts w:ascii="Cambria Math" w:hAnsi="Cambria Math"/>
                            <w:i/>
                          </w:rPr>
                        </m:ctrlPr>
                      </m:e>
                    </m:d>
                    <m:ctrlPr>
                      <w:rPr>
                        <w:rFonts w:ascii="Cambria Math" w:hAnsi="Cambria Math"/>
                        <w:i/>
                      </w:rPr>
                    </m:ctrlPr>
                  </m:e>
                </m:func>
              </m:oMath>
            </m:oMathPara>
          </w:p>
          <w:p>
            <w:pPr>
              <w:ind w:firstLine="480"/>
            </w:pPr>
            <w:r>
              <w:t>声屏障引起的衰减（A</w:t>
            </w:r>
            <w:r>
              <w:rPr>
                <w:vertAlign w:val="subscript"/>
              </w:rPr>
              <w:t>bar</w:t>
            </w:r>
            <w:r>
              <w:t>）是位于声源和预测点之间的实体障碍物</w:t>
            </w:r>
            <w:r>
              <w:rPr>
                <w:rFonts w:hint="eastAsia"/>
              </w:rPr>
              <w:t>，</w:t>
            </w:r>
            <w:r>
              <w:t>如围墙、建筑物</w:t>
            </w:r>
            <w:r>
              <w:rPr>
                <w:rFonts w:hint="eastAsia"/>
              </w:rPr>
              <w:t>、土坡或地堑等起声屏障作用，从而引起声能量的较大衰减，具体衰减根据不同声级的传播途径而定。</w:t>
            </w:r>
          </w:p>
          <w:p>
            <w:pPr>
              <w:ind w:firstLine="480"/>
            </w:pPr>
            <w:r>
              <w:rPr>
                <w:rFonts w:hint="eastAsia"/>
              </w:rPr>
              <w:t>（3）</w:t>
            </w:r>
            <w:r>
              <w:t>噪声贡献值计算</w:t>
            </w:r>
          </w:p>
          <w:p>
            <w:pPr>
              <w:ind w:firstLine="480"/>
            </w:pPr>
            <w:r>
              <w:t>设第i个室外声源在预测点产生的A声级为L</w:t>
            </w:r>
            <w:r>
              <w:rPr>
                <w:vertAlign w:val="subscript"/>
              </w:rPr>
              <w:t>Ai</w:t>
            </w:r>
            <w:r>
              <w:t>，在T时间内该声源工作时间为t</w:t>
            </w:r>
            <w:r>
              <w:rPr>
                <w:vertAlign w:val="subscript"/>
              </w:rPr>
              <w:t>i</w:t>
            </w:r>
            <w:r>
              <w:t>，则声源对预测点产生的贡献值（L</w:t>
            </w:r>
            <w:r>
              <w:rPr>
                <w:vertAlign w:val="subscript"/>
              </w:rPr>
              <w:t>eqg</w:t>
            </w:r>
            <w:r>
              <w:t>）为：</w:t>
            </w:r>
          </w:p>
          <w:p>
            <w:pPr>
              <w:ind w:firstLine="480"/>
            </w:pPr>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eqg</m:t>
                  </m:r>
                  <m:ctrlPr>
                    <w:rPr>
                      <w:rFonts w:ascii="Cambria Math" w:hAnsi="Cambria Math"/>
                      <w:i/>
                    </w:rPr>
                  </m:ctrlPr>
                </m:sub>
              </m:sSub>
              <m:r>
                <m:rPr/>
                <w:rPr>
                  <w:rFonts w:ascii="Cambria Math" w:hAnsi="Cambria Math"/>
                </w:rPr>
                <m:t>=10lg⁡(</m:t>
              </m:r>
              <m:f>
                <m:fPr>
                  <m:ctrlPr>
                    <w:rPr>
                      <w:rFonts w:ascii="Cambria Math" w:hAnsi="Cambria Math"/>
                      <w:i/>
                    </w:rPr>
                  </m:ctrlPr>
                </m:fPr>
                <m:num>
                  <m:r>
                    <m:rPr/>
                    <w:rPr>
                      <w:rFonts w:ascii="Cambria Math" w:hAnsi="Cambria Math"/>
                    </w:rPr>
                    <m:t>1</m:t>
                  </m:r>
                  <m:ctrlPr>
                    <w:rPr>
                      <w:rFonts w:ascii="Cambria Math" w:hAnsi="Cambria Math"/>
                      <w:i/>
                    </w:rPr>
                  </m:ctrlPr>
                </m:num>
                <m:den>
                  <m:r>
                    <m:rPr/>
                    <w:rPr>
                      <w:rFonts w:ascii="Cambria Math" w:hAnsi="Cambria Math"/>
                    </w:rPr>
                    <m:t>T</m:t>
                  </m:r>
                  <m:ctrlPr>
                    <w:rPr>
                      <w:rFonts w:ascii="Cambria Math" w:hAnsi="Cambria Math"/>
                      <w:i/>
                    </w:rPr>
                  </m:ctrlPr>
                </m:den>
              </m:f>
              <m:nary>
                <m:naryPr>
                  <m:chr m:val="∑"/>
                  <m:limLoc m:val="undOvr"/>
                  <m:ctrlPr>
                    <w:rPr>
                      <w:rFonts w:ascii="Cambria Math" w:hAnsi="Cambria Math"/>
                      <w:i/>
                    </w:rPr>
                  </m:ctrlPr>
                </m:naryPr>
                <m:sub>
                  <m:r>
                    <m:rPr/>
                    <w:rPr>
                      <w:rFonts w:ascii="Cambria Math" w:hAnsi="Cambria Math"/>
                    </w:rPr>
                    <m:t>i=1</m:t>
                  </m:r>
                  <m:ctrlPr>
                    <w:rPr>
                      <w:rFonts w:ascii="Cambria Math" w:hAnsi="Cambria Math"/>
                      <w:i/>
                    </w:rPr>
                  </m:ctrlPr>
                </m:sub>
                <m:sup>
                  <m:r>
                    <m:rPr/>
                    <w:rPr>
                      <w:rFonts w:ascii="Cambria Math" w:hAnsi="Cambria Math"/>
                    </w:rPr>
                    <m:t>n</m:t>
                  </m:r>
                  <m:ctrlPr>
                    <w:rPr>
                      <w:rFonts w:ascii="Cambria Math" w:hAnsi="Cambria Math"/>
                      <w:i/>
                    </w:rPr>
                  </m:ctrlPr>
                </m:sup>
                <m:e>
                  <m:sSub>
                    <m:sSubPr>
                      <m:ctrlPr>
                        <w:rPr>
                          <w:rFonts w:ascii="Cambria Math" w:hAnsi="Cambria Math"/>
                          <w:i/>
                        </w:rPr>
                      </m:ctrlPr>
                    </m:sSubPr>
                    <m:e>
                      <m:r>
                        <m:rPr/>
                        <w:rPr>
                          <w:rFonts w:ascii="Cambria Math" w:hAnsi="Cambria Math"/>
                        </w:rPr>
                        <m:t>t</m:t>
                      </m:r>
                      <m:ctrlPr>
                        <w:rPr>
                          <w:rFonts w:ascii="Cambria Math" w:hAnsi="Cambria Math"/>
                          <w:i/>
                        </w:rPr>
                      </m:ctrlPr>
                    </m:e>
                    <m:sub>
                      <m:r>
                        <m:rPr/>
                        <w:rPr>
                          <w:rFonts w:ascii="Cambria Math" w:hAnsi="Cambria Math"/>
                        </w:rPr>
                        <m:t>i</m:t>
                      </m:r>
                      <m:ctrlPr>
                        <w:rPr>
                          <w:rFonts w:ascii="Cambria Math" w:hAnsi="Cambria Math"/>
                          <w:i/>
                        </w:rPr>
                      </m:ctrlPr>
                    </m:sub>
                  </m:sSub>
                  <m:sSup>
                    <m:sSupPr>
                      <m:ctrlPr>
                        <w:rPr>
                          <w:rFonts w:ascii="Cambria Math" w:hAnsi="Cambria Math"/>
                          <w:i/>
                        </w:rPr>
                      </m:ctrlPr>
                    </m:sSupPr>
                    <m:e>
                      <m:r>
                        <m:rPr/>
                        <w:rPr>
                          <w:rFonts w:ascii="Cambria Math" w:hAnsi="Cambria Math"/>
                        </w:rPr>
                        <m:t>10</m:t>
                      </m:r>
                      <m:ctrlPr>
                        <w:rPr>
                          <w:rFonts w:ascii="Cambria Math" w:hAnsi="Cambria Math"/>
                          <w:i/>
                        </w:rPr>
                      </m:ctrlPr>
                    </m:e>
                    <m:sup>
                      <m:r>
                        <m:rPr/>
                        <w:rPr>
                          <w:rFonts w:ascii="Cambria Math" w:hAnsi="Cambria Math"/>
                        </w:rPr>
                        <m:t>0.1</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Ai</m:t>
                          </m:r>
                          <m:ctrlPr>
                            <w:rPr>
                              <w:rFonts w:ascii="Cambria Math" w:hAnsi="Cambria Math"/>
                              <w:i/>
                            </w:rPr>
                          </m:ctrlPr>
                        </m:sub>
                      </m:sSub>
                      <m:ctrlPr>
                        <w:rPr>
                          <w:rFonts w:ascii="Cambria Math" w:hAnsi="Cambria Math"/>
                          <w:i/>
                        </w:rPr>
                      </m:ctrlPr>
                    </m:sup>
                  </m:sSup>
                  <m:ctrlPr>
                    <w:rPr>
                      <w:rFonts w:ascii="Cambria Math" w:hAnsi="Cambria Math"/>
                      <w:i/>
                    </w:rPr>
                  </m:ctrlPr>
                </m:e>
              </m:nary>
            </m:oMath>
            <w:r>
              <w:rPr>
                <w:i/>
              </w:rPr>
              <w:t>)</w:t>
            </w:r>
          </w:p>
          <w:p>
            <w:pPr>
              <w:ind w:firstLine="480"/>
            </w:pPr>
            <w:r>
              <w:t>式中，t</w:t>
            </w:r>
            <w:r>
              <w:rPr>
                <w:vertAlign w:val="subscript"/>
              </w:rPr>
              <w:t>i</w:t>
            </w:r>
            <w:r>
              <w:t>——在T时间内i声源工作时间，s；</w:t>
            </w:r>
          </w:p>
          <w:p>
            <w:pPr>
              <w:ind w:firstLine="480"/>
            </w:pPr>
            <w:r>
              <w:t>T——用于计算等效声级的时间，s；</w:t>
            </w:r>
          </w:p>
          <w:p>
            <w:pPr>
              <w:ind w:firstLine="480"/>
            </w:pPr>
            <w:r>
              <w:t>N——室外声源个数。</w:t>
            </w:r>
          </w:p>
          <w:p>
            <w:pPr>
              <w:ind w:firstLine="480"/>
            </w:pPr>
            <w:r>
              <w:rPr>
                <w:rFonts w:hint="eastAsia"/>
              </w:rPr>
              <w:t>（4）</w:t>
            </w:r>
            <w:r>
              <w:t>预测值计算</w:t>
            </w:r>
          </w:p>
          <w:p>
            <w:pPr>
              <w:ind w:firstLine="480"/>
              <w:rPr>
                <w:i/>
              </w:rPr>
            </w:pPr>
            <m:oMathPara>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eq</m:t>
                    </m:r>
                    <m:ctrlPr>
                      <w:rPr>
                        <w:rFonts w:ascii="Cambria Math" w:hAnsi="Cambria Math"/>
                        <w:i/>
                      </w:rPr>
                    </m:ctrlPr>
                  </m:sub>
                </m:sSub>
                <m:r>
                  <m:rPr/>
                  <w:rPr>
                    <w:rFonts w:ascii="Cambria Math" w:hAnsi="Cambria Math"/>
                  </w:rPr>
                  <m:t>=10lg⁡(</m:t>
                </m:r>
                <m:sSup>
                  <m:sSupPr>
                    <m:ctrlPr>
                      <w:rPr>
                        <w:rFonts w:ascii="Cambria Math" w:hAnsi="Cambria Math"/>
                        <w:i/>
                      </w:rPr>
                    </m:ctrlPr>
                  </m:sSupPr>
                  <m:e>
                    <m:r>
                      <m:rPr/>
                      <w:rPr>
                        <w:rFonts w:ascii="Cambria Math" w:hAnsi="Cambria Math"/>
                      </w:rPr>
                      <m:t>10</m:t>
                    </m:r>
                    <m:ctrlPr>
                      <w:rPr>
                        <w:rFonts w:ascii="Cambria Math" w:hAnsi="Cambria Math"/>
                        <w:i/>
                      </w:rPr>
                    </m:ctrlPr>
                  </m:e>
                  <m:sup>
                    <m:r>
                      <m:rPr/>
                      <w:rPr>
                        <w:rFonts w:ascii="Cambria Math" w:hAnsi="Cambria Math"/>
                      </w:rPr>
                      <m:t>0.1</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eqg</m:t>
                        </m:r>
                        <m:ctrlPr>
                          <w:rPr>
                            <w:rFonts w:ascii="Cambria Math" w:hAnsi="Cambria Math"/>
                            <w:i/>
                          </w:rPr>
                        </m:ctrlPr>
                      </m:sub>
                    </m:sSub>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10</m:t>
                    </m:r>
                    <m:ctrlPr>
                      <w:rPr>
                        <w:rFonts w:ascii="Cambria Math" w:hAnsi="Cambria Math"/>
                        <w:i/>
                      </w:rPr>
                    </m:ctrlPr>
                  </m:e>
                  <m:sup>
                    <m:r>
                      <m:rPr/>
                      <w:rPr>
                        <w:rFonts w:ascii="Cambria Math" w:hAnsi="Cambria Math"/>
                      </w:rPr>
                      <m:t>0.1</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eqb</m:t>
                        </m:r>
                        <m:ctrlPr>
                          <w:rPr>
                            <w:rFonts w:ascii="Cambria Math" w:hAnsi="Cambria Math"/>
                            <w:i/>
                          </w:rPr>
                        </m:ctrlPr>
                      </m:sub>
                    </m:sSub>
                    <m:ctrlPr>
                      <w:rPr>
                        <w:rFonts w:ascii="Cambria Math" w:hAnsi="Cambria Math"/>
                        <w:i/>
                      </w:rPr>
                    </m:ctrlPr>
                  </m:sup>
                </m:sSup>
                <m:r>
                  <m:rPr/>
                  <w:rPr>
                    <w:rFonts w:ascii="Cambria Math" w:hAnsi="Cambria Math"/>
                  </w:rPr>
                  <m:t>)</m:t>
                </m:r>
              </m:oMath>
            </m:oMathPara>
          </w:p>
          <w:p>
            <w:pPr>
              <w:ind w:firstLine="480"/>
            </w:pPr>
            <w:r>
              <w:t>式中，L</w:t>
            </w:r>
            <w:r>
              <w:rPr>
                <w:vertAlign w:val="subscript"/>
              </w:rPr>
              <w:t>eqg</w:t>
            </w:r>
            <w:r>
              <w:t>——建设项目声源在预测点的等效声级贡献值，dB（A）；</w:t>
            </w:r>
          </w:p>
          <w:p>
            <w:pPr>
              <w:ind w:firstLine="1130" w:firstLineChars="471"/>
            </w:pPr>
            <w:r>
              <w:t>L</w:t>
            </w:r>
            <w:r>
              <w:rPr>
                <w:vertAlign w:val="subscript"/>
              </w:rPr>
              <w:t>eqb</w:t>
            </w:r>
            <w:r>
              <w:t>——预测点的背景值，dB（A）。</w:t>
            </w:r>
          </w:p>
          <w:p>
            <w:pPr>
              <w:ind w:firstLine="482"/>
              <w:rPr>
                <w:b/>
              </w:rPr>
            </w:pPr>
            <w:r>
              <w:rPr>
                <w:rFonts w:hint="eastAsia"/>
                <w:b/>
              </w:rPr>
              <w:t>3、预测结果</w:t>
            </w:r>
          </w:p>
          <w:p>
            <w:pPr>
              <w:ind w:firstLine="480"/>
            </w:pPr>
            <w:r>
              <w:t>本项目噪声</w:t>
            </w:r>
            <w:r>
              <w:rPr>
                <w:rFonts w:hint="eastAsia"/>
              </w:rPr>
              <w:t>贡献值预测</w:t>
            </w:r>
            <w:r>
              <w:t>结果见下表。</w:t>
            </w:r>
          </w:p>
          <w:p>
            <w:pPr>
              <w:pStyle w:val="157"/>
              <w:ind w:firstLine="420"/>
            </w:pPr>
            <w:r>
              <w:t xml:space="preserve">表4.3-2  </w:t>
            </w:r>
            <w:r>
              <w:rPr>
                <w:rFonts w:hint="eastAsia"/>
              </w:rPr>
              <w:t>本项目</w:t>
            </w:r>
            <w:r>
              <w:t>噪声</w:t>
            </w:r>
            <w:r>
              <w:rPr>
                <w:rFonts w:hint="eastAsia"/>
              </w:rPr>
              <w:t>贡献值预测结果</w:t>
            </w:r>
            <w:r>
              <w:t>一览表</w:t>
            </w:r>
            <w:r>
              <w:rPr>
                <w:rFonts w:hint="eastAsia"/>
              </w:rPr>
              <w:t xml:space="preserve"> </w:t>
            </w:r>
            <w:r>
              <w:t xml:space="preserve"> 单位：dB(A)</w:t>
            </w:r>
          </w:p>
          <w:tbl>
            <w:tblPr>
              <w:tblStyle w:val="19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809"/>
              <w:gridCol w:w="1561"/>
              <w:gridCol w:w="1895"/>
              <w:gridCol w:w="18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722" w:type="pct"/>
                  <w:vAlign w:val="center"/>
                </w:tcPr>
                <w:p>
                  <w:pPr>
                    <w:pStyle w:val="136"/>
                    <w:adjustRightInd w:val="0"/>
                    <w:snapToGrid w:val="0"/>
                    <w:rPr>
                      <w:rFonts w:cs="Times New Roman"/>
                      <w:b/>
                    </w:rPr>
                  </w:pPr>
                  <w:r>
                    <w:rPr>
                      <w:rFonts w:cs="Times New Roman"/>
                      <w:b/>
                    </w:rPr>
                    <w:t>位置</w:t>
                  </w:r>
                </w:p>
              </w:tc>
              <w:tc>
                <w:tcPr>
                  <w:tcW w:w="957" w:type="pct"/>
                  <w:vAlign w:val="center"/>
                </w:tcPr>
                <w:p>
                  <w:pPr>
                    <w:pStyle w:val="136"/>
                    <w:adjustRightInd w:val="0"/>
                    <w:snapToGrid w:val="0"/>
                    <w:rPr>
                      <w:rFonts w:cs="Times New Roman"/>
                      <w:b/>
                    </w:rPr>
                  </w:pPr>
                  <w:r>
                    <w:rPr>
                      <w:rFonts w:hint="eastAsia" w:cs="Times New Roman"/>
                      <w:b/>
                    </w:rPr>
                    <w:t>贡献值</w:t>
                  </w:r>
                </w:p>
              </w:tc>
              <w:tc>
                <w:tcPr>
                  <w:tcW w:w="1162" w:type="pct"/>
                  <w:vAlign w:val="center"/>
                </w:tcPr>
                <w:p>
                  <w:pPr>
                    <w:pStyle w:val="136"/>
                    <w:adjustRightInd w:val="0"/>
                    <w:snapToGrid w:val="0"/>
                    <w:rPr>
                      <w:rFonts w:cs="Times New Roman"/>
                      <w:b/>
                    </w:rPr>
                  </w:pPr>
                  <w:r>
                    <w:rPr>
                      <w:rFonts w:cs="Times New Roman"/>
                      <w:b/>
                    </w:rPr>
                    <w:t>标准限值</w:t>
                  </w:r>
                </w:p>
              </w:tc>
              <w:tc>
                <w:tcPr>
                  <w:tcW w:w="1159" w:type="pct"/>
                  <w:vAlign w:val="center"/>
                </w:tcPr>
                <w:p>
                  <w:pPr>
                    <w:pStyle w:val="136"/>
                    <w:adjustRightInd w:val="0"/>
                    <w:snapToGrid w:val="0"/>
                    <w:rPr>
                      <w:rFonts w:cs="Times New Roman"/>
                      <w:b/>
                    </w:rPr>
                  </w:pPr>
                  <w:r>
                    <w:rPr>
                      <w:rFonts w:cs="Times New Roman"/>
                      <w:b/>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722" w:type="pct"/>
                  <w:vAlign w:val="center"/>
                </w:tcPr>
                <w:p>
                  <w:pPr>
                    <w:pStyle w:val="136"/>
                    <w:adjustRightInd w:val="0"/>
                    <w:snapToGrid w:val="0"/>
                    <w:rPr>
                      <w:rFonts w:cs="Times New Roman"/>
                    </w:rPr>
                  </w:pPr>
                  <w:r>
                    <w:rPr>
                      <w:rFonts w:hint="eastAsia" w:cs="Times New Roman"/>
                    </w:rPr>
                    <w:t>东南侧厂界</w:t>
                  </w:r>
                </w:p>
              </w:tc>
              <w:tc>
                <w:tcPr>
                  <w:tcW w:w="957" w:type="pct"/>
                  <w:vAlign w:val="center"/>
                </w:tcPr>
                <w:p>
                  <w:pPr>
                    <w:pStyle w:val="136"/>
                    <w:adjustRightInd w:val="0"/>
                    <w:snapToGrid w:val="0"/>
                    <w:rPr>
                      <w:rFonts w:cs="Times New Roman"/>
                    </w:rPr>
                  </w:pPr>
                  <w:r>
                    <w:rPr>
                      <w:rFonts w:hint="eastAsia" w:cs="Times New Roman"/>
                    </w:rPr>
                    <w:t>5</w:t>
                  </w:r>
                  <w:r>
                    <w:rPr>
                      <w:rFonts w:cs="Times New Roman"/>
                    </w:rPr>
                    <w:t>0.1</w:t>
                  </w:r>
                </w:p>
              </w:tc>
              <w:tc>
                <w:tcPr>
                  <w:tcW w:w="1162" w:type="pct"/>
                  <w:vMerge w:val="restart"/>
                  <w:vAlign w:val="center"/>
                </w:tcPr>
                <w:p>
                  <w:pPr>
                    <w:pStyle w:val="136"/>
                    <w:adjustRightInd w:val="0"/>
                    <w:snapToGrid w:val="0"/>
                    <w:rPr>
                      <w:rFonts w:cs="Times New Roman"/>
                    </w:rPr>
                  </w:pPr>
                  <w:r>
                    <w:rPr>
                      <w:rFonts w:cs="Times New Roman"/>
                    </w:rPr>
                    <w:t>昼间：60</w:t>
                  </w:r>
                </w:p>
              </w:tc>
              <w:tc>
                <w:tcPr>
                  <w:tcW w:w="1159" w:type="pct"/>
                  <w:vAlign w:val="center"/>
                </w:tcPr>
                <w:p>
                  <w:pPr>
                    <w:pStyle w:val="136"/>
                    <w:adjustRightInd w:val="0"/>
                    <w:snapToGrid w:val="0"/>
                    <w:rPr>
                      <w:rFonts w:cs="Times New Roman"/>
                    </w:rPr>
                  </w:pPr>
                  <w:r>
                    <w:rPr>
                      <w:rFonts w:cs="Times New Roma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722" w:type="pct"/>
                  <w:vAlign w:val="center"/>
                </w:tcPr>
                <w:p>
                  <w:pPr>
                    <w:pStyle w:val="136"/>
                    <w:adjustRightInd w:val="0"/>
                    <w:snapToGrid w:val="0"/>
                    <w:rPr>
                      <w:rFonts w:cs="Times New Roman"/>
                    </w:rPr>
                  </w:pPr>
                  <w:r>
                    <w:rPr>
                      <w:rFonts w:hint="eastAsia" w:cs="Times New Roman"/>
                    </w:rPr>
                    <w:t>西南侧厂界</w:t>
                  </w:r>
                </w:p>
              </w:tc>
              <w:tc>
                <w:tcPr>
                  <w:tcW w:w="957" w:type="pct"/>
                  <w:vAlign w:val="center"/>
                </w:tcPr>
                <w:p>
                  <w:pPr>
                    <w:pStyle w:val="136"/>
                    <w:adjustRightInd w:val="0"/>
                    <w:snapToGrid w:val="0"/>
                    <w:rPr>
                      <w:rFonts w:cs="Times New Roman"/>
                    </w:rPr>
                  </w:pPr>
                  <w:r>
                    <w:rPr>
                      <w:rFonts w:cs="Times New Roman"/>
                    </w:rPr>
                    <w:t>44.1</w:t>
                  </w:r>
                </w:p>
              </w:tc>
              <w:tc>
                <w:tcPr>
                  <w:tcW w:w="1162" w:type="pct"/>
                  <w:vMerge w:val="continue"/>
                  <w:vAlign w:val="center"/>
                </w:tcPr>
                <w:p>
                  <w:pPr>
                    <w:pStyle w:val="136"/>
                    <w:adjustRightInd w:val="0"/>
                    <w:snapToGrid w:val="0"/>
                    <w:rPr>
                      <w:rFonts w:cs="Times New Roman"/>
                    </w:rPr>
                  </w:pPr>
                </w:p>
              </w:tc>
              <w:tc>
                <w:tcPr>
                  <w:tcW w:w="1159" w:type="pct"/>
                  <w:vAlign w:val="center"/>
                </w:tcPr>
                <w:p>
                  <w:pPr>
                    <w:pStyle w:val="136"/>
                    <w:adjustRightInd w:val="0"/>
                    <w:snapToGrid w:val="0"/>
                    <w:rPr>
                      <w:rFonts w:cs="Times New Roman"/>
                    </w:rPr>
                  </w:pPr>
                  <w:r>
                    <w:rPr>
                      <w:rFonts w:cs="Times New Roma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722" w:type="pct"/>
                  <w:vAlign w:val="center"/>
                </w:tcPr>
                <w:p>
                  <w:pPr>
                    <w:pStyle w:val="136"/>
                    <w:adjustRightInd w:val="0"/>
                    <w:snapToGrid w:val="0"/>
                    <w:rPr>
                      <w:rFonts w:cs="Times New Roman"/>
                    </w:rPr>
                  </w:pPr>
                  <w:r>
                    <w:rPr>
                      <w:rFonts w:hint="eastAsia" w:cs="Times New Roman"/>
                    </w:rPr>
                    <w:t>西北侧厂界</w:t>
                  </w:r>
                </w:p>
              </w:tc>
              <w:tc>
                <w:tcPr>
                  <w:tcW w:w="957" w:type="pct"/>
                  <w:vAlign w:val="center"/>
                </w:tcPr>
                <w:p>
                  <w:pPr>
                    <w:pStyle w:val="136"/>
                    <w:adjustRightInd w:val="0"/>
                    <w:snapToGrid w:val="0"/>
                    <w:rPr>
                      <w:rFonts w:cs="Times New Roman"/>
                    </w:rPr>
                  </w:pPr>
                  <w:r>
                    <w:rPr>
                      <w:rFonts w:hint="eastAsia" w:cs="Times New Roman"/>
                    </w:rPr>
                    <w:t>3</w:t>
                  </w:r>
                  <w:r>
                    <w:rPr>
                      <w:rFonts w:cs="Times New Roman"/>
                    </w:rPr>
                    <w:t>4.9</w:t>
                  </w:r>
                </w:p>
              </w:tc>
              <w:tc>
                <w:tcPr>
                  <w:tcW w:w="1162" w:type="pct"/>
                  <w:vMerge w:val="continue"/>
                  <w:vAlign w:val="center"/>
                </w:tcPr>
                <w:p>
                  <w:pPr>
                    <w:pStyle w:val="136"/>
                    <w:adjustRightInd w:val="0"/>
                    <w:snapToGrid w:val="0"/>
                    <w:rPr>
                      <w:rFonts w:cs="Times New Roman"/>
                    </w:rPr>
                  </w:pPr>
                </w:p>
              </w:tc>
              <w:tc>
                <w:tcPr>
                  <w:tcW w:w="1159" w:type="pct"/>
                  <w:vAlign w:val="center"/>
                </w:tcPr>
                <w:p>
                  <w:pPr>
                    <w:pStyle w:val="136"/>
                    <w:adjustRightInd w:val="0"/>
                    <w:snapToGrid w:val="0"/>
                    <w:rPr>
                      <w:rFonts w:cs="Times New Roman"/>
                    </w:rPr>
                  </w:pPr>
                  <w:r>
                    <w:rPr>
                      <w:rFonts w:cs="Times New Roma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722" w:type="pct"/>
                  <w:vAlign w:val="center"/>
                </w:tcPr>
                <w:p>
                  <w:pPr>
                    <w:pStyle w:val="136"/>
                    <w:adjustRightInd w:val="0"/>
                    <w:snapToGrid w:val="0"/>
                    <w:rPr>
                      <w:rFonts w:cs="Times New Roman"/>
                    </w:rPr>
                  </w:pPr>
                  <w:r>
                    <w:rPr>
                      <w:rFonts w:hint="eastAsia" w:cs="Times New Roman"/>
                    </w:rPr>
                    <w:t>东北侧厂界</w:t>
                  </w:r>
                </w:p>
              </w:tc>
              <w:tc>
                <w:tcPr>
                  <w:tcW w:w="957" w:type="pct"/>
                  <w:vAlign w:val="center"/>
                </w:tcPr>
                <w:p>
                  <w:pPr>
                    <w:pStyle w:val="136"/>
                    <w:adjustRightInd w:val="0"/>
                    <w:snapToGrid w:val="0"/>
                    <w:rPr>
                      <w:rFonts w:cs="Times New Roman"/>
                    </w:rPr>
                  </w:pPr>
                  <w:r>
                    <w:rPr>
                      <w:rFonts w:cs="Times New Roman"/>
                    </w:rPr>
                    <w:t>50.1</w:t>
                  </w:r>
                </w:p>
              </w:tc>
              <w:tc>
                <w:tcPr>
                  <w:tcW w:w="1162" w:type="pct"/>
                  <w:vMerge w:val="continue"/>
                  <w:vAlign w:val="center"/>
                </w:tcPr>
                <w:p>
                  <w:pPr>
                    <w:pStyle w:val="136"/>
                    <w:adjustRightInd w:val="0"/>
                    <w:snapToGrid w:val="0"/>
                    <w:rPr>
                      <w:rFonts w:cs="Times New Roman"/>
                    </w:rPr>
                  </w:pPr>
                </w:p>
              </w:tc>
              <w:tc>
                <w:tcPr>
                  <w:tcW w:w="1159" w:type="pct"/>
                  <w:vAlign w:val="center"/>
                </w:tcPr>
                <w:p>
                  <w:pPr>
                    <w:pStyle w:val="136"/>
                    <w:adjustRightInd w:val="0"/>
                    <w:snapToGrid w:val="0"/>
                    <w:rPr>
                      <w:rFonts w:cs="Times New Roman"/>
                    </w:rPr>
                  </w:pPr>
                  <w:r>
                    <w:rPr>
                      <w:rFonts w:cs="Times New Roma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722" w:type="pct"/>
                  <w:vAlign w:val="center"/>
                </w:tcPr>
                <w:p>
                  <w:pPr>
                    <w:pStyle w:val="136"/>
                    <w:adjustRightInd w:val="0"/>
                    <w:snapToGrid w:val="0"/>
                    <w:rPr>
                      <w:rFonts w:cs="Times New Roman"/>
                    </w:rPr>
                  </w:pPr>
                  <w:r>
                    <w:rPr>
                      <w:rFonts w:hint="eastAsia"/>
                    </w:rPr>
                    <w:t>华兴·逸境新城B区3栋</w:t>
                  </w:r>
                </w:p>
              </w:tc>
              <w:tc>
                <w:tcPr>
                  <w:tcW w:w="957" w:type="pct"/>
                  <w:vAlign w:val="center"/>
                </w:tcPr>
                <w:p>
                  <w:pPr>
                    <w:pStyle w:val="136"/>
                    <w:adjustRightInd w:val="0"/>
                    <w:snapToGrid w:val="0"/>
                    <w:rPr>
                      <w:rFonts w:cs="Times New Roman"/>
                    </w:rPr>
                  </w:pPr>
                  <w:r>
                    <w:rPr>
                      <w:rFonts w:hint="eastAsia" w:cs="Times New Roman"/>
                    </w:rPr>
                    <w:t>3</w:t>
                  </w:r>
                  <w:r>
                    <w:rPr>
                      <w:rFonts w:cs="Times New Roman"/>
                    </w:rPr>
                    <w:t>4.3</w:t>
                  </w:r>
                </w:p>
              </w:tc>
              <w:tc>
                <w:tcPr>
                  <w:tcW w:w="1162" w:type="pct"/>
                  <w:vMerge w:val="continue"/>
                  <w:vAlign w:val="center"/>
                </w:tcPr>
                <w:p>
                  <w:pPr>
                    <w:pStyle w:val="136"/>
                    <w:adjustRightInd w:val="0"/>
                    <w:snapToGrid w:val="0"/>
                    <w:rPr>
                      <w:rFonts w:cs="Times New Roman"/>
                    </w:rPr>
                  </w:pPr>
                </w:p>
              </w:tc>
              <w:tc>
                <w:tcPr>
                  <w:tcW w:w="1159" w:type="pct"/>
                  <w:vAlign w:val="center"/>
                </w:tcPr>
                <w:p>
                  <w:pPr>
                    <w:pStyle w:val="136"/>
                    <w:adjustRightInd w:val="0"/>
                    <w:snapToGrid w:val="0"/>
                    <w:rPr>
                      <w:rFonts w:cs="Times New Roman"/>
                    </w:rPr>
                  </w:pPr>
                  <w:r>
                    <w:rPr>
                      <w:rFonts w:cs="Times New Roma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722" w:type="pct"/>
                  <w:vAlign w:val="center"/>
                </w:tcPr>
                <w:p>
                  <w:pPr>
                    <w:pStyle w:val="136"/>
                    <w:adjustRightInd w:val="0"/>
                    <w:snapToGrid w:val="0"/>
                    <w:rPr>
                      <w:rFonts w:cs="Times New Roman"/>
                    </w:rPr>
                  </w:pPr>
                  <w:r>
                    <w:rPr>
                      <w:rFonts w:hint="eastAsia"/>
                    </w:rPr>
                    <w:t>华兴·逸境新城B区</w:t>
                  </w:r>
                  <w:r>
                    <w:t>4</w:t>
                  </w:r>
                  <w:r>
                    <w:rPr>
                      <w:rFonts w:hint="eastAsia"/>
                    </w:rPr>
                    <w:t>栋</w:t>
                  </w:r>
                </w:p>
              </w:tc>
              <w:tc>
                <w:tcPr>
                  <w:tcW w:w="957" w:type="pct"/>
                  <w:vAlign w:val="center"/>
                </w:tcPr>
                <w:p>
                  <w:pPr>
                    <w:pStyle w:val="136"/>
                    <w:adjustRightInd w:val="0"/>
                    <w:snapToGrid w:val="0"/>
                    <w:rPr>
                      <w:rFonts w:cs="Times New Roman"/>
                    </w:rPr>
                  </w:pPr>
                  <w:r>
                    <w:rPr>
                      <w:rFonts w:hint="eastAsia" w:cs="Times New Roman"/>
                    </w:rPr>
                    <w:t>3</w:t>
                  </w:r>
                  <w:r>
                    <w:rPr>
                      <w:rFonts w:cs="Times New Roman"/>
                    </w:rPr>
                    <w:t>4.3</w:t>
                  </w:r>
                </w:p>
              </w:tc>
              <w:tc>
                <w:tcPr>
                  <w:tcW w:w="1162" w:type="pct"/>
                  <w:vMerge w:val="continue"/>
                  <w:vAlign w:val="center"/>
                </w:tcPr>
                <w:p>
                  <w:pPr>
                    <w:pStyle w:val="136"/>
                    <w:adjustRightInd w:val="0"/>
                    <w:snapToGrid w:val="0"/>
                    <w:rPr>
                      <w:rFonts w:cs="Times New Roman"/>
                    </w:rPr>
                  </w:pPr>
                </w:p>
              </w:tc>
              <w:tc>
                <w:tcPr>
                  <w:tcW w:w="1159" w:type="pct"/>
                  <w:vAlign w:val="center"/>
                </w:tcPr>
                <w:p>
                  <w:pPr>
                    <w:pStyle w:val="136"/>
                    <w:adjustRightInd w:val="0"/>
                    <w:snapToGrid w:val="0"/>
                    <w:rPr>
                      <w:rFonts w:cs="Times New Roman"/>
                    </w:rPr>
                  </w:pPr>
                  <w:r>
                    <w:rPr>
                      <w:rFonts w:cs="Times New Roma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722" w:type="pct"/>
                  <w:vAlign w:val="center"/>
                </w:tcPr>
                <w:p>
                  <w:pPr>
                    <w:pStyle w:val="136"/>
                    <w:adjustRightInd w:val="0"/>
                    <w:snapToGrid w:val="0"/>
                  </w:pPr>
                  <w:r>
                    <w:rPr>
                      <w:rFonts w:hint="eastAsia"/>
                    </w:rPr>
                    <w:t>巴中气象灾害监测预警及西南气象数据灾难备份中心</w:t>
                  </w:r>
                </w:p>
              </w:tc>
              <w:tc>
                <w:tcPr>
                  <w:tcW w:w="957" w:type="pct"/>
                  <w:vAlign w:val="center"/>
                </w:tcPr>
                <w:p>
                  <w:pPr>
                    <w:pStyle w:val="136"/>
                    <w:adjustRightInd w:val="0"/>
                    <w:snapToGrid w:val="0"/>
                    <w:rPr>
                      <w:rFonts w:cs="Times New Roman"/>
                    </w:rPr>
                  </w:pPr>
                  <w:r>
                    <w:rPr>
                      <w:rFonts w:hint="eastAsia" w:cs="Times New Roman"/>
                    </w:rPr>
                    <w:t>4</w:t>
                  </w:r>
                  <w:r>
                    <w:rPr>
                      <w:rFonts w:cs="Times New Roman"/>
                    </w:rPr>
                    <w:t>4.5</w:t>
                  </w:r>
                </w:p>
              </w:tc>
              <w:tc>
                <w:tcPr>
                  <w:tcW w:w="1162" w:type="pct"/>
                  <w:vMerge w:val="continue"/>
                  <w:vAlign w:val="center"/>
                </w:tcPr>
                <w:p>
                  <w:pPr>
                    <w:pStyle w:val="136"/>
                    <w:adjustRightInd w:val="0"/>
                    <w:snapToGrid w:val="0"/>
                    <w:rPr>
                      <w:rFonts w:cs="Times New Roman"/>
                    </w:rPr>
                  </w:pPr>
                </w:p>
              </w:tc>
              <w:tc>
                <w:tcPr>
                  <w:tcW w:w="1159" w:type="pct"/>
                  <w:vAlign w:val="center"/>
                </w:tcPr>
                <w:p>
                  <w:pPr>
                    <w:pStyle w:val="136"/>
                    <w:adjustRightInd w:val="0"/>
                    <w:snapToGrid w:val="0"/>
                    <w:rPr>
                      <w:rFonts w:cs="Times New Roman"/>
                    </w:rPr>
                  </w:pPr>
                  <w:r>
                    <w:rPr>
                      <w:rFonts w:hint="eastAsia" w:cs="Times New Roman"/>
                    </w:rPr>
                    <w:t>达标</w:t>
                  </w:r>
                </w:p>
              </w:tc>
            </w:tr>
          </w:tbl>
          <w:p>
            <w:pPr>
              <w:ind w:firstLine="480"/>
            </w:pPr>
            <w:r>
              <w:t>根据上表噪声预测结果可知，本项目各厂界环境噪声</w:t>
            </w:r>
            <w:r>
              <w:rPr>
                <w:rFonts w:hint="eastAsia"/>
              </w:rPr>
              <w:t>预测</w:t>
            </w:r>
            <w:r>
              <w:t>贡献值满足《工业企业厂界环境噪声排放标准》（GB12348-2008）2类标准</w:t>
            </w:r>
            <w:r>
              <w:rPr>
                <w:rFonts w:hint="eastAsia"/>
              </w:rPr>
              <w:t>；环境敏感目标处噪声贡献值满足《声环境质量标准》（GB</w:t>
            </w:r>
            <w:r>
              <w:t xml:space="preserve"> 3096-2008</w:t>
            </w:r>
            <w:r>
              <w:rPr>
                <w:rFonts w:hint="eastAsia"/>
              </w:rPr>
              <w:t>）2类标准。</w:t>
            </w:r>
          </w:p>
          <w:p>
            <w:pPr>
              <w:ind w:firstLine="480"/>
            </w:pPr>
            <w:r>
              <w:t>综上所述，项目</w:t>
            </w:r>
            <w:r>
              <w:rPr>
                <w:rFonts w:hint="eastAsia"/>
              </w:rPr>
              <w:t>噪声</w:t>
            </w:r>
            <w:r>
              <w:t>设备按环评要求采取隔声、减振等一系列综合防噪措施后，项目设备噪声经距离衰减后，不会造成厂界</w:t>
            </w:r>
            <w:r>
              <w:rPr>
                <w:rFonts w:hint="eastAsia"/>
              </w:rPr>
              <w:t>或环境敏感目标处</w:t>
            </w:r>
            <w:r>
              <w:t>噪声超标。</w:t>
            </w:r>
          </w:p>
          <w:p>
            <w:pPr>
              <w:ind w:firstLine="482"/>
              <w:rPr>
                <w:b/>
                <w:bCs/>
              </w:rPr>
            </w:pPr>
            <w:r>
              <w:rPr>
                <w:rFonts w:hint="eastAsia"/>
                <w:b/>
                <w:bCs/>
              </w:rPr>
              <w:t>4、噪声监测计划</w:t>
            </w:r>
          </w:p>
          <w:p>
            <w:pPr>
              <w:pStyle w:val="157"/>
              <w:ind w:firstLine="420"/>
            </w:pPr>
            <w:r>
              <w:t>表4.3-3  噪声监测计划表</w:t>
            </w:r>
          </w:p>
          <w:tbl>
            <w:tblPr>
              <w:tblStyle w:val="19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70"/>
              <w:gridCol w:w="941"/>
              <w:gridCol w:w="943"/>
              <w:gridCol w:w="940"/>
              <w:gridCol w:w="2825"/>
              <w:gridCol w:w="18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11" w:type="pct"/>
                  <w:vAlign w:val="center"/>
                </w:tcPr>
                <w:p>
                  <w:pPr>
                    <w:pStyle w:val="136"/>
                    <w:adjustRightInd w:val="0"/>
                    <w:snapToGrid w:val="0"/>
                    <w:rPr>
                      <w:b/>
                      <w:bCs/>
                    </w:rPr>
                  </w:pPr>
                  <w:r>
                    <w:rPr>
                      <w:b/>
                      <w:bCs/>
                    </w:rPr>
                    <w:t>类别</w:t>
                  </w:r>
                </w:p>
              </w:tc>
              <w:tc>
                <w:tcPr>
                  <w:tcW w:w="577" w:type="pct"/>
                  <w:vAlign w:val="center"/>
                </w:tcPr>
                <w:p>
                  <w:pPr>
                    <w:pStyle w:val="136"/>
                    <w:adjustRightInd w:val="0"/>
                    <w:snapToGrid w:val="0"/>
                    <w:rPr>
                      <w:b/>
                      <w:bCs/>
                    </w:rPr>
                  </w:pPr>
                  <w:r>
                    <w:rPr>
                      <w:b/>
                      <w:bCs/>
                    </w:rPr>
                    <w:t>监测点位</w:t>
                  </w:r>
                </w:p>
              </w:tc>
              <w:tc>
                <w:tcPr>
                  <w:tcW w:w="578" w:type="pct"/>
                  <w:vAlign w:val="center"/>
                </w:tcPr>
                <w:p>
                  <w:pPr>
                    <w:pStyle w:val="136"/>
                    <w:adjustRightInd w:val="0"/>
                    <w:snapToGrid w:val="0"/>
                    <w:rPr>
                      <w:b/>
                      <w:bCs/>
                    </w:rPr>
                  </w:pPr>
                  <w:r>
                    <w:rPr>
                      <w:b/>
                      <w:bCs/>
                    </w:rPr>
                    <w:t>监测因子</w:t>
                  </w:r>
                </w:p>
              </w:tc>
              <w:tc>
                <w:tcPr>
                  <w:tcW w:w="576" w:type="pct"/>
                  <w:vAlign w:val="center"/>
                </w:tcPr>
                <w:p>
                  <w:pPr>
                    <w:pStyle w:val="136"/>
                    <w:adjustRightInd w:val="0"/>
                    <w:snapToGrid w:val="0"/>
                    <w:rPr>
                      <w:b/>
                      <w:bCs/>
                    </w:rPr>
                  </w:pPr>
                  <w:r>
                    <w:rPr>
                      <w:b/>
                      <w:bCs/>
                    </w:rPr>
                    <w:t>监测频次</w:t>
                  </w:r>
                </w:p>
              </w:tc>
              <w:tc>
                <w:tcPr>
                  <w:tcW w:w="1732" w:type="pct"/>
                  <w:vAlign w:val="center"/>
                </w:tcPr>
                <w:p>
                  <w:pPr>
                    <w:pStyle w:val="136"/>
                    <w:adjustRightInd w:val="0"/>
                    <w:snapToGrid w:val="0"/>
                    <w:rPr>
                      <w:b/>
                      <w:bCs/>
                    </w:rPr>
                  </w:pPr>
                  <w:r>
                    <w:rPr>
                      <w:b/>
                      <w:bCs/>
                    </w:rPr>
                    <w:t>执行标准</w:t>
                  </w:r>
                </w:p>
              </w:tc>
              <w:tc>
                <w:tcPr>
                  <w:tcW w:w="1126" w:type="pct"/>
                  <w:vAlign w:val="center"/>
                </w:tcPr>
                <w:p>
                  <w:pPr>
                    <w:pStyle w:val="136"/>
                    <w:adjustRightInd w:val="0"/>
                    <w:snapToGrid w:val="0"/>
                    <w:rPr>
                      <w:b/>
                      <w:bCs/>
                    </w:rPr>
                  </w:pPr>
                  <w:r>
                    <w:rPr>
                      <w:b/>
                      <w:bCs/>
                    </w:rPr>
                    <w:t>监测单位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11" w:type="pct"/>
                  <w:vAlign w:val="center"/>
                </w:tcPr>
                <w:p>
                  <w:pPr>
                    <w:pStyle w:val="136"/>
                    <w:adjustRightInd w:val="0"/>
                    <w:snapToGrid w:val="0"/>
                  </w:pPr>
                  <w:r>
                    <w:t>噪声</w:t>
                  </w:r>
                </w:p>
              </w:tc>
              <w:tc>
                <w:tcPr>
                  <w:tcW w:w="577" w:type="pct"/>
                  <w:vAlign w:val="center"/>
                </w:tcPr>
                <w:p>
                  <w:pPr>
                    <w:pStyle w:val="136"/>
                    <w:adjustRightInd w:val="0"/>
                    <w:snapToGrid w:val="0"/>
                  </w:pPr>
                  <w:r>
                    <w:t>厂界四周</w:t>
                  </w:r>
                </w:p>
              </w:tc>
              <w:tc>
                <w:tcPr>
                  <w:tcW w:w="578" w:type="pct"/>
                  <w:vAlign w:val="center"/>
                </w:tcPr>
                <w:p>
                  <w:pPr>
                    <w:pStyle w:val="136"/>
                    <w:adjustRightInd w:val="0"/>
                    <w:snapToGrid w:val="0"/>
                  </w:pPr>
                  <w:r>
                    <w:t>厂界环境噪声</w:t>
                  </w:r>
                </w:p>
              </w:tc>
              <w:tc>
                <w:tcPr>
                  <w:tcW w:w="576" w:type="pct"/>
                  <w:vAlign w:val="center"/>
                </w:tcPr>
                <w:p>
                  <w:pPr>
                    <w:pStyle w:val="136"/>
                    <w:adjustRightInd w:val="0"/>
                    <w:snapToGrid w:val="0"/>
                  </w:pPr>
                  <w:r>
                    <w:t>1次/</w:t>
                  </w:r>
                  <w:r>
                    <w:rPr>
                      <w:rFonts w:hint="eastAsia"/>
                    </w:rPr>
                    <w:t>季度</w:t>
                  </w:r>
                </w:p>
              </w:tc>
              <w:tc>
                <w:tcPr>
                  <w:tcW w:w="1732" w:type="pct"/>
                  <w:vAlign w:val="center"/>
                </w:tcPr>
                <w:p>
                  <w:pPr>
                    <w:pStyle w:val="136"/>
                    <w:adjustRightInd w:val="0"/>
                    <w:snapToGrid w:val="0"/>
                  </w:pPr>
                  <w:r>
                    <w:t>《工业企业厂界环境噪声排放标准》（GB12348-2008）2类标准</w:t>
                  </w:r>
                </w:p>
              </w:tc>
              <w:tc>
                <w:tcPr>
                  <w:tcW w:w="1126" w:type="pct"/>
                  <w:vAlign w:val="center"/>
                </w:tcPr>
                <w:p>
                  <w:pPr>
                    <w:pStyle w:val="136"/>
                    <w:adjustRightInd w:val="0"/>
                    <w:snapToGrid w:val="0"/>
                  </w:pPr>
                  <w:r>
                    <w:t>企业自行监测或委托监测单位监测</w:t>
                  </w:r>
                </w:p>
              </w:tc>
            </w:tr>
          </w:tbl>
          <w:p>
            <w:pPr>
              <w:pStyle w:val="158"/>
            </w:pPr>
            <w:r>
              <w:rPr>
                <w:rFonts w:hint="eastAsia"/>
              </w:rPr>
              <w:t>四、</w:t>
            </w:r>
            <w:r>
              <w:t>固体废物</w:t>
            </w:r>
          </w:p>
          <w:p>
            <w:pPr>
              <w:ind w:firstLine="480"/>
              <w:rPr>
                <w:lang w:val="de-DE"/>
              </w:rPr>
            </w:pPr>
            <w:r>
              <w:rPr>
                <w:lang w:val="de-DE"/>
              </w:rPr>
              <w:t>项目运营期产生的固废包括</w:t>
            </w:r>
            <w:r>
              <w:rPr>
                <w:rFonts w:hint="eastAsia"/>
                <w:lang w:val="de-DE"/>
              </w:rPr>
              <w:t>生活垃圾、</w:t>
            </w:r>
            <w:r>
              <w:rPr>
                <w:lang w:val="de-DE"/>
              </w:rPr>
              <w:t>一般固体废物、危险废物。</w:t>
            </w:r>
            <w:r>
              <w:rPr>
                <w:rFonts w:hint="eastAsia"/>
                <w:lang w:val="de-DE"/>
              </w:rPr>
              <w:t>危险</w:t>
            </w:r>
            <w:r>
              <w:rPr>
                <w:lang w:val="de-DE"/>
              </w:rPr>
              <w:t>废物主要包括：</w:t>
            </w:r>
            <w:r>
              <w:rPr>
                <w:rFonts w:hint="eastAsia"/>
                <w:lang w:val="de-DE"/>
              </w:rPr>
              <w:t>实验固废（一次性实验耗材）、实验废液（废试剂、经预处理后的废样品）、废试剂瓶、仪器前三次清洗废水、废活性炭、废紫外灯管、废培养基等；</w:t>
            </w:r>
            <w:r>
              <w:rPr>
                <w:lang w:val="de-DE"/>
              </w:rPr>
              <w:t>一般固体废物主要包括：</w:t>
            </w:r>
            <w:r>
              <w:rPr>
                <w:rFonts w:hint="eastAsia"/>
                <w:lang w:val="de-DE"/>
              </w:rPr>
              <w:t>纯水机废滤芯、</w:t>
            </w:r>
            <w:r>
              <w:rPr>
                <w:rFonts w:hint="eastAsia"/>
              </w:rPr>
              <w:t>未沾染化学品</w:t>
            </w:r>
            <w:r>
              <w:t>废包材</w:t>
            </w:r>
            <w:r>
              <w:rPr>
                <w:rFonts w:hint="eastAsia"/>
                <w:lang w:val="de-DE"/>
              </w:rPr>
              <w:t>、过期样品</w:t>
            </w:r>
            <w:r>
              <w:rPr>
                <w:lang w:val="de-DE"/>
              </w:rPr>
              <w:t>。</w:t>
            </w:r>
          </w:p>
          <w:p>
            <w:pPr>
              <w:ind w:firstLine="480"/>
              <w:rPr>
                <w:lang w:val="de-DE"/>
              </w:rPr>
            </w:pPr>
            <w:r>
              <w:rPr>
                <w:rFonts w:hint="eastAsia"/>
                <w:lang w:val="de-DE"/>
              </w:rPr>
              <w:t>1、危险废物</w:t>
            </w:r>
          </w:p>
          <w:p>
            <w:pPr>
              <w:ind w:firstLine="480"/>
            </w:pPr>
            <w:r>
              <w:rPr>
                <w:rFonts w:hint="eastAsia"/>
              </w:rPr>
              <w:t>（1）实验固废</w:t>
            </w:r>
            <w:r>
              <w:rPr>
                <w:rFonts w:hint="eastAsia"/>
                <w:lang w:val="de-DE"/>
              </w:rPr>
              <w:t>（一次性实验耗材）</w:t>
            </w:r>
          </w:p>
          <w:p>
            <w:pPr>
              <w:ind w:firstLine="480"/>
            </w:pPr>
            <w:r>
              <w:rPr>
                <w:rFonts w:hint="eastAsia"/>
              </w:rPr>
              <w:t>实验固废主要为废滤纸、废称量纸、废离心管、废移液枪头等一次性实验耗材</w:t>
            </w:r>
            <w:r>
              <w:t>。</w:t>
            </w:r>
            <w:r>
              <w:rPr>
                <w:rFonts w:hint="eastAsia"/>
              </w:rPr>
              <w:t>根据</w:t>
            </w:r>
            <w:r>
              <w:t>《国家危险废物名录》（</w:t>
            </w:r>
            <w:r>
              <w:rPr>
                <w:rFonts w:eastAsia="TimesNewRomanPSMT"/>
              </w:rPr>
              <w:t>2021</w:t>
            </w:r>
            <w:r>
              <w:t>年版）</w:t>
            </w:r>
            <w:r>
              <w:rPr>
                <w:rFonts w:hint="eastAsia"/>
              </w:rPr>
              <w:t>，实验固废属于其中</w:t>
            </w:r>
            <w:r>
              <w:rPr>
                <w:rFonts w:eastAsia="TimesNewRomanPSMT"/>
              </w:rPr>
              <w:t>HW49</w:t>
            </w:r>
            <w:r>
              <w:rPr>
                <w:rFonts w:hint="eastAsia" w:eastAsia="TimesNewRomanPSMT"/>
              </w:rPr>
              <w:t>其他</w:t>
            </w:r>
            <w:r>
              <w:rPr>
                <w:rFonts w:hint="eastAsia"/>
              </w:rPr>
              <w:t>废物</w:t>
            </w:r>
            <w:r>
              <w:t>，</w:t>
            </w:r>
            <w:r>
              <w:rPr>
                <w:rFonts w:hint="eastAsia"/>
              </w:rPr>
              <w:t>危险</w:t>
            </w:r>
            <w:r>
              <w:t>废物代码</w:t>
            </w:r>
            <w:r>
              <w:rPr>
                <w:rFonts w:hint="eastAsia"/>
              </w:rPr>
              <w:t>9</w:t>
            </w:r>
            <w:r>
              <w:t>00-047-49。</w:t>
            </w:r>
          </w:p>
          <w:p>
            <w:pPr>
              <w:ind w:firstLine="480"/>
            </w:pPr>
            <w:r>
              <w:rPr>
                <w:rFonts w:hint="eastAsia"/>
              </w:rPr>
              <w:t>根据建设单位提供的资料，实验固废</w:t>
            </w:r>
            <w:r>
              <w:t>产生量约</w:t>
            </w:r>
            <w:r>
              <w:rPr>
                <w:rFonts w:hint="eastAsia"/>
              </w:rPr>
              <w:t>0</w:t>
            </w:r>
            <w:r>
              <w:t>.05</w:t>
            </w:r>
            <w:r>
              <w:rPr>
                <w:rFonts w:eastAsia="TimesNewRomanPSMT"/>
              </w:rPr>
              <w:t>t/a</w:t>
            </w:r>
            <w:r>
              <w:rPr>
                <w:rFonts w:hint="eastAsia"/>
              </w:rPr>
              <w:t>。实验固废经袋装收集后，暂存于危险废物暂存间内，定期委托有危险废物处置资质的单位清运处理。</w:t>
            </w:r>
          </w:p>
          <w:p>
            <w:pPr>
              <w:ind w:firstLine="480"/>
            </w:pPr>
            <w:r>
              <w:rPr>
                <w:rFonts w:hint="eastAsia"/>
              </w:rPr>
              <w:t>（2）实验废液</w:t>
            </w:r>
          </w:p>
          <w:p>
            <w:pPr>
              <w:ind w:firstLine="480"/>
            </w:pPr>
            <w:r>
              <w:rPr>
                <w:rFonts w:hint="eastAsia"/>
              </w:rPr>
              <w:t>实验废液主要包括在样品处理和实验分析过程中产生的废酸、废碱、废有机溶剂以及经预处理后的废样品。</w:t>
            </w:r>
            <w:r>
              <w:t>根据《国家危险废物名录》（2021年版），实验</w:t>
            </w:r>
            <w:r>
              <w:rPr>
                <w:rFonts w:hint="eastAsia"/>
              </w:rPr>
              <w:t>废液</w:t>
            </w:r>
            <w:r>
              <w:t>属于其中HW49其他</w:t>
            </w:r>
            <w:r>
              <w:rPr>
                <w:rFonts w:hint="eastAsia"/>
              </w:rPr>
              <w:t>废物</w:t>
            </w:r>
            <w:r>
              <w:t>，危险废物代码</w:t>
            </w:r>
            <w:r>
              <w:rPr>
                <w:rFonts w:hint="eastAsia"/>
              </w:rPr>
              <w:t>9</w:t>
            </w:r>
            <w:r>
              <w:t>00-047-49。</w:t>
            </w:r>
          </w:p>
          <w:p>
            <w:pPr>
              <w:ind w:firstLine="480"/>
            </w:pPr>
            <w:r>
              <w:rPr>
                <w:rFonts w:hint="eastAsia"/>
              </w:rPr>
              <w:t>根据建设单位提供的资料，实验废液</w:t>
            </w:r>
            <w:r>
              <w:t>产生量约</w:t>
            </w:r>
            <w:r>
              <w:rPr>
                <w:rFonts w:hint="eastAsia"/>
              </w:rPr>
              <w:t>0</w:t>
            </w:r>
            <w:r>
              <w:t>.8</w:t>
            </w:r>
            <w:r>
              <w:rPr>
                <w:rFonts w:eastAsia="TimesNewRomanPSMT"/>
              </w:rPr>
              <w:t>t/a</w:t>
            </w:r>
            <w:r>
              <w:rPr>
                <w:rFonts w:hint="eastAsia"/>
              </w:rPr>
              <w:t>。实验废液经桶装收集后，暂存于危险废物暂存间内，定期委托有危险废物处置资质的单位清运处理。</w:t>
            </w:r>
          </w:p>
          <w:p>
            <w:pPr>
              <w:ind w:firstLine="480"/>
            </w:pPr>
            <w:r>
              <w:t>（3）</w:t>
            </w:r>
            <w:r>
              <w:rPr>
                <w:rFonts w:hint="eastAsia"/>
              </w:rPr>
              <w:t>废试剂瓶</w:t>
            </w:r>
          </w:p>
          <w:p>
            <w:pPr>
              <w:ind w:firstLine="480"/>
            </w:pPr>
            <w:r>
              <w:rPr>
                <w:rFonts w:hint="eastAsia"/>
              </w:rPr>
              <w:t>各类试剂使用过程中会产生废试剂瓶，试剂瓶一般有酸、碱、有机试剂及其他化学试剂残留。根据</w:t>
            </w:r>
            <w:r>
              <w:t>《国家危险废物名录》（2021年版），</w:t>
            </w:r>
            <w:r>
              <w:rPr>
                <w:rFonts w:hint="eastAsia"/>
              </w:rPr>
              <w:t>废试剂瓶</w:t>
            </w:r>
            <w:r>
              <w:t>属于其中HW49其他</w:t>
            </w:r>
            <w:r>
              <w:rPr>
                <w:rFonts w:hint="eastAsia"/>
              </w:rPr>
              <w:t>废物</w:t>
            </w:r>
            <w:r>
              <w:t>，危险废物代码</w:t>
            </w:r>
            <w:r>
              <w:rPr>
                <w:rFonts w:hint="eastAsia"/>
              </w:rPr>
              <w:t>9</w:t>
            </w:r>
            <w:r>
              <w:t>00-047-49。</w:t>
            </w:r>
          </w:p>
          <w:p>
            <w:pPr>
              <w:ind w:firstLine="480"/>
            </w:pPr>
            <w:r>
              <w:rPr>
                <w:rFonts w:hint="eastAsia"/>
              </w:rPr>
              <w:t>根据建设单位提供的资料，本项目废试剂产生量约为0</w:t>
            </w:r>
            <w:r>
              <w:t>.05</w:t>
            </w:r>
            <w:r>
              <w:rPr>
                <w:rFonts w:hint="eastAsia"/>
              </w:rPr>
              <w:t>t</w:t>
            </w:r>
            <w:r>
              <w:t>/</w:t>
            </w:r>
            <w:r>
              <w:rPr>
                <w:rFonts w:hint="eastAsia"/>
              </w:rPr>
              <w:t>a。实废试剂瓶收集后，暂存于危险废物暂存间内，定期委托有危险废物处置资质的单位清运处理。</w:t>
            </w:r>
          </w:p>
          <w:p>
            <w:pPr>
              <w:ind w:firstLine="480"/>
            </w:pPr>
            <w:r>
              <w:rPr>
                <w:rFonts w:hint="eastAsia"/>
              </w:rPr>
              <w:t>（</w:t>
            </w:r>
            <w:r>
              <w:t>4</w:t>
            </w:r>
            <w:r>
              <w:rPr>
                <w:rFonts w:hint="eastAsia"/>
              </w:rPr>
              <w:t>）仪器前三次清洗废水</w:t>
            </w:r>
          </w:p>
          <w:p>
            <w:pPr>
              <w:ind w:firstLine="480"/>
            </w:pPr>
            <w:r>
              <w:rPr>
                <w:rFonts w:hint="eastAsia"/>
              </w:rPr>
              <w:t>根据前文水平衡分析，本项目仪器前三次清洗废水产生量为</w:t>
            </w:r>
            <w:r>
              <w:t>6.2</w:t>
            </w:r>
            <w:r>
              <w:rPr>
                <w:rFonts w:hint="eastAsia"/>
              </w:rPr>
              <w:t>t</w:t>
            </w:r>
            <w:r>
              <w:t>/</w:t>
            </w:r>
            <w:r>
              <w:rPr>
                <w:rFonts w:hint="eastAsia"/>
              </w:rPr>
              <w:t>a。根据</w:t>
            </w:r>
            <w:r>
              <w:t>《国家危险废物名录》（2021年版）</w:t>
            </w:r>
            <w:r>
              <w:rPr>
                <w:rFonts w:hint="eastAsia"/>
              </w:rPr>
              <w:t>，仪器前三次清洗废水属于其中HW</w:t>
            </w:r>
            <w:r>
              <w:t>49</w:t>
            </w:r>
            <w:r>
              <w:rPr>
                <w:rFonts w:hint="eastAsia"/>
              </w:rPr>
              <w:t>其他废物，废物代码9</w:t>
            </w:r>
            <w:r>
              <w:t>00-047-49</w:t>
            </w:r>
            <w:r>
              <w:rPr>
                <w:rFonts w:hint="eastAsia"/>
              </w:rPr>
              <w:t>。废水桶装收集后，暂存于危险废物暂存间内，定期委托有危险废物处置资质的单位清运处理。</w:t>
            </w:r>
          </w:p>
          <w:p>
            <w:pPr>
              <w:ind w:firstLine="480"/>
            </w:pPr>
            <w:r>
              <w:rPr>
                <w:rFonts w:hint="eastAsia"/>
              </w:rPr>
              <w:t>（5）废活性炭</w:t>
            </w:r>
          </w:p>
          <w:p>
            <w:pPr>
              <w:ind w:firstLine="480"/>
            </w:pPr>
            <w:r>
              <w:rPr>
                <w:rFonts w:hint="eastAsia"/>
              </w:rPr>
              <w:t>本项目采用活性炭纤维吸附废气中的有机废气，根据</w:t>
            </w:r>
            <w:r>
              <w:t>《国家危险废物名录》（</w:t>
            </w:r>
            <w:r>
              <w:rPr>
                <w:rFonts w:eastAsia="TimesNewRomanPSMT"/>
              </w:rPr>
              <w:t>2021</w:t>
            </w:r>
            <w:r>
              <w:t>年版）</w:t>
            </w:r>
            <w:r>
              <w:rPr>
                <w:rFonts w:hint="eastAsia"/>
              </w:rPr>
              <w:t>，废活性炭属于其中HW</w:t>
            </w:r>
            <w:r>
              <w:t xml:space="preserve">49 </w:t>
            </w:r>
            <w:r>
              <w:rPr>
                <w:rFonts w:hint="eastAsia"/>
              </w:rPr>
              <w:t>其他废物，危险废物代码9</w:t>
            </w:r>
            <w:r>
              <w:t>00-039-49</w:t>
            </w:r>
            <w:r>
              <w:rPr>
                <w:rFonts w:hint="eastAsia"/>
              </w:rPr>
              <w:t>。</w:t>
            </w:r>
          </w:p>
          <w:p>
            <w:pPr>
              <w:ind w:firstLine="480"/>
            </w:pPr>
            <w:r>
              <w:rPr>
                <w:rFonts w:hint="eastAsia"/>
              </w:rPr>
              <w:t>根据前文分析，本项目设置2套活性炭吸附装置，活性炭装填量为2</w:t>
            </w:r>
            <w:r>
              <w:t>00</w:t>
            </w:r>
            <w:r>
              <w:rPr>
                <w:rFonts w:hint="eastAsia"/>
              </w:rPr>
              <w:t>kg，更换周期为6个月，则本项目废活性炭产生量为0</w:t>
            </w:r>
            <w:r>
              <w:t>.8</w:t>
            </w:r>
            <w:r>
              <w:rPr>
                <w:rFonts w:hint="eastAsia"/>
              </w:rPr>
              <w:t>t</w:t>
            </w:r>
            <w:r>
              <w:t>/</w:t>
            </w:r>
            <w:r>
              <w:rPr>
                <w:rFonts w:hint="eastAsia"/>
              </w:rPr>
              <w:t>a。废活性炭更换后暂存于危废暂存间内，定期委托有危险废物处置资质的单位清运处理。</w:t>
            </w:r>
          </w:p>
          <w:p>
            <w:pPr>
              <w:ind w:firstLine="480"/>
            </w:pPr>
            <w:r>
              <w:t>（6）废紫外灯管</w:t>
            </w:r>
          </w:p>
          <w:p>
            <w:pPr>
              <w:ind w:firstLine="480"/>
            </w:pPr>
            <w:r>
              <w:t>本项目</w:t>
            </w:r>
            <w:r>
              <w:rPr>
                <w:rFonts w:hint="eastAsia"/>
              </w:rPr>
              <w:t>微生物实验室采样紫外灯消毒灭菌，</w:t>
            </w:r>
            <w:r>
              <w:t>废旧荧光灯管含有汞等重金属，属于《国家危险废物名录》（</w:t>
            </w:r>
            <w:r>
              <w:rPr>
                <w:rFonts w:eastAsia="TimesNewRomanPSMT"/>
              </w:rPr>
              <w:t>2021</w:t>
            </w:r>
            <w:r>
              <w:t>年版）</w:t>
            </w:r>
            <w:r>
              <w:rPr>
                <w:rFonts w:eastAsia="TimesNewRomanPSMT"/>
              </w:rPr>
              <w:t>HW29</w:t>
            </w:r>
            <w:r>
              <w:t>含汞废物，危险废物代码为</w:t>
            </w:r>
            <w:r>
              <w:rPr>
                <w:rFonts w:eastAsia="TimesNewRomanPSMT"/>
              </w:rPr>
              <w:t>900-023-29</w:t>
            </w:r>
            <w:r>
              <w:rPr>
                <w:rFonts w:hint="eastAsia" w:eastAsia="TimesNewRomanPSMT"/>
              </w:rPr>
              <w:t>。</w:t>
            </w:r>
          </w:p>
          <w:p>
            <w:pPr>
              <w:ind w:firstLine="480"/>
            </w:pPr>
            <w:r>
              <w:rPr>
                <w:rFonts w:hint="eastAsia"/>
              </w:rPr>
              <w:t>根据建设单位提供的资料，</w:t>
            </w:r>
            <w:r>
              <w:t>运营期废荧光灯管产生量为</w:t>
            </w:r>
            <w:r>
              <w:rPr>
                <w:rFonts w:eastAsia="TimesNewRomanPSMT"/>
              </w:rPr>
              <w:t>0.005t/a</w:t>
            </w:r>
            <w:r>
              <w:t>（每个荧光灯管约</w:t>
            </w:r>
            <w:r>
              <w:rPr>
                <w:rFonts w:eastAsia="TimesNewRomanPSMT"/>
              </w:rPr>
              <w:t>1.0kg</w:t>
            </w:r>
            <w:r>
              <w:t>，更换量约</w:t>
            </w:r>
            <w:r>
              <w:rPr>
                <w:rFonts w:eastAsia="TimesNewRomanPSMT"/>
              </w:rPr>
              <w:t>5</w:t>
            </w:r>
            <w:r>
              <w:t>个</w:t>
            </w:r>
            <w:r>
              <w:rPr>
                <w:rFonts w:eastAsia="TimesNewRomanPSMT"/>
              </w:rPr>
              <w:t>/a</w:t>
            </w:r>
            <w:r>
              <w:t>）</w:t>
            </w:r>
            <w:r>
              <w:rPr>
                <w:rFonts w:hint="eastAsia"/>
              </w:rPr>
              <w:t>。废紫外灯管收集后</w:t>
            </w:r>
            <w:r>
              <w:t>送危险废物暂存间暂存</w:t>
            </w:r>
            <w:r>
              <w:rPr>
                <w:rFonts w:hint="eastAsia"/>
              </w:rPr>
              <w:t>，定期委托有危险废物处置资质的单位清运处理。</w:t>
            </w:r>
          </w:p>
          <w:p>
            <w:pPr>
              <w:ind w:firstLine="480"/>
            </w:pPr>
            <w:r>
              <w:rPr>
                <w:rFonts w:hint="eastAsia"/>
              </w:rPr>
              <w:t>（7）废培养基</w:t>
            </w:r>
          </w:p>
          <w:p>
            <w:pPr>
              <w:ind w:firstLine="480"/>
            </w:pPr>
            <w:r>
              <w:rPr>
                <w:rFonts w:hint="eastAsia"/>
              </w:rPr>
              <w:t>本项目微生物实验室涉及粪大肠菌群指标检测，需要采用培养基培养。根据</w:t>
            </w:r>
            <w:r>
              <w:t>《国家危险废物名录》（</w:t>
            </w:r>
            <w:r>
              <w:rPr>
                <w:rFonts w:eastAsia="TimesNewRomanPSMT"/>
              </w:rPr>
              <w:t>2021</w:t>
            </w:r>
            <w:r>
              <w:t>年版）</w:t>
            </w:r>
            <w:r>
              <w:rPr>
                <w:rFonts w:hint="eastAsia"/>
              </w:rPr>
              <w:t>，废培养基属于其中HW</w:t>
            </w:r>
            <w:r>
              <w:t xml:space="preserve">49 </w:t>
            </w:r>
            <w:r>
              <w:rPr>
                <w:rFonts w:hint="eastAsia"/>
              </w:rPr>
              <w:t>其他废物，危险废物代码9</w:t>
            </w:r>
            <w:r>
              <w:t>00-047-49</w:t>
            </w:r>
            <w:r>
              <w:rPr>
                <w:rFonts w:hint="eastAsia"/>
              </w:rPr>
              <w:t>。</w:t>
            </w:r>
          </w:p>
          <w:p>
            <w:pPr>
              <w:ind w:firstLine="480"/>
            </w:pPr>
            <w:r>
              <w:rPr>
                <w:rFonts w:hint="eastAsia"/>
              </w:rPr>
              <w:t>根据建设单位提供的资料，本项目微生物实验室废培养基产生量约0</w:t>
            </w:r>
            <w:r>
              <w:t>.01</w:t>
            </w:r>
            <w:r>
              <w:rPr>
                <w:rFonts w:hint="eastAsia"/>
              </w:rPr>
              <w:t>t</w:t>
            </w:r>
            <w:r>
              <w:t>/</w:t>
            </w:r>
            <w:r>
              <w:rPr>
                <w:rFonts w:hint="eastAsia"/>
              </w:rPr>
              <w:t>a。废培养基经高压蒸汽灭菌后，</w:t>
            </w:r>
            <w:r>
              <w:t>送危险废物暂存间暂存</w:t>
            </w:r>
            <w:r>
              <w:rPr>
                <w:rFonts w:hint="eastAsia"/>
              </w:rPr>
              <w:t>，定期委托有危险废物处置资质的单位清运处理。</w:t>
            </w:r>
          </w:p>
          <w:p>
            <w:pPr>
              <w:ind w:firstLine="480"/>
            </w:pPr>
            <w:r>
              <w:t>2、一般固废</w:t>
            </w:r>
          </w:p>
          <w:p>
            <w:pPr>
              <w:ind w:firstLine="480"/>
            </w:pPr>
            <w:r>
              <w:rPr>
                <w:rFonts w:hint="eastAsia"/>
              </w:rPr>
              <w:t>（1）未沾染化学品废包材</w:t>
            </w:r>
          </w:p>
          <w:p>
            <w:pPr>
              <w:ind w:firstLine="480"/>
            </w:pPr>
            <w:r>
              <w:rPr>
                <w:rFonts w:hint="eastAsia"/>
              </w:rPr>
              <w:t>未沾染化学品废包材</w:t>
            </w:r>
            <w:r>
              <w:t>主要为纸箱、纸盒、塑料袋等，预计年产生量约为0.5t/a，分类收集后售予废品收购站回收。</w:t>
            </w:r>
          </w:p>
          <w:p>
            <w:pPr>
              <w:ind w:firstLine="480"/>
            </w:pPr>
            <w:r>
              <w:rPr>
                <w:rFonts w:hint="eastAsia"/>
              </w:rPr>
              <w:t>（2）纯水机废过滤器</w:t>
            </w:r>
          </w:p>
          <w:p>
            <w:pPr>
              <w:ind w:firstLine="480"/>
            </w:pPr>
            <w:r>
              <w:rPr>
                <w:rFonts w:hint="eastAsia"/>
              </w:rPr>
              <w:t>纯水机过滤器需定期更换，一般</w:t>
            </w:r>
            <w:r>
              <w:t>1</w:t>
            </w:r>
            <w:r>
              <w:rPr>
                <w:rFonts w:hint="eastAsia"/>
              </w:rPr>
              <w:t>年更换一次，废滤料上主要为水中悬浮物。更换下来的废过滤器约</w:t>
            </w:r>
            <w:r>
              <w:t>0.01t/a</w:t>
            </w:r>
            <w:r>
              <w:rPr>
                <w:rFonts w:hint="eastAsia"/>
              </w:rPr>
              <w:t>，由厂家回收处理。</w:t>
            </w:r>
          </w:p>
          <w:p>
            <w:pPr>
              <w:ind w:firstLine="480"/>
            </w:pPr>
            <w:r>
              <w:rPr>
                <w:rFonts w:hint="eastAsia"/>
              </w:rPr>
              <w:t>（3）过期样品</w:t>
            </w:r>
          </w:p>
          <w:p>
            <w:pPr>
              <w:ind w:firstLine="480"/>
            </w:pPr>
            <w:r>
              <w:rPr>
                <w:rFonts w:hint="eastAsia"/>
              </w:rPr>
              <w:t>根据建设单位提供资料，实验室分析的样品采集后需留备份样品供后续样品异常后复测，根据建设单位质量体系要求，每批次样品留样约2</w:t>
            </w:r>
            <w:r>
              <w:t>000</w:t>
            </w:r>
            <w:r>
              <w:rPr>
                <w:rFonts w:hint="eastAsia"/>
              </w:rPr>
              <w:t>mL，本项目年分析样品1</w:t>
            </w:r>
            <w:r>
              <w:t>24</w:t>
            </w:r>
            <w:r>
              <w:rPr>
                <w:rFonts w:hint="eastAsia"/>
              </w:rPr>
              <w:t>批次，则过期样品约0</w:t>
            </w:r>
            <w:r>
              <w:t>.25</w:t>
            </w:r>
            <w:r>
              <w:rPr>
                <w:rFonts w:hint="eastAsia"/>
              </w:rPr>
              <w:t>t</w:t>
            </w:r>
            <w:r>
              <w:t>/a</w:t>
            </w:r>
            <w:r>
              <w:rPr>
                <w:rFonts w:hint="eastAsia"/>
              </w:rPr>
              <w:t>。过期样品排入项目废水处理装置处理后排放。</w:t>
            </w:r>
          </w:p>
          <w:p>
            <w:pPr>
              <w:ind w:firstLine="480"/>
            </w:pPr>
            <w:r>
              <w:t>3、生活垃圾</w:t>
            </w:r>
          </w:p>
          <w:p>
            <w:pPr>
              <w:ind w:firstLine="480"/>
            </w:pPr>
            <w:r>
              <w:rPr>
                <w:rFonts w:hint="eastAsia"/>
              </w:rPr>
              <w:t>本项目劳动定员</w:t>
            </w:r>
            <w:r>
              <w:t>10</w:t>
            </w:r>
            <w:r>
              <w:rPr>
                <w:rFonts w:hint="eastAsia"/>
              </w:rPr>
              <w:t>人，人均生活垃圾产生量按0</w:t>
            </w:r>
            <w:r>
              <w:t>.5</w:t>
            </w:r>
            <w:r>
              <w:rPr>
                <w:rFonts w:hint="eastAsia"/>
              </w:rPr>
              <w:t>kg</w:t>
            </w:r>
            <w:r>
              <w:t>/</w:t>
            </w:r>
            <w:r>
              <w:rPr>
                <w:rFonts w:hint="eastAsia"/>
              </w:rPr>
              <w:t>人d计算，本项目生活垃圾产生量为</w:t>
            </w:r>
            <w:r>
              <w:t>1.3</w:t>
            </w:r>
            <w:r>
              <w:rPr>
                <w:rFonts w:hint="eastAsia"/>
              </w:rPr>
              <w:t>t</w:t>
            </w:r>
            <w:r>
              <w:t>/</w:t>
            </w:r>
            <w:r>
              <w:rPr>
                <w:rFonts w:hint="eastAsia"/>
              </w:rPr>
              <w:t>a。生活垃圾由垃圾桶收集后由环卫部门清运处置。</w:t>
            </w:r>
          </w:p>
          <w:p>
            <w:pPr>
              <w:pStyle w:val="157"/>
              <w:ind w:firstLine="420"/>
            </w:pPr>
            <w:r>
              <w:t>表4.4-1  本项目固体废弃物产生及处置情况汇总</w:t>
            </w:r>
          </w:p>
          <w:tbl>
            <w:tblPr>
              <w:tblStyle w:val="195"/>
              <w:tblW w:w="495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700"/>
              <w:gridCol w:w="1278"/>
              <w:gridCol w:w="1110"/>
              <w:gridCol w:w="873"/>
              <w:gridCol w:w="31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52" w:type="pct"/>
                  <w:vAlign w:val="center"/>
                </w:tcPr>
                <w:p>
                  <w:pPr>
                    <w:pStyle w:val="136"/>
                    <w:adjustRightInd w:val="0"/>
                    <w:snapToGrid w:val="0"/>
                    <w:rPr>
                      <w:b/>
                      <w:bCs/>
                    </w:rPr>
                  </w:pPr>
                  <w:r>
                    <w:rPr>
                      <w:b/>
                      <w:bCs/>
                    </w:rPr>
                    <w:t>废物名称</w:t>
                  </w:r>
                </w:p>
              </w:tc>
              <w:tc>
                <w:tcPr>
                  <w:tcW w:w="791" w:type="pct"/>
                  <w:vAlign w:val="center"/>
                </w:tcPr>
                <w:p>
                  <w:pPr>
                    <w:pStyle w:val="136"/>
                    <w:adjustRightInd w:val="0"/>
                    <w:snapToGrid w:val="0"/>
                    <w:rPr>
                      <w:b/>
                      <w:bCs/>
                    </w:rPr>
                  </w:pPr>
                  <w:r>
                    <w:rPr>
                      <w:b/>
                      <w:bCs/>
                    </w:rPr>
                    <w:t>性质</w:t>
                  </w:r>
                </w:p>
              </w:tc>
              <w:tc>
                <w:tcPr>
                  <w:tcW w:w="687" w:type="pct"/>
                  <w:vAlign w:val="center"/>
                </w:tcPr>
                <w:p>
                  <w:pPr>
                    <w:pStyle w:val="136"/>
                    <w:adjustRightInd w:val="0"/>
                    <w:snapToGrid w:val="0"/>
                    <w:rPr>
                      <w:b/>
                      <w:bCs/>
                    </w:rPr>
                  </w:pPr>
                  <w:r>
                    <w:rPr>
                      <w:b/>
                      <w:bCs/>
                    </w:rPr>
                    <w:t>废物代码</w:t>
                  </w:r>
                </w:p>
              </w:tc>
              <w:tc>
                <w:tcPr>
                  <w:tcW w:w="540" w:type="pct"/>
                  <w:vAlign w:val="center"/>
                </w:tcPr>
                <w:p>
                  <w:pPr>
                    <w:pStyle w:val="136"/>
                    <w:adjustRightInd w:val="0"/>
                    <w:snapToGrid w:val="0"/>
                    <w:rPr>
                      <w:b/>
                      <w:bCs/>
                    </w:rPr>
                  </w:pPr>
                  <w:r>
                    <w:rPr>
                      <w:b/>
                      <w:bCs/>
                    </w:rPr>
                    <w:t>产生量/t/a</w:t>
                  </w:r>
                </w:p>
              </w:tc>
              <w:tc>
                <w:tcPr>
                  <w:tcW w:w="1930" w:type="pct"/>
                  <w:vAlign w:val="center"/>
                </w:tcPr>
                <w:p>
                  <w:pPr>
                    <w:pStyle w:val="136"/>
                    <w:adjustRightInd w:val="0"/>
                    <w:snapToGrid w:val="0"/>
                    <w:rPr>
                      <w:b/>
                      <w:bCs/>
                    </w:rPr>
                  </w:pPr>
                  <w:r>
                    <w:rPr>
                      <w:b/>
                      <w:bCs/>
                    </w:rPr>
                    <w:t>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52" w:type="pct"/>
                  <w:vAlign w:val="center"/>
                </w:tcPr>
                <w:p>
                  <w:pPr>
                    <w:pStyle w:val="136"/>
                    <w:adjustRightInd w:val="0"/>
                    <w:snapToGrid w:val="0"/>
                  </w:pPr>
                  <w:r>
                    <w:rPr>
                      <w:rFonts w:hint="eastAsia"/>
                    </w:rPr>
                    <w:t>未沾染化学品</w:t>
                  </w:r>
                  <w:r>
                    <w:t>废包材</w:t>
                  </w:r>
                </w:p>
              </w:tc>
              <w:tc>
                <w:tcPr>
                  <w:tcW w:w="791" w:type="pct"/>
                  <w:vAlign w:val="center"/>
                </w:tcPr>
                <w:p>
                  <w:pPr>
                    <w:pStyle w:val="136"/>
                    <w:adjustRightInd w:val="0"/>
                    <w:snapToGrid w:val="0"/>
                  </w:pPr>
                  <w:r>
                    <w:t>一般固废</w:t>
                  </w:r>
                </w:p>
              </w:tc>
              <w:tc>
                <w:tcPr>
                  <w:tcW w:w="687" w:type="pct"/>
                  <w:vAlign w:val="center"/>
                </w:tcPr>
                <w:p>
                  <w:pPr>
                    <w:pStyle w:val="136"/>
                    <w:adjustRightInd w:val="0"/>
                    <w:snapToGrid w:val="0"/>
                  </w:pPr>
                  <w:r>
                    <w:t>849-999-07</w:t>
                  </w:r>
                </w:p>
              </w:tc>
              <w:tc>
                <w:tcPr>
                  <w:tcW w:w="540" w:type="pct"/>
                  <w:vAlign w:val="center"/>
                </w:tcPr>
                <w:p>
                  <w:pPr>
                    <w:pStyle w:val="136"/>
                    <w:adjustRightInd w:val="0"/>
                    <w:snapToGrid w:val="0"/>
                  </w:pPr>
                  <w:r>
                    <w:t>1.3</w:t>
                  </w:r>
                </w:p>
              </w:tc>
              <w:tc>
                <w:tcPr>
                  <w:tcW w:w="1930" w:type="pct"/>
                  <w:vAlign w:val="center"/>
                </w:tcPr>
                <w:p>
                  <w:pPr>
                    <w:pStyle w:val="136"/>
                    <w:adjustRightInd w:val="0"/>
                    <w:snapToGrid w:val="0"/>
                  </w:pPr>
                  <w:r>
                    <w:rPr>
                      <w:rFonts w:hint="eastAsia"/>
                    </w:rPr>
                    <w:t>收集后外售废品回收站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52" w:type="pct"/>
                  <w:vAlign w:val="center"/>
                </w:tcPr>
                <w:p>
                  <w:pPr>
                    <w:pStyle w:val="136"/>
                    <w:adjustRightInd w:val="0"/>
                    <w:snapToGrid w:val="0"/>
                  </w:pPr>
                  <w:r>
                    <w:rPr>
                      <w:rFonts w:hint="eastAsia"/>
                    </w:rPr>
                    <w:t>纯水机废过滤器</w:t>
                  </w:r>
                </w:p>
              </w:tc>
              <w:tc>
                <w:tcPr>
                  <w:tcW w:w="791" w:type="pct"/>
                  <w:vAlign w:val="center"/>
                </w:tcPr>
                <w:p>
                  <w:pPr>
                    <w:pStyle w:val="136"/>
                    <w:adjustRightInd w:val="0"/>
                    <w:snapToGrid w:val="0"/>
                  </w:pPr>
                  <w:r>
                    <w:rPr>
                      <w:rFonts w:hint="eastAsia"/>
                    </w:rPr>
                    <w:t>一般固废</w:t>
                  </w:r>
                </w:p>
              </w:tc>
              <w:tc>
                <w:tcPr>
                  <w:tcW w:w="687" w:type="pct"/>
                  <w:vAlign w:val="center"/>
                </w:tcPr>
                <w:p>
                  <w:pPr>
                    <w:pStyle w:val="136"/>
                    <w:adjustRightInd w:val="0"/>
                    <w:snapToGrid w:val="0"/>
                  </w:pPr>
                  <w:r>
                    <w:rPr>
                      <w:rFonts w:hint="eastAsia"/>
                    </w:rPr>
                    <w:t>8</w:t>
                  </w:r>
                  <w:r>
                    <w:t>49-999-99</w:t>
                  </w:r>
                </w:p>
              </w:tc>
              <w:tc>
                <w:tcPr>
                  <w:tcW w:w="540" w:type="pct"/>
                  <w:vAlign w:val="center"/>
                </w:tcPr>
                <w:p>
                  <w:pPr>
                    <w:pStyle w:val="136"/>
                    <w:adjustRightInd w:val="0"/>
                    <w:snapToGrid w:val="0"/>
                  </w:pPr>
                  <w:r>
                    <w:rPr>
                      <w:rFonts w:hint="eastAsia"/>
                    </w:rPr>
                    <w:t>0</w:t>
                  </w:r>
                  <w:r>
                    <w:t>.01</w:t>
                  </w:r>
                </w:p>
              </w:tc>
              <w:tc>
                <w:tcPr>
                  <w:tcW w:w="1930" w:type="pct"/>
                  <w:vAlign w:val="center"/>
                </w:tcPr>
                <w:p>
                  <w:pPr>
                    <w:pStyle w:val="136"/>
                    <w:adjustRightInd w:val="0"/>
                    <w:snapToGrid w:val="0"/>
                  </w:pPr>
                  <w:r>
                    <w:rPr>
                      <w:rFonts w:hint="eastAsia"/>
                    </w:rPr>
                    <w:t>由厂家回收处理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52" w:type="pct"/>
                  <w:vAlign w:val="center"/>
                </w:tcPr>
                <w:p>
                  <w:pPr>
                    <w:pStyle w:val="136"/>
                    <w:adjustRightInd w:val="0"/>
                    <w:snapToGrid w:val="0"/>
                  </w:pPr>
                  <w:r>
                    <w:rPr>
                      <w:rFonts w:hint="eastAsia"/>
                    </w:rPr>
                    <w:t>过期样品</w:t>
                  </w:r>
                </w:p>
              </w:tc>
              <w:tc>
                <w:tcPr>
                  <w:tcW w:w="791" w:type="pct"/>
                  <w:vAlign w:val="center"/>
                </w:tcPr>
                <w:p>
                  <w:pPr>
                    <w:pStyle w:val="136"/>
                    <w:adjustRightInd w:val="0"/>
                    <w:snapToGrid w:val="0"/>
                  </w:pPr>
                  <w:r>
                    <w:rPr>
                      <w:rFonts w:hint="eastAsia"/>
                    </w:rPr>
                    <w:t>一般固废</w:t>
                  </w:r>
                </w:p>
              </w:tc>
              <w:tc>
                <w:tcPr>
                  <w:tcW w:w="687" w:type="pct"/>
                  <w:vAlign w:val="center"/>
                </w:tcPr>
                <w:p>
                  <w:pPr>
                    <w:pStyle w:val="136"/>
                    <w:adjustRightInd w:val="0"/>
                    <w:snapToGrid w:val="0"/>
                  </w:pPr>
                  <w:r>
                    <w:rPr>
                      <w:rFonts w:hint="eastAsia"/>
                    </w:rPr>
                    <w:t>8</w:t>
                  </w:r>
                  <w:r>
                    <w:t>49-999-99</w:t>
                  </w:r>
                </w:p>
              </w:tc>
              <w:tc>
                <w:tcPr>
                  <w:tcW w:w="540" w:type="pct"/>
                  <w:vAlign w:val="center"/>
                </w:tcPr>
                <w:p>
                  <w:pPr>
                    <w:pStyle w:val="136"/>
                    <w:adjustRightInd w:val="0"/>
                    <w:snapToGrid w:val="0"/>
                  </w:pPr>
                  <w:r>
                    <w:rPr>
                      <w:rFonts w:hint="eastAsia"/>
                    </w:rPr>
                    <w:t>0</w:t>
                  </w:r>
                  <w:r>
                    <w:t>.25</w:t>
                  </w:r>
                </w:p>
              </w:tc>
              <w:tc>
                <w:tcPr>
                  <w:tcW w:w="1930" w:type="pct"/>
                  <w:vAlign w:val="center"/>
                </w:tcPr>
                <w:p>
                  <w:pPr>
                    <w:pStyle w:val="136"/>
                    <w:adjustRightInd w:val="0"/>
                    <w:snapToGrid w:val="0"/>
                  </w:pPr>
                  <w:r>
                    <w:rPr>
                      <w:rFonts w:hint="eastAsia"/>
                    </w:rPr>
                    <w:t>经实验室废水处理装置处理后排放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trPr>
              <w:tc>
                <w:tcPr>
                  <w:tcW w:w="1052" w:type="pct"/>
                  <w:vAlign w:val="center"/>
                </w:tcPr>
                <w:p>
                  <w:pPr>
                    <w:pStyle w:val="136"/>
                    <w:adjustRightInd w:val="0"/>
                    <w:snapToGrid w:val="0"/>
                  </w:pPr>
                  <w:r>
                    <w:rPr>
                      <w:rFonts w:hint="eastAsia"/>
                    </w:rPr>
                    <w:t>生活垃圾</w:t>
                  </w:r>
                </w:p>
              </w:tc>
              <w:tc>
                <w:tcPr>
                  <w:tcW w:w="791" w:type="pct"/>
                  <w:vAlign w:val="center"/>
                </w:tcPr>
                <w:p>
                  <w:pPr>
                    <w:pStyle w:val="136"/>
                    <w:adjustRightInd w:val="0"/>
                    <w:snapToGrid w:val="0"/>
                  </w:pPr>
                  <w:r>
                    <w:rPr>
                      <w:rFonts w:hint="eastAsia"/>
                    </w:rPr>
                    <w:t>/</w:t>
                  </w:r>
                </w:p>
              </w:tc>
              <w:tc>
                <w:tcPr>
                  <w:tcW w:w="687" w:type="pct"/>
                  <w:vAlign w:val="center"/>
                </w:tcPr>
                <w:p>
                  <w:pPr>
                    <w:pStyle w:val="136"/>
                    <w:adjustRightInd w:val="0"/>
                    <w:snapToGrid w:val="0"/>
                  </w:pPr>
                  <w:r>
                    <w:rPr>
                      <w:rFonts w:hint="eastAsia"/>
                    </w:rPr>
                    <w:t>/</w:t>
                  </w:r>
                </w:p>
              </w:tc>
              <w:tc>
                <w:tcPr>
                  <w:tcW w:w="540" w:type="pct"/>
                  <w:vAlign w:val="center"/>
                </w:tcPr>
                <w:p>
                  <w:pPr>
                    <w:pStyle w:val="136"/>
                    <w:adjustRightInd w:val="0"/>
                    <w:snapToGrid w:val="0"/>
                  </w:pPr>
                  <w:r>
                    <w:t>1.3</w:t>
                  </w:r>
                </w:p>
              </w:tc>
              <w:tc>
                <w:tcPr>
                  <w:tcW w:w="1930" w:type="pct"/>
                  <w:vAlign w:val="center"/>
                </w:tcPr>
                <w:p>
                  <w:pPr>
                    <w:pStyle w:val="136"/>
                    <w:adjustRightInd w:val="0"/>
                    <w:snapToGrid w:val="0"/>
                  </w:pPr>
                  <w:r>
                    <w:rPr>
                      <w:rFonts w:hint="eastAsia"/>
                    </w:rPr>
                    <w:t>收集后由环卫部门清运处理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52" w:type="pct"/>
                  <w:vAlign w:val="center"/>
                </w:tcPr>
                <w:p>
                  <w:pPr>
                    <w:pStyle w:val="136"/>
                    <w:adjustRightInd w:val="0"/>
                    <w:snapToGrid w:val="0"/>
                  </w:pPr>
                  <w:r>
                    <w:rPr>
                      <w:rFonts w:hint="eastAsia"/>
                    </w:rPr>
                    <w:t>实验固废</w:t>
                  </w:r>
                </w:p>
              </w:tc>
              <w:tc>
                <w:tcPr>
                  <w:tcW w:w="791" w:type="pct"/>
                  <w:vAlign w:val="center"/>
                </w:tcPr>
                <w:p>
                  <w:pPr>
                    <w:pStyle w:val="136"/>
                    <w:adjustRightInd w:val="0"/>
                    <w:snapToGrid w:val="0"/>
                  </w:pPr>
                  <w:r>
                    <w:rPr>
                      <w:rFonts w:hint="eastAsia"/>
                    </w:rPr>
                    <w:t>危险废物HW</w:t>
                  </w:r>
                  <w:r>
                    <w:t>49</w:t>
                  </w:r>
                </w:p>
              </w:tc>
              <w:tc>
                <w:tcPr>
                  <w:tcW w:w="687" w:type="pct"/>
                  <w:vAlign w:val="center"/>
                </w:tcPr>
                <w:p>
                  <w:pPr>
                    <w:pStyle w:val="136"/>
                    <w:adjustRightInd w:val="0"/>
                    <w:snapToGrid w:val="0"/>
                  </w:pPr>
                  <w:r>
                    <w:rPr>
                      <w:rFonts w:hint="eastAsia"/>
                    </w:rPr>
                    <w:t>9</w:t>
                  </w:r>
                  <w:r>
                    <w:t>00-047-49</w:t>
                  </w:r>
                </w:p>
              </w:tc>
              <w:tc>
                <w:tcPr>
                  <w:tcW w:w="540" w:type="pct"/>
                  <w:vAlign w:val="center"/>
                </w:tcPr>
                <w:p>
                  <w:pPr>
                    <w:pStyle w:val="136"/>
                    <w:adjustRightInd w:val="0"/>
                    <w:snapToGrid w:val="0"/>
                  </w:pPr>
                  <w:r>
                    <w:rPr>
                      <w:rFonts w:hint="eastAsia"/>
                    </w:rPr>
                    <w:t>0</w:t>
                  </w:r>
                  <w:r>
                    <w:t>.05</w:t>
                  </w:r>
                </w:p>
              </w:tc>
              <w:tc>
                <w:tcPr>
                  <w:tcW w:w="1930" w:type="pct"/>
                  <w:vMerge w:val="restart"/>
                  <w:vAlign w:val="center"/>
                </w:tcPr>
                <w:p>
                  <w:pPr>
                    <w:pStyle w:val="136"/>
                    <w:adjustRightInd w:val="0"/>
                    <w:snapToGrid w:val="0"/>
                    <w:jc w:val="both"/>
                  </w:pPr>
                  <w:r>
                    <w:rPr>
                      <w:rFonts w:hint="eastAsia" w:cs="Times New Roman"/>
                      <w:szCs w:val="18"/>
                      <w:lang w:val="de-DE"/>
                    </w:rPr>
                    <w:t>（废培养基需先进行高压蒸汽灭菌）收集暂存于5F危险废物暂存间内（3</w:t>
                  </w:r>
                  <w:r>
                    <w:rPr>
                      <w:rFonts w:cs="Times New Roman"/>
                      <w:szCs w:val="18"/>
                      <w:lang w:val="de-DE"/>
                    </w:rPr>
                    <w:t>.96</w:t>
                  </w:r>
                  <w:r>
                    <w:rPr>
                      <w:rFonts w:hint="eastAsia" w:cs="Times New Roman"/>
                      <w:szCs w:val="18"/>
                      <w:lang w:val="de-DE"/>
                    </w:rPr>
                    <w:t>m</w:t>
                  </w:r>
                  <w:r>
                    <w:rPr>
                      <w:rFonts w:cs="Times New Roman"/>
                      <w:szCs w:val="18"/>
                      <w:vertAlign w:val="superscript"/>
                      <w:lang w:val="de-DE"/>
                    </w:rPr>
                    <w:t>2</w:t>
                  </w:r>
                  <w:r>
                    <w:rPr>
                      <w:rFonts w:hint="eastAsia" w:cs="Times New Roman"/>
                      <w:szCs w:val="18"/>
                      <w:lang w:val="de-DE"/>
                    </w:rPr>
                    <w:t>），委托有危险废物处置资质单位定期清运处理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52" w:type="pct"/>
                  <w:vAlign w:val="center"/>
                </w:tcPr>
                <w:p>
                  <w:pPr>
                    <w:pStyle w:val="136"/>
                    <w:adjustRightInd w:val="0"/>
                    <w:snapToGrid w:val="0"/>
                  </w:pPr>
                  <w:r>
                    <w:rPr>
                      <w:rFonts w:hint="eastAsia"/>
                    </w:rPr>
                    <w:t>实验废液</w:t>
                  </w:r>
                </w:p>
              </w:tc>
              <w:tc>
                <w:tcPr>
                  <w:tcW w:w="791" w:type="pct"/>
                  <w:vAlign w:val="center"/>
                </w:tcPr>
                <w:p>
                  <w:pPr>
                    <w:pStyle w:val="136"/>
                    <w:adjustRightInd w:val="0"/>
                    <w:snapToGrid w:val="0"/>
                  </w:pPr>
                  <w:r>
                    <w:rPr>
                      <w:rFonts w:hint="eastAsia"/>
                    </w:rPr>
                    <w:t>危险废物HW</w:t>
                  </w:r>
                  <w:r>
                    <w:t>49</w:t>
                  </w:r>
                </w:p>
              </w:tc>
              <w:tc>
                <w:tcPr>
                  <w:tcW w:w="687" w:type="pct"/>
                  <w:vAlign w:val="center"/>
                </w:tcPr>
                <w:p>
                  <w:pPr>
                    <w:pStyle w:val="136"/>
                    <w:adjustRightInd w:val="0"/>
                    <w:snapToGrid w:val="0"/>
                  </w:pPr>
                  <w:r>
                    <w:rPr>
                      <w:rFonts w:hint="eastAsia"/>
                    </w:rPr>
                    <w:t>9</w:t>
                  </w:r>
                  <w:r>
                    <w:t>00-047-49</w:t>
                  </w:r>
                </w:p>
              </w:tc>
              <w:tc>
                <w:tcPr>
                  <w:tcW w:w="540" w:type="pct"/>
                  <w:vAlign w:val="center"/>
                </w:tcPr>
                <w:p>
                  <w:pPr>
                    <w:pStyle w:val="136"/>
                    <w:adjustRightInd w:val="0"/>
                    <w:snapToGrid w:val="0"/>
                  </w:pPr>
                  <w:r>
                    <w:rPr>
                      <w:rFonts w:hint="eastAsia"/>
                    </w:rPr>
                    <w:t>0</w:t>
                  </w:r>
                  <w:r>
                    <w:t>.8</w:t>
                  </w:r>
                </w:p>
              </w:tc>
              <w:tc>
                <w:tcPr>
                  <w:tcW w:w="1930" w:type="pct"/>
                  <w:vMerge w:val="continue"/>
                  <w:vAlign w:val="center"/>
                </w:tcPr>
                <w:p>
                  <w:pPr>
                    <w:pStyle w:val="136"/>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52" w:type="pct"/>
                  <w:vAlign w:val="center"/>
                </w:tcPr>
                <w:p>
                  <w:pPr>
                    <w:pStyle w:val="136"/>
                    <w:adjustRightInd w:val="0"/>
                    <w:snapToGrid w:val="0"/>
                  </w:pPr>
                  <w:r>
                    <w:rPr>
                      <w:rFonts w:hint="eastAsia"/>
                    </w:rPr>
                    <w:t>废试剂瓶</w:t>
                  </w:r>
                </w:p>
              </w:tc>
              <w:tc>
                <w:tcPr>
                  <w:tcW w:w="791" w:type="pct"/>
                  <w:vAlign w:val="center"/>
                </w:tcPr>
                <w:p>
                  <w:pPr>
                    <w:pStyle w:val="136"/>
                    <w:adjustRightInd w:val="0"/>
                    <w:snapToGrid w:val="0"/>
                  </w:pPr>
                  <w:r>
                    <w:rPr>
                      <w:rFonts w:hint="eastAsia"/>
                    </w:rPr>
                    <w:t>危险废物HW</w:t>
                  </w:r>
                  <w:r>
                    <w:t>49</w:t>
                  </w:r>
                </w:p>
              </w:tc>
              <w:tc>
                <w:tcPr>
                  <w:tcW w:w="687" w:type="pct"/>
                  <w:vAlign w:val="center"/>
                </w:tcPr>
                <w:p>
                  <w:pPr>
                    <w:pStyle w:val="136"/>
                    <w:adjustRightInd w:val="0"/>
                    <w:snapToGrid w:val="0"/>
                  </w:pPr>
                  <w:r>
                    <w:rPr>
                      <w:rFonts w:hint="eastAsia"/>
                    </w:rPr>
                    <w:t>9</w:t>
                  </w:r>
                  <w:r>
                    <w:t>00-047-49</w:t>
                  </w:r>
                </w:p>
              </w:tc>
              <w:tc>
                <w:tcPr>
                  <w:tcW w:w="540" w:type="pct"/>
                  <w:vAlign w:val="center"/>
                </w:tcPr>
                <w:p>
                  <w:pPr>
                    <w:pStyle w:val="136"/>
                    <w:adjustRightInd w:val="0"/>
                    <w:snapToGrid w:val="0"/>
                  </w:pPr>
                  <w:r>
                    <w:rPr>
                      <w:rFonts w:hint="eastAsia"/>
                    </w:rPr>
                    <w:t>0</w:t>
                  </w:r>
                  <w:r>
                    <w:t>.05</w:t>
                  </w:r>
                </w:p>
              </w:tc>
              <w:tc>
                <w:tcPr>
                  <w:tcW w:w="1930" w:type="pct"/>
                  <w:vMerge w:val="continue"/>
                  <w:vAlign w:val="center"/>
                </w:tcPr>
                <w:p>
                  <w:pPr>
                    <w:pStyle w:val="136"/>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52" w:type="pct"/>
                  <w:vAlign w:val="center"/>
                </w:tcPr>
                <w:p>
                  <w:pPr>
                    <w:pStyle w:val="136"/>
                    <w:adjustRightInd w:val="0"/>
                    <w:snapToGrid w:val="0"/>
                  </w:pPr>
                  <w:r>
                    <w:rPr>
                      <w:rFonts w:hint="eastAsia"/>
                    </w:rPr>
                    <w:t>仪器前三次清洗废水</w:t>
                  </w:r>
                </w:p>
              </w:tc>
              <w:tc>
                <w:tcPr>
                  <w:tcW w:w="791" w:type="pct"/>
                  <w:vAlign w:val="center"/>
                </w:tcPr>
                <w:p>
                  <w:pPr>
                    <w:pStyle w:val="136"/>
                    <w:adjustRightInd w:val="0"/>
                    <w:snapToGrid w:val="0"/>
                  </w:pPr>
                  <w:r>
                    <w:rPr>
                      <w:rFonts w:hint="eastAsia"/>
                    </w:rPr>
                    <w:t>危险废物HW</w:t>
                  </w:r>
                  <w:r>
                    <w:t>49</w:t>
                  </w:r>
                </w:p>
              </w:tc>
              <w:tc>
                <w:tcPr>
                  <w:tcW w:w="687" w:type="pct"/>
                  <w:vAlign w:val="center"/>
                </w:tcPr>
                <w:p>
                  <w:pPr>
                    <w:pStyle w:val="136"/>
                    <w:adjustRightInd w:val="0"/>
                    <w:snapToGrid w:val="0"/>
                  </w:pPr>
                  <w:r>
                    <w:rPr>
                      <w:rFonts w:hint="eastAsia"/>
                    </w:rPr>
                    <w:t>9</w:t>
                  </w:r>
                  <w:r>
                    <w:t>00-047-49</w:t>
                  </w:r>
                </w:p>
              </w:tc>
              <w:tc>
                <w:tcPr>
                  <w:tcW w:w="540" w:type="pct"/>
                  <w:vAlign w:val="center"/>
                </w:tcPr>
                <w:p>
                  <w:pPr>
                    <w:pStyle w:val="136"/>
                    <w:adjustRightInd w:val="0"/>
                    <w:snapToGrid w:val="0"/>
                  </w:pPr>
                  <w:r>
                    <w:rPr>
                      <w:rFonts w:hint="eastAsia"/>
                    </w:rPr>
                    <w:t>6</w:t>
                  </w:r>
                  <w:r>
                    <w:t>.2</w:t>
                  </w:r>
                </w:p>
              </w:tc>
              <w:tc>
                <w:tcPr>
                  <w:tcW w:w="1930" w:type="pct"/>
                  <w:vMerge w:val="continue"/>
                  <w:vAlign w:val="center"/>
                </w:tcPr>
                <w:p>
                  <w:pPr>
                    <w:pStyle w:val="136"/>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52" w:type="pct"/>
                  <w:vAlign w:val="center"/>
                </w:tcPr>
                <w:p>
                  <w:pPr>
                    <w:pStyle w:val="136"/>
                    <w:adjustRightInd w:val="0"/>
                    <w:snapToGrid w:val="0"/>
                  </w:pPr>
                  <w:r>
                    <w:rPr>
                      <w:rFonts w:hint="eastAsia"/>
                    </w:rPr>
                    <w:t>废活性炭</w:t>
                  </w:r>
                </w:p>
              </w:tc>
              <w:tc>
                <w:tcPr>
                  <w:tcW w:w="791" w:type="pct"/>
                  <w:vAlign w:val="center"/>
                </w:tcPr>
                <w:p>
                  <w:pPr>
                    <w:pStyle w:val="136"/>
                    <w:adjustRightInd w:val="0"/>
                    <w:snapToGrid w:val="0"/>
                  </w:pPr>
                  <w:r>
                    <w:rPr>
                      <w:rFonts w:hint="eastAsia"/>
                    </w:rPr>
                    <w:t>危险废物HW</w:t>
                  </w:r>
                  <w:r>
                    <w:t>49</w:t>
                  </w:r>
                </w:p>
              </w:tc>
              <w:tc>
                <w:tcPr>
                  <w:tcW w:w="687" w:type="pct"/>
                  <w:vAlign w:val="center"/>
                </w:tcPr>
                <w:p>
                  <w:pPr>
                    <w:pStyle w:val="136"/>
                    <w:adjustRightInd w:val="0"/>
                    <w:snapToGrid w:val="0"/>
                  </w:pPr>
                  <w:r>
                    <w:rPr>
                      <w:rFonts w:hint="eastAsia"/>
                    </w:rPr>
                    <w:t>9</w:t>
                  </w:r>
                  <w:r>
                    <w:t>00-039-49</w:t>
                  </w:r>
                </w:p>
              </w:tc>
              <w:tc>
                <w:tcPr>
                  <w:tcW w:w="540" w:type="pct"/>
                  <w:vAlign w:val="center"/>
                </w:tcPr>
                <w:p>
                  <w:pPr>
                    <w:pStyle w:val="136"/>
                    <w:adjustRightInd w:val="0"/>
                    <w:snapToGrid w:val="0"/>
                  </w:pPr>
                  <w:r>
                    <w:rPr>
                      <w:rFonts w:hint="eastAsia"/>
                    </w:rPr>
                    <w:t>0</w:t>
                  </w:r>
                  <w:r>
                    <w:t>.8</w:t>
                  </w:r>
                </w:p>
              </w:tc>
              <w:tc>
                <w:tcPr>
                  <w:tcW w:w="1930" w:type="pct"/>
                  <w:vMerge w:val="continue"/>
                  <w:vAlign w:val="center"/>
                </w:tcPr>
                <w:p>
                  <w:pPr>
                    <w:pStyle w:val="136"/>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52" w:type="pct"/>
                  <w:vAlign w:val="center"/>
                </w:tcPr>
                <w:p>
                  <w:pPr>
                    <w:pStyle w:val="136"/>
                    <w:adjustRightInd w:val="0"/>
                    <w:snapToGrid w:val="0"/>
                  </w:pPr>
                  <w:r>
                    <w:rPr>
                      <w:rFonts w:hint="eastAsia"/>
                    </w:rPr>
                    <w:t>废紫外灯管</w:t>
                  </w:r>
                </w:p>
              </w:tc>
              <w:tc>
                <w:tcPr>
                  <w:tcW w:w="791" w:type="pct"/>
                  <w:vAlign w:val="center"/>
                </w:tcPr>
                <w:p>
                  <w:pPr>
                    <w:pStyle w:val="136"/>
                    <w:adjustRightInd w:val="0"/>
                    <w:snapToGrid w:val="0"/>
                  </w:pPr>
                  <w:r>
                    <w:rPr>
                      <w:rFonts w:hint="eastAsia"/>
                    </w:rPr>
                    <w:t>危险废物HW</w:t>
                  </w:r>
                  <w:r>
                    <w:t>29</w:t>
                  </w:r>
                </w:p>
              </w:tc>
              <w:tc>
                <w:tcPr>
                  <w:tcW w:w="687" w:type="pct"/>
                  <w:vAlign w:val="center"/>
                </w:tcPr>
                <w:p>
                  <w:pPr>
                    <w:pStyle w:val="136"/>
                    <w:adjustRightInd w:val="0"/>
                    <w:snapToGrid w:val="0"/>
                  </w:pPr>
                  <w:r>
                    <w:t>900-023-29</w:t>
                  </w:r>
                </w:p>
              </w:tc>
              <w:tc>
                <w:tcPr>
                  <w:tcW w:w="540" w:type="pct"/>
                  <w:vAlign w:val="center"/>
                </w:tcPr>
                <w:p>
                  <w:pPr>
                    <w:pStyle w:val="136"/>
                    <w:adjustRightInd w:val="0"/>
                    <w:snapToGrid w:val="0"/>
                  </w:pPr>
                  <w:r>
                    <w:t>0.005</w:t>
                  </w:r>
                </w:p>
              </w:tc>
              <w:tc>
                <w:tcPr>
                  <w:tcW w:w="1930" w:type="pct"/>
                  <w:vMerge w:val="continue"/>
                  <w:vAlign w:val="center"/>
                </w:tcPr>
                <w:p>
                  <w:pPr>
                    <w:pStyle w:val="136"/>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trPr>
              <w:tc>
                <w:tcPr>
                  <w:tcW w:w="1052" w:type="pct"/>
                  <w:vAlign w:val="center"/>
                </w:tcPr>
                <w:p>
                  <w:pPr>
                    <w:pStyle w:val="136"/>
                    <w:adjustRightInd w:val="0"/>
                    <w:snapToGrid w:val="0"/>
                  </w:pPr>
                  <w:r>
                    <w:rPr>
                      <w:rFonts w:hint="eastAsia"/>
                    </w:rPr>
                    <w:t>废培养基</w:t>
                  </w:r>
                </w:p>
              </w:tc>
              <w:tc>
                <w:tcPr>
                  <w:tcW w:w="791" w:type="pct"/>
                  <w:vAlign w:val="center"/>
                </w:tcPr>
                <w:p>
                  <w:pPr>
                    <w:pStyle w:val="136"/>
                    <w:adjustRightInd w:val="0"/>
                    <w:snapToGrid w:val="0"/>
                  </w:pPr>
                  <w:r>
                    <w:rPr>
                      <w:rFonts w:hint="eastAsia"/>
                    </w:rPr>
                    <w:t>危险废物HW</w:t>
                  </w:r>
                  <w:r>
                    <w:t>49</w:t>
                  </w:r>
                </w:p>
              </w:tc>
              <w:tc>
                <w:tcPr>
                  <w:tcW w:w="687" w:type="pct"/>
                  <w:vAlign w:val="center"/>
                </w:tcPr>
                <w:p>
                  <w:pPr>
                    <w:pStyle w:val="136"/>
                    <w:adjustRightInd w:val="0"/>
                    <w:snapToGrid w:val="0"/>
                  </w:pPr>
                  <w:r>
                    <w:rPr>
                      <w:rFonts w:hint="eastAsia"/>
                    </w:rPr>
                    <w:t>9</w:t>
                  </w:r>
                  <w:r>
                    <w:t>00-047-49</w:t>
                  </w:r>
                </w:p>
              </w:tc>
              <w:tc>
                <w:tcPr>
                  <w:tcW w:w="540" w:type="pct"/>
                  <w:vAlign w:val="center"/>
                </w:tcPr>
                <w:p>
                  <w:pPr>
                    <w:pStyle w:val="136"/>
                    <w:adjustRightInd w:val="0"/>
                    <w:snapToGrid w:val="0"/>
                  </w:pPr>
                  <w:r>
                    <w:t>0.01</w:t>
                  </w:r>
                </w:p>
              </w:tc>
              <w:tc>
                <w:tcPr>
                  <w:tcW w:w="1930" w:type="pct"/>
                  <w:vMerge w:val="continue"/>
                  <w:vAlign w:val="center"/>
                </w:tcPr>
                <w:p>
                  <w:pPr>
                    <w:pStyle w:val="136"/>
                    <w:adjustRightInd w:val="0"/>
                    <w:snapToGrid w:val="0"/>
                  </w:pPr>
                </w:p>
              </w:tc>
            </w:tr>
          </w:tbl>
          <w:p>
            <w:pPr>
              <w:ind w:firstLine="480"/>
              <w:rPr>
                <w:szCs w:val="22"/>
              </w:rPr>
            </w:pPr>
            <w:r>
              <w:rPr>
                <w:szCs w:val="22"/>
              </w:rPr>
              <w:t>根据《建设项目危险废物环境影响评价指南》（环境保护部公告 2017年第43号）相关要求，项目危险废物产生及治理情况统计如下：</w:t>
            </w:r>
          </w:p>
          <w:p>
            <w:pPr>
              <w:pStyle w:val="157"/>
              <w:ind w:firstLine="420"/>
            </w:pPr>
            <w:r>
              <w:t>表4.4-2  项目危险废物产生及治理情况</w:t>
            </w:r>
          </w:p>
          <w:tbl>
            <w:tblPr>
              <w:tblStyle w:val="195"/>
              <w:tblW w:w="495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88"/>
              <w:gridCol w:w="620"/>
              <w:gridCol w:w="915"/>
              <w:gridCol w:w="658"/>
              <w:gridCol w:w="879"/>
              <w:gridCol w:w="494"/>
              <w:gridCol w:w="512"/>
              <w:gridCol w:w="675"/>
              <w:gridCol w:w="549"/>
              <w:gridCol w:w="687"/>
              <w:gridCol w:w="11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blHeader/>
              </w:trPr>
              <w:tc>
                <w:tcPr>
                  <w:tcW w:w="611" w:type="pct"/>
                  <w:vAlign w:val="center"/>
                </w:tcPr>
                <w:p>
                  <w:pPr>
                    <w:pStyle w:val="136"/>
                    <w:adjustRightInd w:val="0"/>
                    <w:snapToGrid w:val="0"/>
                    <w:rPr>
                      <w:rFonts w:cs="Times New Roman"/>
                      <w:b/>
                      <w:bCs/>
                      <w:snapToGrid w:val="0"/>
                    </w:rPr>
                  </w:pPr>
                  <w:r>
                    <w:rPr>
                      <w:rFonts w:cs="Times New Roman"/>
                      <w:b/>
                      <w:bCs/>
                      <w:snapToGrid w:val="0"/>
                    </w:rPr>
                    <w:t>危险废物名称</w:t>
                  </w:r>
                </w:p>
              </w:tc>
              <w:tc>
                <w:tcPr>
                  <w:tcW w:w="384" w:type="pct"/>
                  <w:vAlign w:val="center"/>
                </w:tcPr>
                <w:p>
                  <w:pPr>
                    <w:pStyle w:val="136"/>
                    <w:adjustRightInd w:val="0"/>
                    <w:snapToGrid w:val="0"/>
                    <w:rPr>
                      <w:rFonts w:cs="Times New Roman"/>
                      <w:b/>
                      <w:bCs/>
                      <w:snapToGrid w:val="0"/>
                    </w:rPr>
                  </w:pPr>
                  <w:r>
                    <w:rPr>
                      <w:rFonts w:cs="Times New Roman"/>
                      <w:b/>
                      <w:bCs/>
                      <w:snapToGrid w:val="0"/>
                    </w:rPr>
                    <w:t>危险废物类别</w:t>
                  </w:r>
                </w:p>
              </w:tc>
              <w:tc>
                <w:tcPr>
                  <w:tcW w:w="566" w:type="pct"/>
                  <w:vAlign w:val="center"/>
                </w:tcPr>
                <w:p>
                  <w:pPr>
                    <w:pStyle w:val="136"/>
                    <w:adjustRightInd w:val="0"/>
                    <w:snapToGrid w:val="0"/>
                    <w:rPr>
                      <w:rFonts w:cs="Times New Roman"/>
                      <w:b/>
                      <w:bCs/>
                      <w:snapToGrid w:val="0"/>
                    </w:rPr>
                  </w:pPr>
                  <w:r>
                    <w:rPr>
                      <w:rFonts w:cs="Times New Roman"/>
                      <w:b/>
                      <w:bCs/>
                      <w:snapToGrid w:val="0"/>
                    </w:rPr>
                    <w:t>危险废物代码</w:t>
                  </w:r>
                </w:p>
              </w:tc>
              <w:tc>
                <w:tcPr>
                  <w:tcW w:w="407" w:type="pct"/>
                  <w:vAlign w:val="center"/>
                </w:tcPr>
                <w:p>
                  <w:pPr>
                    <w:pStyle w:val="136"/>
                    <w:adjustRightInd w:val="0"/>
                    <w:snapToGrid w:val="0"/>
                    <w:rPr>
                      <w:rFonts w:cs="Times New Roman"/>
                      <w:b/>
                      <w:bCs/>
                      <w:snapToGrid w:val="0"/>
                    </w:rPr>
                  </w:pPr>
                  <w:r>
                    <w:rPr>
                      <w:rFonts w:cs="Times New Roman"/>
                      <w:b/>
                      <w:bCs/>
                      <w:snapToGrid w:val="0"/>
                    </w:rPr>
                    <w:t>产生量</w:t>
                  </w:r>
                  <w:r>
                    <w:rPr>
                      <w:rFonts w:hint="eastAsia" w:cs="Times New Roman"/>
                      <w:b/>
                      <w:bCs/>
                      <w:snapToGrid w:val="0"/>
                      <w:lang w:eastAsia="zh-CN"/>
                    </w:rPr>
                    <w:t>（</w:t>
                  </w:r>
                  <w:r>
                    <w:rPr>
                      <w:rFonts w:cs="Times New Roman"/>
                      <w:b/>
                      <w:bCs/>
                      <w:snapToGrid w:val="0"/>
                    </w:rPr>
                    <w:t>t/a)</w:t>
                  </w:r>
                </w:p>
              </w:tc>
              <w:tc>
                <w:tcPr>
                  <w:tcW w:w="544" w:type="pct"/>
                  <w:vAlign w:val="center"/>
                </w:tcPr>
                <w:p>
                  <w:pPr>
                    <w:pStyle w:val="136"/>
                    <w:adjustRightInd w:val="0"/>
                    <w:snapToGrid w:val="0"/>
                    <w:rPr>
                      <w:rFonts w:cs="Times New Roman"/>
                      <w:b/>
                      <w:bCs/>
                      <w:snapToGrid w:val="0"/>
                    </w:rPr>
                  </w:pPr>
                  <w:r>
                    <w:rPr>
                      <w:rFonts w:cs="Times New Roman"/>
                      <w:b/>
                      <w:bCs/>
                      <w:snapToGrid w:val="0"/>
                    </w:rPr>
                    <w:t>产生工序及装置</w:t>
                  </w:r>
                </w:p>
              </w:tc>
              <w:tc>
                <w:tcPr>
                  <w:tcW w:w="306" w:type="pct"/>
                  <w:vAlign w:val="center"/>
                </w:tcPr>
                <w:p>
                  <w:pPr>
                    <w:pStyle w:val="136"/>
                    <w:adjustRightInd w:val="0"/>
                    <w:snapToGrid w:val="0"/>
                    <w:rPr>
                      <w:rFonts w:cs="Times New Roman"/>
                      <w:b/>
                      <w:bCs/>
                      <w:snapToGrid w:val="0"/>
                    </w:rPr>
                  </w:pPr>
                  <w:r>
                    <w:rPr>
                      <w:rFonts w:cs="Times New Roman"/>
                      <w:b/>
                      <w:bCs/>
                      <w:snapToGrid w:val="0"/>
                    </w:rPr>
                    <w:t>形态</w:t>
                  </w:r>
                </w:p>
              </w:tc>
              <w:tc>
                <w:tcPr>
                  <w:tcW w:w="317" w:type="pct"/>
                  <w:vAlign w:val="center"/>
                </w:tcPr>
                <w:p>
                  <w:pPr>
                    <w:pStyle w:val="136"/>
                    <w:adjustRightInd w:val="0"/>
                    <w:snapToGrid w:val="0"/>
                    <w:rPr>
                      <w:rFonts w:cs="Times New Roman"/>
                      <w:b/>
                      <w:bCs/>
                      <w:snapToGrid w:val="0"/>
                    </w:rPr>
                  </w:pPr>
                  <w:r>
                    <w:rPr>
                      <w:rFonts w:cs="Times New Roman"/>
                      <w:b/>
                      <w:bCs/>
                      <w:snapToGrid w:val="0"/>
                    </w:rPr>
                    <w:t>主要成分</w:t>
                  </w:r>
                </w:p>
              </w:tc>
              <w:tc>
                <w:tcPr>
                  <w:tcW w:w="418" w:type="pct"/>
                  <w:vAlign w:val="center"/>
                </w:tcPr>
                <w:p>
                  <w:pPr>
                    <w:pStyle w:val="136"/>
                    <w:adjustRightInd w:val="0"/>
                    <w:snapToGrid w:val="0"/>
                    <w:rPr>
                      <w:rFonts w:cs="Times New Roman"/>
                      <w:b/>
                      <w:bCs/>
                      <w:snapToGrid w:val="0"/>
                    </w:rPr>
                  </w:pPr>
                  <w:r>
                    <w:rPr>
                      <w:rFonts w:cs="Times New Roman"/>
                      <w:b/>
                      <w:bCs/>
                      <w:snapToGrid w:val="0"/>
                    </w:rPr>
                    <w:t>有害成分</w:t>
                  </w:r>
                </w:p>
              </w:tc>
              <w:tc>
                <w:tcPr>
                  <w:tcW w:w="340" w:type="pct"/>
                  <w:vAlign w:val="center"/>
                </w:tcPr>
                <w:p>
                  <w:pPr>
                    <w:pStyle w:val="136"/>
                    <w:adjustRightInd w:val="0"/>
                    <w:snapToGrid w:val="0"/>
                    <w:rPr>
                      <w:rFonts w:cs="Times New Roman"/>
                      <w:b/>
                      <w:bCs/>
                      <w:snapToGrid w:val="0"/>
                    </w:rPr>
                  </w:pPr>
                  <w:r>
                    <w:rPr>
                      <w:rFonts w:cs="Times New Roman"/>
                      <w:b/>
                      <w:bCs/>
                      <w:snapToGrid w:val="0"/>
                    </w:rPr>
                    <w:t>产废周期</w:t>
                  </w:r>
                </w:p>
              </w:tc>
              <w:tc>
                <w:tcPr>
                  <w:tcW w:w="425" w:type="pct"/>
                  <w:vAlign w:val="center"/>
                </w:tcPr>
                <w:p>
                  <w:pPr>
                    <w:pStyle w:val="136"/>
                    <w:adjustRightInd w:val="0"/>
                    <w:snapToGrid w:val="0"/>
                    <w:rPr>
                      <w:rFonts w:cs="Times New Roman"/>
                      <w:b/>
                      <w:bCs/>
                      <w:snapToGrid w:val="0"/>
                    </w:rPr>
                  </w:pPr>
                  <w:r>
                    <w:rPr>
                      <w:rFonts w:cs="Times New Roman"/>
                      <w:b/>
                      <w:bCs/>
                      <w:snapToGrid w:val="0"/>
                    </w:rPr>
                    <w:t>危险</w:t>
                  </w:r>
                </w:p>
                <w:p>
                  <w:pPr>
                    <w:pStyle w:val="136"/>
                    <w:adjustRightInd w:val="0"/>
                    <w:snapToGrid w:val="0"/>
                    <w:rPr>
                      <w:rFonts w:cs="Times New Roman"/>
                      <w:b/>
                      <w:bCs/>
                      <w:snapToGrid w:val="0"/>
                    </w:rPr>
                  </w:pPr>
                  <w:r>
                    <w:rPr>
                      <w:rFonts w:cs="Times New Roman"/>
                      <w:b/>
                      <w:bCs/>
                      <w:snapToGrid w:val="0"/>
                    </w:rPr>
                    <w:t>特性</w:t>
                  </w:r>
                </w:p>
              </w:tc>
              <w:tc>
                <w:tcPr>
                  <w:tcW w:w="682" w:type="pct"/>
                  <w:vAlign w:val="center"/>
                </w:tcPr>
                <w:p>
                  <w:pPr>
                    <w:pStyle w:val="136"/>
                    <w:adjustRightInd w:val="0"/>
                    <w:snapToGrid w:val="0"/>
                    <w:rPr>
                      <w:rFonts w:cs="Times New Roman"/>
                      <w:b/>
                      <w:bCs/>
                      <w:snapToGrid w:val="0"/>
                    </w:rPr>
                  </w:pPr>
                  <w:r>
                    <w:rPr>
                      <w:rFonts w:cs="Times New Roman"/>
                      <w:b/>
                      <w:bCs/>
                      <w:snapToGrid w:val="0"/>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1" w:hRule="atLeast"/>
              </w:trPr>
              <w:tc>
                <w:tcPr>
                  <w:tcW w:w="611" w:type="pct"/>
                  <w:vAlign w:val="center"/>
                </w:tcPr>
                <w:p>
                  <w:pPr>
                    <w:pStyle w:val="136"/>
                    <w:adjustRightInd w:val="0"/>
                    <w:snapToGrid w:val="0"/>
                    <w:rPr>
                      <w:rFonts w:cs="Times New Roman"/>
                      <w:lang w:val="de-DE"/>
                    </w:rPr>
                  </w:pPr>
                  <w:r>
                    <w:rPr>
                      <w:rFonts w:hint="eastAsia"/>
                    </w:rPr>
                    <w:t>实验固废</w:t>
                  </w:r>
                </w:p>
              </w:tc>
              <w:tc>
                <w:tcPr>
                  <w:tcW w:w="384" w:type="pct"/>
                  <w:vAlign w:val="center"/>
                </w:tcPr>
                <w:p>
                  <w:pPr>
                    <w:pStyle w:val="136"/>
                    <w:adjustRightInd w:val="0"/>
                    <w:snapToGrid w:val="0"/>
                    <w:rPr>
                      <w:rFonts w:cs="Times New Roman"/>
                      <w:snapToGrid w:val="0"/>
                    </w:rPr>
                  </w:pPr>
                  <w:r>
                    <w:rPr>
                      <w:rFonts w:hint="eastAsia"/>
                    </w:rPr>
                    <w:t>HW</w:t>
                  </w:r>
                  <w:r>
                    <w:t>49</w:t>
                  </w:r>
                </w:p>
              </w:tc>
              <w:tc>
                <w:tcPr>
                  <w:tcW w:w="566" w:type="pct"/>
                  <w:vAlign w:val="center"/>
                </w:tcPr>
                <w:p>
                  <w:pPr>
                    <w:pStyle w:val="136"/>
                    <w:adjustRightInd w:val="0"/>
                    <w:snapToGrid w:val="0"/>
                    <w:rPr>
                      <w:rFonts w:cs="Times New Roman"/>
                      <w:snapToGrid w:val="0"/>
                    </w:rPr>
                  </w:pPr>
                  <w:r>
                    <w:rPr>
                      <w:rFonts w:hint="eastAsia"/>
                    </w:rPr>
                    <w:t>9</w:t>
                  </w:r>
                  <w:r>
                    <w:t>00-047-49</w:t>
                  </w:r>
                </w:p>
              </w:tc>
              <w:tc>
                <w:tcPr>
                  <w:tcW w:w="407" w:type="pct"/>
                  <w:vAlign w:val="center"/>
                </w:tcPr>
                <w:p>
                  <w:pPr>
                    <w:pStyle w:val="136"/>
                    <w:adjustRightInd w:val="0"/>
                    <w:snapToGrid w:val="0"/>
                    <w:rPr>
                      <w:rFonts w:cs="Times New Roman"/>
                      <w:lang w:val="de-DE"/>
                    </w:rPr>
                  </w:pPr>
                  <w:r>
                    <w:rPr>
                      <w:rFonts w:hint="eastAsia"/>
                    </w:rPr>
                    <w:t>0</w:t>
                  </w:r>
                  <w:r>
                    <w:t>.05</w:t>
                  </w:r>
                </w:p>
              </w:tc>
              <w:tc>
                <w:tcPr>
                  <w:tcW w:w="544" w:type="pct"/>
                  <w:vAlign w:val="center"/>
                </w:tcPr>
                <w:p>
                  <w:pPr>
                    <w:pStyle w:val="136"/>
                    <w:adjustRightInd w:val="0"/>
                    <w:snapToGrid w:val="0"/>
                    <w:rPr>
                      <w:rFonts w:cs="Times New Roman"/>
                      <w:snapToGrid w:val="0"/>
                    </w:rPr>
                  </w:pPr>
                  <w:r>
                    <w:rPr>
                      <w:rFonts w:hint="eastAsia" w:cs="Times New Roman"/>
                      <w:snapToGrid w:val="0"/>
                    </w:rPr>
                    <w:t>实验分析</w:t>
                  </w:r>
                </w:p>
              </w:tc>
              <w:tc>
                <w:tcPr>
                  <w:tcW w:w="306" w:type="pct"/>
                  <w:vAlign w:val="center"/>
                </w:tcPr>
                <w:p>
                  <w:pPr>
                    <w:pStyle w:val="136"/>
                    <w:adjustRightInd w:val="0"/>
                    <w:snapToGrid w:val="0"/>
                    <w:rPr>
                      <w:rFonts w:cs="Times New Roman"/>
                      <w:snapToGrid w:val="0"/>
                    </w:rPr>
                  </w:pPr>
                  <w:r>
                    <w:rPr>
                      <w:rFonts w:cs="Times New Roman"/>
                      <w:snapToGrid w:val="0"/>
                    </w:rPr>
                    <w:t>固态</w:t>
                  </w:r>
                </w:p>
              </w:tc>
              <w:tc>
                <w:tcPr>
                  <w:tcW w:w="317" w:type="pct"/>
                  <w:vAlign w:val="center"/>
                </w:tcPr>
                <w:p>
                  <w:pPr>
                    <w:pStyle w:val="136"/>
                    <w:adjustRightInd w:val="0"/>
                    <w:snapToGrid w:val="0"/>
                    <w:rPr>
                      <w:rFonts w:cs="Times New Roman"/>
                      <w:snapToGrid w:val="0"/>
                    </w:rPr>
                  </w:pPr>
                  <w:r>
                    <w:rPr>
                      <w:rFonts w:cs="Times New Roman"/>
                      <w:snapToGrid w:val="0"/>
                    </w:rPr>
                    <w:t>/</w:t>
                  </w:r>
                </w:p>
              </w:tc>
              <w:tc>
                <w:tcPr>
                  <w:tcW w:w="418" w:type="pct"/>
                  <w:vMerge w:val="restart"/>
                  <w:vAlign w:val="center"/>
                </w:tcPr>
                <w:p>
                  <w:pPr>
                    <w:pStyle w:val="136"/>
                    <w:adjustRightInd w:val="0"/>
                    <w:snapToGrid w:val="0"/>
                    <w:jc w:val="both"/>
                    <w:rPr>
                      <w:rFonts w:cs="Times New Roman"/>
                      <w:snapToGrid w:val="0"/>
                    </w:rPr>
                  </w:pPr>
                  <w:r>
                    <w:rPr>
                      <w:rFonts w:hint="eastAsia" w:cs="Times New Roman"/>
                      <w:snapToGrid w:val="0"/>
                    </w:rPr>
                    <w:t>化学试剂</w:t>
                  </w:r>
                </w:p>
              </w:tc>
              <w:tc>
                <w:tcPr>
                  <w:tcW w:w="340" w:type="pct"/>
                  <w:vAlign w:val="center"/>
                </w:tcPr>
                <w:p>
                  <w:pPr>
                    <w:pStyle w:val="136"/>
                    <w:adjustRightInd w:val="0"/>
                    <w:snapToGrid w:val="0"/>
                    <w:rPr>
                      <w:rFonts w:cs="Times New Roman"/>
                      <w:snapToGrid w:val="0"/>
                    </w:rPr>
                  </w:pPr>
                  <w:r>
                    <w:rPr>
                      <w:rFonts w:hint="eastAsia" w:cs="Times New Roman"/>
                      <w:snapToGrid w:val="0"/>
                    </w:rPr>
                    <w:t>每天</w:t>
                  </w:r>
                </w:p>
              </w:tc>
              <w:tc>
                <w:tcPr>
                  <w:tcW w:w="425" w:type="pct"/>
                  <w:vAlign w:val="center"/>
                </w:tcPr>
                <w:p>
                  <w:pPr>
                    <w:pStyle w:val="136"/>
                    <w:adjustRightInd w:val="0"/>
                    <w:snapToGrid w:val="0"/>
                    <w:rPr>
                      <w:rFonts w:cs="Times New Roman"/>
                      <w:snapToGrid w:val="0"/>
                    </w:rPr>
                  </w:pPr>
                  <w:r>
                    <w:rPr>
                      <w:rFonts w:cs="Times New Roman"/>
                      <w:snapToGrid w:val="0"/>
                    </w:rPr>
                    <w:t>T/C/I/R</w:t>
                  </w:r>
                </w:p>
              </w:tc>
              <w:tc>
                <w:tcPr>
                  <w:tcW w:w="682" w:type="pct"/>
                  <w:vMerge w:val="restart"/>
                  <w:vAlign w:val="center"/>
                </w:tcPr>
                <w:p>
                  <w:pPr>
                    <w:pStyle w:val="136"/>
                    <w:adjustRightInd w:val="0"/>
                    <w:snapToGrid w:val="0"/>
                    <w:jc w:val="both"/>
                    <w:rPr>
                      <w:rFonts w:cs="Times New Roman"/>
                      <w:lang w:val="de-DE"/>
                    </w:rPr>
                  </w:pPr>
                  <w:r>
                    <w:rPr>
                      <w:rFonts w:hint="eastAsia" w:cs="Times New Roman"/>
                      <w:szCs w:val="18"/>
                      <w:lang w:val="de-DE"/>
                    </w:rPr>
                    <w:t>（废培养基需先进行高压蒸汽灭菌）收集暂存于5F危险废物暂存间内（3</w:t>
                  </w:r>
                  <w:r>
                    <w:rPr>
                      <w:rFonts w:cs="Times New Roman"/>
                      <w:szCs w:val="18"/>
                      <w:lang w:val="de-DE"/>
                    </w:rPr>
                    <w:t>.96</w:t>
                  </w:r>
                  <w:r>
                    <w:rPr>
                      <w:rFonts w:hint="eastAsia" w:cs="Times New Roman"/>
                      <w:szCs w:val="18"/>
                      <w:lang w:val="de-DE"/>
                    </w:rPr>
                    <w:t>m</w:t>
                  </w:r>
                  <w:r>
                    <w:rPr>
                      <w:rFonts w:cs="Times New Roman"/>
                      <w:szCs w:val="18"/>
                      <w:vertAlign w:val="superscript"/>
                      <w:lang w:val="de-DE"/>
                    </w:rPr>
                    <w:t>2</w:t>
                  </w:r>
                  <w:r>
                    <w:rPr>
                      <w:rFonts w:hint="eastAsia" w:cs="Times New Roman"/>
                      <w:szCs w:val="18"/>
                      <w:lang w:val="de-DE"/>
                    </w:rPr>
                    <w:t>），委托有危险废物处置资质单位定期清运处理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611" w:type="pct"/>
                  <w:vAlign w:val="center"/>
                </w:tcPr>
                <w:p>
                  <w:pPr>
                    <w:pStyle w:val="136"/>
                    <w:adjustRightInd w:val="0"/>
                    <w:snapToGrid w:val="0"/>
                    <w:rPr>
                      <w:rFonts w:cs="Times New Roman"/>
                      <w:lang w:val="de-DE"/>
                    </w:rPr>
                  </w:pPr>
                  <w:r>
                    <w:rPr>
                      <w:rFonts w:hint="eastAsia"/>
                    </w:rPr>
                    <w:t>实验废液</w:t>
                  </w:r>
                </w:p>
              </w:tc>
              <w:tc>
                <w:tcPr>
                  <w:tcW w:w="384" w:type="pct"/>
                  <w:vAlign w:val="center"/>
                </w:tcPr>
                <w:p>
                  <w:pPr>
                    <w:pStyle w:val="136"/>
                    <w:adjustRightInd w:val="0"/>
                    <w:snapToGrid w:val="0"/>
                    <w:rPr>
                      <w:rFonts w:cs="Times New Roman"/>
                      <w:snapToGrid w:val="0"/>
                    </w:rPr>
                  </w:pPr>
                  <w:r>
                    <w:rPr>
                      <w:rFonts w:hint="eastAsia"/>
                    </w:rPr>
                    <w:t>HW</w:t>
                  </w:r>
                  <w:r>
                    <w:t>49</w:t>
                  </w:r>
                </w:p>
              </w:tc>
              <w:tc>
                <w:tcPr>
                  <w:tcW w:w="566" w:type="pct"/>
                  <w:vAlign w:val="center"/>
                </w:tcPr>
                <w:p>
                  <w:pPr>
                    <w:pStyle w:val="136"/>
                    <w:adjustRightInd w:val="0"/>
                    <w:snapToGrid w:val="0"/>
                    <w:rPr>
                      <w:rFonts w:cs="Times New Roman"/>
                      <w:snapToGrid w:val="0"/>
                    </w:rPr>
                  </w:pPr>
                  <w:r>
                    <w:rPr>
                      <w:rFonts w:hint="eastAsia"/>
                    </w:rPr>
                    <w:t>9</w:t>
                  </w:r>
                  <w:r>
                    <w:t>00-047-49</w:t>
                  </w:r>
                </w:p>
              </w:tc>
              <w:tc>
                <w:tcPr>
                  <w:tcW w:w="407" w:type="pct"/>
                  <w:vAlign w:val="center"/>
                </w:tcPr>
                <w:p>
                  <w:pPr>
                    <w:pStyle w:val="136"/>
                    <w:adjustRightInd w:val="0"/>
                    <w:snapToGrid w:val="0"/>
                    <w:rPr>
                      <w:rFonts w:cs="Times New Roman"/>
                      <w:lang w:val="de-DE"/>
                    </w:rPr>
                  </w:pPr>
                  <w:r>
                    <w:rPr>
                      <w:rFonts w:hint="eastAsia"/>
                    </w:rPr>
                    <w:t>0</w:t>
                  </w:r>
                  <w:r>
                    <w:t>.8</w:t>
                  </w:r>
                </w:p>
              </w:tc>
              <w:tc>
                <w:tcPr>
                  <w:tcW w:w="544" w:type="pct"/>
                  <w:vAlign w:val="center"/>
                </w:tcPr>
                <w:p>
                  <w:pPr>
                    <w:pStyle w:val="136"/>
                    <w:adjustRightInd w:val="0"/>
                    <w:snapToGrid w:val="0"/>
                    <w:rPr>
                      <w:rFonts w:cs="Times New Roman"/>
                      <w:snapToGrid w:val="0"/>
                    </w:rPr>
                  </w:pPr>
                  <w:r>
                    <w:rPr>
                      <w:rFonts w:hint="eastAsia" w:cs="Times New Roman"/>
                      <w:snapToGrid w:val="0"/>
                    </w:rPr>
                    <w:t>实验分析</w:t>
                  </w:r>
                </w:p>
              </w:tc>
              <w:tc>
                <w:tcPr>
                  <w:tcW w:w="306" w:type="pct"/>
                  <w:vAlign w:val="center"/>
                </w:tcPr>
                <w:p>
                  <w:pPr>
                    <w:pStyle w:val="136"/>
                    <w:adjustRightInd w:val="0"/>
                    <w:snapToGrid w:val="0"/>
                    <w:rPr>
                      <w:rFonts w:cs="Times New Roman"/>
                      <w:snapToGrid w:val="0"/>
                    </w:rPr>
                  </w:pPr>
                  <w:r>
                    <w:rPr>
                      <w:rFonts w:hint="eastAsia" w:cs="Times New Roman"/>
                      <w:snapToGrid w:val="0"/>
                    </w:rPr>
                    <w:t>液态</w:t>
                  </w:r>
                </w:p>
              </w:tc>
              <w:tc>
                <w:tcPr>
                  <w:tcW w:w="317" w:type="pct"/>
                  <w:vAlign w:val="center"/>
                </w:tcPr>
                <w:p>
                  <w:pPr>
                    <w:pStyle w:val="136"/>
                    <w:adjustRightInd w:val="0"/>
                    <w:snapToGrid w:val="0"/>
                    <w:rPr>
                      <w:rFonts w:cs="Times New Roman"/>
                      <w:snapToGrid w:val="0"/>
                    </w:rPr>
                  </w:pPr>
                  <w:r>
                    <w:rPr>
                      <w:rFonts w:cs="Times New Roman"/>
                      <w:snapToGrid w:val="0"/>
                    </w:rPr>
                    <w:t>/</w:t>
                  </w:r>
                </w:p>
              </w:tc>
              <w:tc>
                <w:tcPr>
                  <w:tcW w:w="418" w:type="pct"/>
                  <w:vMerge w:val="continue"/>
                  <w:vAlign w:val="center"/>
                </w:tcPr>
                <w:p>
                  <w:pPr>
                    <w:pStyle w:val="136"/>
                    <w:adjustRightInd w:val="0"/>
                    <w:snapToGrid w:val="0"/>
                    <w:rPr>
                      <w:rFonts w:cs="Times New Roman"/>
                      <w:snapToGrid w:val="0"/>
                    </w:rPr>
                  </w:pPr>
                </w:p>
              </w:tc>
              <w:tc>
                <w:tcPr>
                  <w:tcW w:w="340" w:type="pct"/>
                  <w:vAlign w:val="center"/>
                </w:tcPr>
                <w:p>
                  <w:pPr>
                    <w:pStyle w:val="136"/>
                    <w:adjustRightInd w:val="0"/>
                    <w:snapToGrid w:val="0"/>
                    <w:rPr>
                      <w:rFonts w:cs="Times New Roman"/>
                      <w:snapToGrid w:val="0"/>
                    </w:rPr>
                  </w:pPr>
                  <w:r>
                    <w:rPr>
                      <w:rFonts w:cs="Times New Roman"/>
                      <w:snapToGrid w:val="0"/>
                    </w:rPr>
                    <w:t>每天</w:t>
                  </w:r>
                </w:p>
              </w:tc>
              <w:tc>
                <w:tcPr>
                  <w:tcW w:w="425" w:type="pct"/>
                  <w:vAlign w:val="center"/>
                </w:tcPr>
                <w:p>
                  <w:pPr>
                    <w:pStyle w:val="136"/>
                    <w:adjustRightInd w:val="0"/>
                    <w:snapToGrid w:val="0"/>
                    <w:rPr>
                      <w:rFonts w:cs="Times New Roman"/>
                      <w:snapToGrid w:val="0"/>
                    </w:rPr>
                  </w:pPr>
                  <w:r>
                    <w:rPr>
                      <w:rFonts w:cs="Times New Roman"/>
                      <w:snapToGrid w:val="0"/>
                    </w:rPr>
                    <w:t>T/C/I/R</w:t>
                  </w:r>
                </w:p>
              </w:tc>
              <w:tc>
                <w:tcPr>
                  <w:tcW w:w="682" w:type="pct"/>
                  <w:vMerge w:val="continue"/>
                  <w:vAlign w:val="center"/>
                </w:tcPr>
                <w:p>
                  <w:pPr>
                    <w:pStyle w:val="136"/>
                    <w:adjustRightInd w:val="0"/>
                    <w:snapToGrid w:val="0"/>
                    <w:jc w:val="both"/>
                    <w:rPr>
                      <w:rFonts w:cs="Times New Roman"/>
                      <w:snapToGrid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611" w:type="pct"/>
                  <w:vAlign w:val="center"/>
                </w:tcPr>
                <w:p>
                  <w:pPr>
                    <w:pStyle w:val="136"/>
                    <w:adjustRightInd w:val="0"/>
                    <w:snapToGrid w:val="0"/>
                    <w:rPr>
                      <w:rFonts w:cs="Times New Roman"/>
                    </w:rPr>
                  </w:pPr>
                  <w:r>
                    <w:rPr>
                      <w:rFonts w:hint="eastAsia"/>
                    </w:rPr>
                    <w:t>废试剂瓶</w:t>
                  </w:r>
                </w:p>
              </w:tc>
              <w:tc>
                <w:tcPr>
                  <w:tcW w:w="384" w:type="pct"/>
                  <w:vAlign w:val="center"/>
                </w:tcPr>
                <w:p>
                  <w:pPr>
                    <w:pStyle w:val="136"/>
                    <w:adjustRightInd w:val="0"/>
                    <w:snapToGrid w:val="0"/>
                    <w:rPr>
                      <w:rFonts w:cs="Times New Roman"/>
                      <w:snapToGrid w:val="0"/>
                    </w:rPr>
                  </w:pPr>
                  <w:r>
                    <w:rPr>
                      <w:rFonts w:hint="eastAsia"/>
                    </w:rPr>
                    <w:t>HW</w:t>
                  </w:r>
                  <w:r>
                    <w:t>49</w:t>
                  </w:r>
                </w:p>
              </w:tc>
              <w:tc>
                <w:tcPr>
                  <w:tcW w:w="566" w:type="pct"/>
                  <w:vAlign w:val="center"/>
                </w:tcPr>
                <w:p>
                  <w:pPr>
                    <w:pStyle w:val="136"/>
                    <w:adjustRightInd w:val="0"/>
                    <w:snapToGrid w:val="0"/>
                    <w:rPr>
                      <w:rFonts w:cs="Times New Roman"/>
                    </w:rPr>
                  </w:pPr>
                  <w:r>
                    <w:rPr>
                      <w:rFonts w:hint="eastAsia"/>
                    </w:rPr>
                    <w:t>9</w:t>
                  </w:r>
                  <w:r>
                    <w:t>00-047-49</w:t>
                  </w:r>
                </w:p>
              </w:tc>
              <w:tc>
                <w:tcPr>
                  <w:tcW w:w="407" w:type="pct"/>
                  <w:vAlign w:val="center"/>
                </w:tcPr>
                <w:p>
                  <w:pPr>
                    <w:pStyle w:val="136"/>
                    <w:adjustRightInd w:val="0"/>
                    <w:snapToGrid w:val="0"/>
                    <w:rPr>
                      <w:rFonts w:cs="Times New Roman"/>
                      <w:lang w:val="de-DE"/>
                    </w:rPr>
                  </w:pPr>
                  <w:r>
                    <w:rPr>
                      <w:rFonts w:hint="eastAsia"/>
                    </w:rPr>
                    <w:t>0</w:t>
                  </w:r>
                  <w:r>
                    <w:t>.05</w:t>
                  </w:r>
                </w:p>
              </w:tc>
              <w:tc>
                <w:tcPr>
                  <w:tcW w:w="544" w:type="pct"/>
                  <w:vAlign w:val="center"/>
                </w:tcPr>
                <w:p>
                  <w:pPr>
                    <w:pStyle w:val="136"/>
                    <w:adjustRightInd w:val="0"/>
                    <w:snapToGrid w:val="0"/>
                    <w:rPr>
                      <w:rFonts w:cs="Times New Roman"/>
                      <w:snapToGrid w:val="0"/>
                    </w:rPr>
                  </w:pPr>
                  <w:r>
                    <w:rPr>
                      <w:rFonts w:hint="eastAsia" w:cs="Times New Roman"/>
                      <w:snapToGrid w:val="0"/>
                    </w:rPr>
                    <w:t>实验分析</w:t>
                  </w:r>
                </w:p>
              </w:tc>
              <w:tc>
                <w:tcPr>
                  <w:tcW w:w="306" w:type="pct"/>
                  <w:vAlign w:val="center"/>
                </w:tcPr>
                <w:p>
                  <w:pPr>
                    <w:pStyle w:val="136"/>
                    <w:adjustRightInd w:val="0"/>
                    <w:snapToGrid w:val="0"/>
                    <w:rPr>
                      <w:rFonts w:cs="Times New Roman"/>
                      <w:snapToGrid w:val="0"/>
                    </w:rPr>
                  </w:pPr>
                  <w:r>
                    <w:rPr>
                      <w:rFonts w:cs="Times New Roman"/>
                      <w:snapToGrid w:val="0"/>
                    </w:rPr>
                    <w:t>固态</w:t>
                  </w:r>
                </w:p>
              </w:tc>
              <w:tc>
                <w:tcPr>
                  <w:tcW w:w="317" w:type="pct"/>
                  <w:vAlign w:val="center"/>
                </w:tcPr>
                <w:p>
                  <w:pPr>
                    <w:pStyle w:val="136"/>
                    <w:adjustRightInd w:val="0"/>
                    <w:snapToGrid w:val="0"/>
                    <w:rPr>
                      <w:rFonts w:cs="Times New Roman"/>
                      <w:snapToGrid w:val="0"/>
                    </w:rPr>
                  </w:pPr>
                  <w:r>
                    <w:rPr>
                      <w:rFonts w:cs="Times New Roman"/>
                      <w:snapToGrid w:val="0"/>
                    </w:rPr>
                    <w:t>/</w:t>
                  </w:r>
                </w:p>
              </w:tc>
              <w:tc>
                <w:tcPr>
                  <w:tcW w:w="418" w:type="pct"/>
                  <w:vMerge w:val="continue"/>
                  <w:vAlign w:val="center"/>
                </w:tcPr>
                <w:p>
                  <w:pPr>
                    <w:pStyle w:val="136"/>
                    <w:adjustRightInd w:val="0"/>
                    <w:snapToGrid w:val="0"/>
                    <w:rPr>
                      <w:rFonts w:cs="Times New Roman"/>
                      <w:snapToGrid w:val="0"/>
                    </w:rPr>
                  </w:pPr>
                </w:p>
              </w:tc>
              <w:tc>
                <w:tcPr>
                  <w:tcW w:w="340" w:type="pct"/>
                  <w:vAlign w:val="center"/>
                </w:tcPr>
                <w:p>
                  <w:pPr>
                    <w:pStyle w:val="136"/>
                    <w:adjustRightInd w:val="0"/>
                    <w:snapToGrid w:val="0"/>
                    <w:rPr>
                      <w:rFonts w:cs="Times New Roman"/>
                      <w:snapToGrid w:val="0"/>
                    </w:rPr>
                  </w:pPr>
                  <w:r>
                    <w:rPr>
                      <w:rFonts w:hint="eastAsia" w:cs="Times New Roman"/>
                      <w:snapToGrid w:val="0"/>
                    </w:rPr>
                    <w:t>不定期</w:t>
                  </w:r>
                </w:p>
              </w:tc>
              <w:tc>
                <w:tcPr>
                  <w:tcW w:w="425" w:type="pct"/>
                  <w:vAlign w:val="center"/>
                </w:tcPr>
                <w:p>
                  <w:pPr>
                    <w:pStyle w:val="136"/>
                    <w:adjustRightInd w:val="0"/>
                    <w:snapToGrid w:val="0"/>
                    <w:rPr>
                      <w:rFonts w:cs="Times New Roman"/>
                      <w:snapToGrid w:val="0"/>
                    </w:rPr>
                  </w:pPr>
                  <w:r>
                    <w:rPr>
                      <w:rFonts w:cs="Times New Roman"/>
                      <w:snapToGrid w:val="0"/>
                    </w:rPr>
                    <w:t>T/C/I/R</w:t>
                  </w:r>
                </w:p>
              </w:tc>
              <w:tc>
                <w:tcPr>
                  <w:tcW w:w="682" w:type="pct"/>
                  <w:vMerge w:val="continue"/>
                  <w:vAlign w:val="center"/>
                </w:tcPr>
                <w:p>
                  <w:pPr>
                    <w:pStyle w:val="136"/>
                    <w:adjustRightInd w:val="0"/>
                    <w:snapToGrid w:val="0"/>
                    <w:jc w:val="both"/>
                    <w:rPr>
                      <w:rFonts w:cs="Times New Roman"/>
                      <w:snapToGrid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611" w:type="pct"/>
                  <w:vAlign w:val="center"/>
                </w:tcPr>
                <w:p>
                  <w:pPr>
                    <w:pStyle w:val="136"/>
                    <w:adjustRightInd w:val="0"/>
                    <w:snapToGrid w:val="0"/>
                    <w:rPr>
                      <w:rFonts w:cs="Times New Roman"/>
                    </w:rPr>
                  </w:pPr>
                  <w:r>
                    <w:rPr>
                      <w:rFonts w:hint="eastAsia"/>
                    </w:rPr>
                    <w:t>仪器前三次清洗废水</w:t>
                  </w:r>
                </w:p>
              </w:tc>
              <w:tc>
                <w:tcPr>
                  <w:tcW w:w="384" w:type="pct"/>
                  <w:vAlign w:val="center"/>
                </w:tcPr>
                <w:p>
                  <w:pPr>
                    <w:pStyle w:val="136"/>
                    <w:adjustRightInd w:val="0"/>
                    <w:snapToGrid w:val="0"/>
                    <w:rPr>
                      <w:rFonts w:cs="Times New Roman"/>
                      <w:snapToGrid w:val="0"/>
                    </w:rPr>
                  </w:pPr>
                  <w:r>
                    <w:rPr>
                      <w:rFonts w:hint="eastAsia"/>
                    </w:rPr>
                    <w:t>HW</w:t>
                  </w:r>
                  <w:r>
                    <w:t>49</w:t>
                  </w:r>
                </w:p>
              </w:tc>
              <w:tc>
                <w:tcPr>
                  <w:tcW w:w="566" w:type="pct"/>
                  <w:vAlign w:val="center"/>
                </w:tcPr>
                <w:p>
                  <w:pPr>
                    <w:pStyle w:val="136"/>
                    <w:adjustRightInd w:val="0"/>
                    <w:snapToGrid w:val="0"/>
                    <w:rPr>
                      <w:rFonts w:cs="Times New Roman"/>
                    </w:rPr>
                  </w:pPr>
                  <w:r>
                    <w:rPr>
                      <w:rFonts w:hint="eastAsia"/>
                    </w:rPr>
                    <w:t>9</w:t>
                  </w:r>
                  <w:r>
                    <w:t>00-047-49</w:t>
                  </w:r>
                </w:p>
              </w:tc>
              <w:tc>
                <w:tcPr>
                  <w:tcW w:w="407" w:type="pct"/>
                  <w:vAlign w:val="center"/>
                </w:tcPr>
                <w:p>
                  <w:pPr>
                    <w:pStyle w:val="136"/>
                    <w:adjustRightInd w:val="0"/>
                    <w:snapToGrid w:val="0"/>
                    <w:rPr>
                      <w:rFonts w:cs="Times New Roman"/>
                      <w:lang w:val="de-DE"/>
                    </w:rPr>
                  </w:pPr>
                  <w:r>
                    <w:rPr>
                      <w:rFonts w:hint="eastAsia"/>
                    </w:rPr>
                    <w:t>6</w:t>
                  </w:r>
                  <w:r>
                    <w:t>.2</w:t>
                  </w:r>
                </w:p>
              </w:tc>
              <w:tc>
                <w:tcPr>
                  <w:tcW w:w="544" w:type="pct"/>
                  <w:vAlign w:val="center"/>
                </w:tcPr>
                <w:p>
                  <w:pPr>
                    <w:pStyle w:val="136"/>
                    <w:adjustRightInd w:val="0"/>
                    <w:snapToGrid w:val="0"/>
                    <w:rPr>
                      <w:rFonts w:cs="Times New Roman"/>
                      <w:snapToGrid w:val="0"/>
                    </w:rPr>
                  </w:pPr>
                  <w:r>
                    <w:rPr>
                      <w:rFonts w:hint="eastAsia" w:cs="Times New Roman"/>
                      <w:snapToGrid w:val="0"/>
                    </w:rPr>
                    <w:t>实验分析</w:t>
                  </w:r>
                </w:p>
              </w:tc>
              <w:tc>
                <w:tcPr>
                  <w:tcW w:w="306" w:type="pct"/>
                  <w:vAlign w:val="center"/>
                </w:tcPr>
                <w:p>
                  <w:pPr>
                    <w:pStyle w:val="136"/>
                    <w:adjustRightInd w:val="0"/>
                    <w:snapToGrid w:val="0"/>
                    <w:rPr>
                      <w:rFonts w:cs="Times New Roman"/>
                      <w:snapToGrid w:val="0"/>
                    </w:rPr>
                  </w:pPr>
                  <w:r>
                    <w:rPr>
                      <w:rFonts w:hint="eastAsia" w:cs="Times New Roman"/>
                      <w:snapToGrid w:val="0"/>
                    </w:rPr>
                    <w:t>液态</w:t>
                  </w:r>
                </w:p>
              </w:tc>
              <w:tc>
                <w:tcPr>
                  <w:tcW w:w="317" w:type="pct"/>
                  <w:vAlign w:val="center"/>
                </w:tcPr>
                <w:p>
                  <w:pPr>
                    <w:pStyle w:val="136"/>
                    <w:adjustRightInd w:val="0"/>
                    <w:snapToGrid w:val="0"/>
                    <w:rPr>
                      <w:rFonts w:cs="Times New Roman"/>
                      <w:snapToGrid w:val="0"/>
                    </w:rPr>
                  </w:pPr>
                  <w:r>
                    <w:rPr>
                      <w:rFonts w:cs="Times New Roman"/>
                      <w:snapToGrid w:val="0"/>
                    </w:rPr>
                    <w:t>/</w:t>
                  </w:r>
                </w:p>
              </w:tc>
              <w:tc>
                <w:tcPr>
                  <w:tcW w:w="418" w:type="pct"/>
                  <w:vMerge w:val="continue"/>
                  <w:vAlign w:val="center"/>
                </w:tcPr>
                <w:p>
                  <w:pPr>
                    <w:pStyle w:val="136"/>
                    <w:adjustRightInd w:val="0"/>
                    <w:snapToGrid w:val="0"/>
                    <w:rPr>
                      <w:rFonts w:cs="Times New Roman"/>
                      <w:snapToGrid w:val="0"/>
                    </w:rPr>
                  </w:pPr>
                </w:p>
              </w:tc>
              <w:tc>
                <w:tcPr>
                  <w:tcW w:w="340" w:type="pct"/>
                  <w:vAlign w:val="center"/>
                </w:tcPr>
                <w:p>
                  <w:pPr>
                    <w:pStyle w:val="136"/>
                    <w:adjustRightInd w:val="0"/>
                    <w:snapToGrid w:val="0"/>
                    <w:rPr>
                      <w:rFonts w:cs="Times New Roman"/>
                      <w:snapToGrid w:val="0"/>
                    </w:rPr>
                  </w:pPr>
                  <w:r>
                    <w:rPr>
                      <w:rFonts w:hint="eastAsia" w:cs="Times New Roman"/>
                      <w:snapToGrid w:val="0"/>
                    </w:rPr>
                    <w:t>每天</w:t>
                  </w:r>
                </w:p>
              </w:tc>
              <w:tc>
                <w:tcPr>
                  <w:tcW w:w="425" w:type="pct"/>
                  <w:vAlign w:val="center"/>
                </w:tcPr>
                <w:p>
                  <w:pPr>
                    <w:pStyle w:val="136"/>
                    <w:adjustRightInd w:val="0"/>
                    <w:snapToGrid w:val="0"/>
                    <w:rPr>
                      <w:rFonts w:cs="Times New Roman"/>
                      <w:snapToGrid w:val="0"/>
                    </w:rPr>
                  </w:pPr>
                  <w:r>
                    <w:rPr>
                      <w:rFonts w:cs="Times New Roman"/>
                      <w:snapToGrid w:val="0"/>
                    </w:rPr>
                    <w:t>T/C/I/R</w:t>
                  </w:r>
                </w:p>
              </w:tc>
              <w:tc>
                <w:tcPr>
                  <w:tcW w:w="682" w:type="pct"/>
                  <w:vMerge w:val="continue"/>
                  <w:vAlign w:val="center"/>
                </w:tcPr>
                <w:p>
                  <w:pPr>
                    <w:pStyle w:val="136"/>
                    <w:adjustRightInd w:val="0"/>
                    <w:snapToGrid w:val="0"/>
                    <w:jc w:val="both"/>
                    <w:rPr>
                      <w:rFonts w:cs="Times New Roman"/>
                      <w:snapToGrid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611" w:type="pct"/>
                  <w:vAlign w:val="center"/>
                </w:tcPr>
                <w:p>
                  <w:pPr>
                    <w:pStyle w:val="136"/>
                    <w:adjustRightInd w:val="0"/>
                    <w:snapToGrid w:val="0"/>
                    <w:rPr>
                      <w:rFonts w:cs="Times New Roman"/>
                    </w:rPr>
                  </w:pPr>
                  <w:r>
                    <w:rPr>
                      <w:rFonts w:hint="eastAsia"/>
                    </w:rPr>
                    <w:t>废活性炭</w:t>
                  </w:r>
                </w:p>
              </w:tc>
              <w:tc>
                <w:tcPr>
                  <w:tcW w:w="384" w:type="pct"/>
                  <w:vAlign w:val="center"/>
                </w:tcPr>
                <w:p>
                  <w:pPr>
                    <w:pStyle w:val="136"/>
                    <w:adjustRightInd w:val="0"/>
                    <w:snapToGrid w:val="0"/>
                    <w:rPr>
                      <w:rFonts w:cs="Times New Roman"/>
                      <w:snapToGrid w:val="0"/>
                    </w:rPr>
                  </w:pPr>
                  <w:r>
                    <w:rPr>
                      <w:rFonts w:hint="eastAsia"/>
                    </w:rPr>
                    <w:t>HW</w:t>
                  </w:r>
                  <w:r>
                    <w:t>49</w:t>
                  </w:r>
                </w:p>
              </w:tc>
              <w:tc>
                <w:tcPr>
                  <w:tcW w:w="566" w:type="pct"/>
                  <w:vAlign w:val="center"/>
                </w:tcPr>
                <w:p>
                  <w:pPr>
                    <w:pStyle w:val="136"/>
                    <w:adjustRightInd w:val="0"/>
                    <w:snapToGrid w:val="0"/>
                    <w:rPr>
                      <w:rFonts w:cs="Times New Roman"/>
                    </w:rPr>
                  </w:pPr>
                  <w:r>
                    <w:rPr>
                      <w:rFonts w:hint="eastAsia"/>
                    </w:rPr>
                    <w:t>9</w:t>
                  </w:r>
                  <w:r>
                    <w:t>00-039-49</w:t>
                  </w:r>
                </w:p>
              </w:tc>
              <w:tc>
                <w:tcPr>
                  <w:tcW w:w="407" w:type="pct"/>
                  <w:vAlign w:val="center"/>
                </w:tcPr>
                <w:p>
                  <w:pPr>
                    <w:pStyle w:val="136"/>
                    <w:adjustRightInd w:val="0"/>
                    <w:snapToGrid w:val="0"/>
                    <w:rPr>
                      <w:rFonts w:cs="Times New Roman"/>
                      <w:lang w:val="de-DE"/>
                    </w:rPr>
                  </w:pPr>
                  <w:r>
                    <w:rPr>
                      <w:rFonts w:hint="eastAsia"/>
                    </w:rPr>
                    <w:t>0</w:t>
                  </w:r>
                  <w:r>
                    <w:t>.8</w:t>
                  </w:r>
                </w:p>
              </w:tc>
              <w:tc>
                <w:tcPr>
                  <w:tcW w:w="544" w:type="pct"/>
                  <w:vAlign w:val="center"/>
                </w:tcPr>
                <w:p>
                  <w:pPr>
                    <w:pStyle w:val="136"/>
                    <w:adjustRightInd w:val="0"/>
                    <w:snapToGrid w:val="0"/>
                    <w:rPr>
                      <w:rFonts w:cs="Times New Roman"/>
                      <w:snapToGrid w:val="0"/>
                    </w:rPr>
                  </w:pPr>
                  <w:r>
                    <w:rPr>
                      <w:rFonts w:hint="eastAsia" w:cs="Times New Roman"/>
                      <w:snapToGrid w:val="0"/>
                    </w:rPr>
                    <w:t>废气处理</w:t>
                  </w:r>
                </w:p>
              </w:tc>
              <w:tc>
                <w:tcPr>
                  <w:tcW w:w="306" w:type="pct"/>
                  <w:vAlign w:val="center"/>
                </w:tcPr>
                <w:p>
                  <w:pPr>
                    <w:pStyle w:val="136"/>
                    <w:adjustRightInd w:val="0"/>
                    <w:snapToGrid w:val="0"/>
                    <w:rPr>
                      <w:rFonts w:cs="Times New Roman"/>
                      <w:snapToGrid w:val="0"/>
                    </w:rPr>
                  </w:pPr>
                  <w:r>
                    <w:rPr>
                      <w:rFonts w:cs="Times New Roman"/>
                      <w:snapToGrid w:val="0"/>
                    </w:rPr>
                    <w:t>固态</w:t>
                  </w:r>
                </w:p>
              </w:tc>
              <w:tc>
                <w:tcPr>
                  <w:tcW w:w="317" w:type="pct"/>
                  <w:vAlign w:val="center"/>
                </w:tcPr>
                <w:p>
                  <w:pPr>
                    <w:pStyle w:val="136"/>
                    <w:adjustRightInd w:val="0"/>
                    <w:snapToGrid w:val="0"/>
                    <w:rPr>
                      <w:rFonts w:cs="Times New Roman"/>
                      <w:snapToGrid w:val="0"/>
                    </w:rPr>
                  </w:pPr>
                  <w:r>
                    <w:rPr>
                      <w:rFonts w:cs="Times New Roman"/>
                      <w:snapToGrid w:val="0"/>
                    </w:rPr>
                    <w:t>/</w:t>
                  </w:r>
                </w:p>
              </w:tc>
              <w:tc>
                <w:tcPr>
                  <w:tcW w:w="418" w:type="pct"/>
                  <w:vMerge w:val="continue"/>
                  <w:vAlign w:val="center"/>
                </w:tcPr>
                <w:p>
                  <w:pPr>
                    <w:pStyle w:val="136"/>
                    <w:adjustRightInd w:val="0"/>
                    <w:snapToGrid w:val="0"/>
                    <w:rPr>
                      <w:rFonts w:cs="Times New Roman"/>
                      <w:snapToGrid w:val="0"/>
                    </w:rPr>
                  </w:pPr>
                </w:p>
              </w:tc>
              <w:tc>
                <w:tcPr>
                  <w:tcW w:w="340" w:type="pct"/>
                  <w:vAlign w:val="center"/>
                </w:tcPr>
                <w:p>
                  <w:pPr>
                    <w:pStyle w:val="136"/>
                    <w:adjustRightInd w:val="0"/>
                    <w:snapToGrid w:val="0"/>
                    <w:rPr>
                      <w:rFonts w:cs="Times New Roman"/>
                      <w:snapToGrid w:val="0"/>
                    </w:rPr>
                  </w:pPr>
                  <w:r>
                    <w:rPr>
                      <w:rFonts w:hint="eastAsia" w:cs="Times New Roman"/>
                      <w:snapToGrid w:val="0"/>
                    </w:rPr>
                    <w:t>6个月</w:t>
                  </w:r>
                </w:p>
              </w:tc>
              <w:tc>
                <w:tcPr>
                  <w:tcW w:w="425" w:type="pct"/>
                  <w:vAlign w:val="center"/>
                </w:tcPr>
                <w:p>
                  <w:pPr>
                    <w:pStyle w:val="136"/>
                    <w:adjustRightInd w:val="0"/>
                    <w:snapToGrid w:val="0"/>
                    <w:rPr>
                      <w:rFonts w:cs="Times New Roman"/>
                      <w:snapToGrid w:val="0"/>
                    </w:rPr>
                  </w:pPr>
                  <w:r>
                    <w:rPr>
                      <w:rFonts w:cs="Times New Roman"/>
                      <w:snapToGrid w:val="0"/>
                    </w:rPr>
                    <w:t>T</w:t>
                  </w:r>
                </w:p>
              </w:tc>
              <w:tc>
                <w:tcPr>
                  <w:tcW w:w="682" w:type="pct"/>
                  <w:vMerge w:val="continue"/>
                  <w:vAlign w:val="center"/>
                </w:tcPr>
                <w:p>
                  <w:pPr>
                    <w:pStyle w:val="136"/>
                    <w:adjustRightInd w:val="0"/>
                    <w:snapToGrid w:val="0"/>
                    <w:jc w:val="both"/>
                    <w:rPr>
                      <w:rFonts w:cs="Times New Roman"/>
                      <w:snapToGrid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611" w:type="pct"/>
                  <w:vAlign w:val="center"/>
                </w:tcPr>
                <w:p>
                  <w:pPr>
                    <w:pStyle w:val="136"/>
                    <w:adjustRightInd w:val="0"/>
                    <w:snapToGrid w:val="0"/>
                    <w:rPr>
                      <w:rFonts w:cs="Times New Roman"/>
                      <w:lang w:val="de-DE"/>
                    </w:rPr>
                  </w:pPr>
                  <w:r>
                    <w:rPr>
                      <w:rFonts w:hint="eastAsia"/>
                    </w:rPr>
                    <w:t>废紫外灯管</w:t>
                  </w:r>
                </w:p>
              </w:tc>
              <w:tc>
                <w:tcPr>
                  <w:tcW w:w="384" w:type="pct"/>
                  <w:vAlign w:val="center"/>
                </w:tcPr>
                <w:p>
                  <w:pPr>
                    <w:pStyle w:val="136"/>
                    <w:adjustRightInd w:val="0"/>
                    <w:snapToGrid w:val="0"/>
                    <w:rPr>
                      <w:rFonts w:cs="Times New Roman"/>
                      <w:snapToGrid w:val="0"/>
                    </w:rPr>
                  </w:pPr>
                  <w:r>
                    <w:rPr>
                      <w:rFonts w:hint="eastAsia"/>
                    </w:rPr>
                    <w:t>HW</w:t>
                  </w:r>
                  <w:r>
                    <w:t>29</w:t>
                  </w:r>
                </w:p>
              </w:tc>
              <w:tc>
                <w:tcPr>
                  <w:tcW w:w="566" w:type="pct"/>
                  <w:vAlign w:val="center"/>
                </w:tcPr>
                <w:p>
                  <w:pPr>
                    <w:pStyle w:val="136"/>
                    <w:adjustRightInd w:val="0"/>
                    <w:snapToGrid w:val="0"/>
                    <w:rPr>
                      <w:rFonts w:cs="Times New Roman"/>
                      <w:snapToGrid w:val="0"/>
                    </w:rPr>
                  </w:pPr>
                  <w:r>
                    <w:t>900-023-29</w:t>
                  </w:r>
                </w:p>
              </w:tc>
              <w:tc>
                <w:tcPr>
                  <w:tcW w:w="407" w:type="pct"/>
                  <w:vAlign w:val="center"/>
                </w:tcPr>
                <w:p>
                  <w:pPr>
                    <w:pStyle w:val="136"/>
                    <w:adjustRightInd w:val="0"/>
                    <w:snapToGrid w:val="0"/>
                    <w:rPr>
                      <w:rFonts w:cs="Times New Roman"/>
                      <w:lang w:val="de-DE"/>
                    </w:rPr>
                  </w:pPr>
                  <w:r>
                    <w:t>0.005</w:t>
                  </w:r>
                </w:p>
              </w:tc>
              <w:tc>
                <w:tcPr>
                  <w:tcW w:w="544" w:type="pct"/>
                  <w:vAlign w:val="center"/>
                </w:tcPr>
                <w:p>
                  <w:pPr>
                    <w:pStyle w:val="136"/>
                    <w:adjustRightInd w:val="0"/>
                    <w:snapToGrid w:val="0"/>
                    <w:rPr>
                      <w:rFonts w:cs="Times New Roman"/>
                      <w:snapToGrid w:val="0"/>
                    </w:rPr>
                  </w:pPr>
                  <w:r>
                    <w:rPr>
                      <w:rFonts w:hint="eastAsia" w:cs="Times New Roman"/>
                      <w:snapToGrid w:val="0"/>
                    </w:rPr>
                    <w:t>实验分析</w:t>
                  </w:r>
                </w:p>
              </w:tc>
              <w:tc>
                <w:tcPr>
                  <w:tcW w:w="306" w:type="pct"/>
                  <w:vAlign w:val="center"/>
                </w:tcPr>
                <w:p>
                  <w:pPr>
                    <w:pStyle w:val="136"/>
                    <w:adjustRightInd w:val="0"/>
                    <w:snapToGrid w:val="0"/>
                    <w:rPr>
                      <w:rFonts w:cs="Times New Roman"/>
                      <w:snapToGrid w:val="0"/>
                    </w:rPr>
                  </w:pPr>
                  <w:r>
                    <w:rPr>
                      <w:rFonts w:cs="Times New Roman"/>
                      <w:snapToGrid w:val="0"/>
                    </w:rPr>
                    <w:t>固态</w:t>
                  </w:r>
                </w:p>
              </w:tc>
              <w:tc>
                <w:tcPr>
                  <w:tcW w:w="317" w:type="pct"/>
                  <w:vAlign w:val="center"/>
                </w:tcPr>
                <w:p>
                  <w:pPr>
                    <w:pStyle w:val="136"/>
                    <w:adjustRightInd w:val="0"/>
                    <w:snapToGrid w:val="0"/>
                    <w:rPr>
                      <w:rFonts w:cs="Times New Roman"/>
                      <w:snapToGrid w:val="0"/>
                    </w:rPr>
                  </w:pPr>
                  <w:r>
                    <w:rPr>
                      <w:rFonts w:cs="Times New Roman"/>
                      <w:snapToGrid w:val="0"/>
                    </w:rPr>
                    <w:t>/</w:t>
                  </w:r>
                </w:p>
              </w:tc>
              <w:tc>
                <w:tcPr>
                  <w:tcW w:w="418" w:type="pct"/>
                  <w:vAlign w:val="center"/>
                </w:tcPr>
                <w:p>
                  <w:pPr>
                    <w:pStyle w:val="136"/>
                    <w:adjustRightInd w:val="0"/>
                    <w:snapToGrid w:val="0"/>
                    <w:rPr>
                      <w:rFonts w:cs="Times New Roman"/>
                      <w:snapToGrid w:val="0"/>
                    </w:rPr>
                  </w:pPr>
                  <w:r>
                    <w:rPr>
                      <w:rFonts w:hint="eastAsia" w:cs="Times New Roman"/>
                      <w:snapToGrid w:val="0"/>
                    </w:rPr>
                    <w:t>汞</w:t>
                  </w:r>
                </w:p>
              </w:tc>
              <w:tc>
                <w:tcPr>
                  <w:tcW w:w="340" w:type="pct"/>
                  <w:vAlign w:val="center"/>
                </w:tcPr>
                <w:p>
                  <w:pPr>
                    <w:pStyle w:val="136"/>
                    <w:adjustRightInd w:val="0"/>
                    <w:snapToGrid w:val="0"/>
                    <w:rPr>
                      <w:rFonts w:cs="Times New Roman"/>
                      <w:snapToGrid w:val="0"/>
                    </w:rPr>
                  </w:pPr>
                  <w:r>
                    <w:rPr>
                      <w:rFonts w:hint="eastAsia" w:cs="Times New Roman"/>
                      <w:snapToGrid w:val="0"/>
                    </w:rPr>
                    <w:t>每年</w:t>
                  </w:r>
                </w:p>
              </w:tc>
              <w:tc>
                <w:tcPr>
                  <w:tcW w:w="425" w:type="pct"/>
                  <w:vAlign w:val="center"/>
                </w:tcPr>
                <w:p>
                  <w:pPr>
                    <w:pStyle w:val="136"/>
                    <w:adjustRightInd w:val="0"/>
                    <w:snapToGrid w:val="0"/>
                    <w:rPr>
                      <w:rFonts w:cs="Times New Roman"/>
                      <w:snapToGrid w:val="0"/>
                    </w:rPr>
                  </w:pPr>
                  <w:r>
                    <w:rPr>
                      <w:rFonts w:cs="Times New Roman"/>
                      <w:snapToGrid w:val="0"/>
                    </w:rPr>
                    <w:t>T</w:t>
                  </w:r>
                </w:p>
              </w:tc>
              <w:tc>
                <w:tcPr>
                  <w:tcW w:w="682" w:type="pct"/>
                  <w:vMerge w:val="continue"/>
                  <w:vAlign w:val="center"/>
                </w:tcPr>
                <w:p>
                  <w:pPr>
                    <w:pStyle w:val="136"/>
                    <w:adjustRightInd w:val="0"/>
                    <w:snapToGrid w:val="0"/>
                    <w:jc w:val="both"/>
                    <w:rPr>
                      <w:rFonts w:cs="Times New Roman"/>
                      <w:lang w:val="de-D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611" w:type="pct"/>
                  <w:vAlign w:val="center"/>
                </w:tcPr>
                <w:p>
                  <w:pPr>
                    <w:pStyle w:val="136"/>
                    <w:adjustRightInd w:val="0"/>
                    <w:snapToGrid w:val="0"/>
                    <w:rPr>
                      <w:rFonts w:cs="Times New Roman"/>
                    </w:rPr>
                  </w:pPr>
                  <w:r>
                    <w:rPr>
                      <w:rFonts w:hint="eastAsia"/>
                    </w:rPr>
                    <w:t>废培养基</w:t>
                  </w:r>
                </w:p>
              </w:tc>
              <w:tc>
                <w:tcPr>
                  <w:tcW w:w="384" w:type="pct"/>
                  <w:vAlign w:val="center"/>
                </w:tcPr>
                <w:p>
                  <w:pPr>
                    <w:pStyle w:val="136"/>
                    <w:adjustRightInd w:val="0"/>
                    <w:snapToGrid w:val="0"/>
                    <w:rPr>
                      <w:rFonts w:cs="Times New Roman"/>
                      <w:snapToGrid w:val="0"/>
                    </w:rPr>
                  </w:pPr>
                  <w:r>
                    <w:rPr>
                      <w:rFonts w:hint="eastAsia"/>
                    </w:rPr>
                    <w:t>HW</w:t>
                  </w:r>
                  <w:r>
                    <w:t>49</w:t>
                  </w:r>
                </w:p>
              </w:tc>
              <w:tc>
                <w:tcPr>
                  <w:tcW w:w="566" w:type="pct"/>
                  <w:vAlign w:val="center"/>
                </w:tcPr>
                <w:p>
                  <w:pPr>
                    <w:pStyle w:val="136"/>
                    <w:adjustRightInd w:val="0"/>
                    <w:snapToGrid w:val="0"/>
                    <w:rPr>
                      <w:rFonts w:cs="Times New Roman"/>
                    </w:rPr>
                  </w:pPr>
                  <w:r>
                    <w:rPr>
                      <w:rFonts w:hint="eastAsia"/>
                    </w:rPr>
                    <w:t>9</w:t>
                  </w:r>
                  <w:r>
                    <w:t>00-047-49</w:t>
                  </w:r>
                </w:p>
              </w:tc>
              <w:tc>
                <w:tcPr>
                  <w:tcW w:w="407" w:type="pct"/>
                  <w:vAlign w:val="center"/>
                </w:tcPr>
                <w:p>
                  <w:pPr>
                    <w:pStyle w:val="136"/>
                    <w:adjustRightInd w:val="0"/>
                    <w:snapToGrid w:val="0"/>
                    <w:rPr>
                      <w:rFonts w:cs="Times New Roman"/>
                      <w:lang w:val="de-DE"/>
                    </w:rPr>
                  </w:pPr>
                  <w:r>
                    <w:t>0.01</w:t>
                  </w:r>
                </w:p>
              </w:tc>
              <w:tc>
                <w:tcPr>
                  <w:tcW w:w="544" w:type="pct"/>
                  <w:vAlign w:val="center"/>
                </w:tcPr>
                <w:p>
                  <w:pPr>
                    <w:pStyle w:val="136"/>
                    <w:adjustRightInd w:val="0"/>
                    <w:snapToGrid w:val="0"/>
                    <w:rPr>
                      <w:rFonts w:cs="Times New Roman"/>
                      <w:snapToGrid w:val="0"/>
                    </w:rPr>
                  </w:pPr>
                  <w:r>
                    <w:rPr>
                      <w:rFonts w:hint="eastAsia" w:cs="Times New Roman"/>
                      <w:snapToGrid w:val="0"/>
                    </w:rPr>
                    <w:t>实验分析</w:t>
                  </w:r>
                </w:p>
              </w:tc>
              <w:tc>
                <w:tcPr>
                  <w:tcW w:w="306" w:type="pct"/>
                  <w:vAlign w:val="center"/>
                </w:tcPr>
                <w:p>
                  <w:pPr>
                    <w:pStyle w:val="136"/>
                    <w:adjustRightInd w:val="0"/>
                    <w:snapToGrid w:val="0"/>
                    <w:rPr>
                      <w:rFonts w:cs="Times New Roman"/>
                      <w:snapToGrid w:val="0"/>
                    </w:rPr>
                  </w:pPr>
                  <w:r>
                    <w:rPr>
                      <w:rFonts w:cs="Times New Roman"/>
                      <w:snapToGrid w:val="0"/>
                    </w:rPr>
                    <w:t>固态</w:t>
                  </w:r>
                </w:p>
              </w:tc>
              <w:tc>
                <w:tcPr>
                  <w:tcW w:w="317" w:type="pct"/>
                  <w:vAlign w:val="center"/>
                </w:tcPr>
                <w:p>
                  <w:pPr>
                    <w:pStyle w:val="136"/>
                    <w:adjustRightInd w:val="0"/>
                    <w:snapToGrid w:val="0"/>
                    <w:rPr>
                      <w:rFonts w:cs="Times New Roman"/>
                      <w:snapToGrid w:val="0"/>
                    </w:rPr>
                  </w:pPr>
                  <w:r>
                    <w:rPr>
                      <w:rFonts w:hint="eastAsia" w:cs="Times New Roman"/>
                      <w:snapToGrid w:val="0"/>
                    </w:rPr>
                    <w:t>/</w:t>
                  </w:r>
                </w:p>
              </w:tc>
              <w:tc>
                <w:tcPr>
                  <w:tcW w:w="418" w:type="pct"/>
                  <w:vAlign w:val="center"/>
                </w:tcPr>
                <w:p>
                  <w:pPr>
                    <w:pStyle w:val="136"/>
                    <w:adjustRightInd w:val="0"/>
                    <w:snapToGrid w:val="0"/>
                    <w:rPr>
                      <w:rFonts w:cs="Times New Roman"/>
                      <w:snapToGrid w:val="0"/>
                    </w:rPr>
                  </w:pPr>
                  <w:r>
                    <w:rPr>
                      <w:rFonts w:hint="eastAsia" w:cs="Times New Roman"/>
                      <w:snapToGrid w:val="0"/>
                    </w:rPr>
                    <w:t>粪大肠菌群</w:t>
                  </w:r>
                </w:p>
              </w:tc>
              <w:tc>
                <w:tcPr>
                  <w:tcW w:w="340" w:type="pct"/>
                  <w:vAlign w:val="center"/>
                </w:tcPr>
                <w:p>
                  <w:pPr>
                    <w:pStyle w:val="136"/>
                    <w:adjustRightInd w:val="0"/>
                    <w:snapToGrid w:val="0"/>
                    <w:rPr>
                      <w:rFonts w:cs="Times New Roman"/>
                      <w:snapToGrid w:val="0"/>
                    </w:rPr>
                  </w:pPr>
                  <w:r>
                    <w:rPr>
                      <w:rFonts w:hint="eastAsia" w:cs="Times New Roman"/>
                      <w:snapToGrid w:val="0"/>
                    </w:rPr>
                    <w:t>每批次</w:t>
                  </w:r>
                </w:p>
              </w:tc>
              <w:tc>
                <w:tcPr>
                  <w:tcW w:w="425" w:type="pct"/>
                  <w:vAlign w:val="center"/>
                </w:tcPr>
                <w:p>
                  <w:pPr>
                    <w:pStyle w:val="136"/>
                    <w:adjustRightInd w:val="0"/>
                    <w:snapToGrid w:val="0"/>
                    <w:rPr>
                      <w:rFonts w:cs="Times New Roman"/>
                      <w:snapToGrid w:val="0"/>
                    </w:rPr>
                  </w:pPr>
                  <w:r>
                    <w:rPr>
                      <w:rFonts w:cs="Times New Roman"/>
                      <w:snapToGrid w:val="0"/>
                    </w:rPr>
                    <w:t>T/C/I/R</w:t>
                  </w:r>
                </w:p>
              </w:tc>
              <w:tc>
                <w:tcPr>
                  <w:tcW w:w="682" w:type="pct"/>
                  <w:vMerge w:val="continue"/>
                  <w:vAlign w:val="center"/>
                </w:tcPr>
                <w:p>
                  <w:pPr>
                    <w:pStyle w:val="136"/>
                    <w:adjustRightInd w:val="0"/>
                    <w:snapToGrid w:val="0"/>
                    <w:jc w:val="both"/>
                    <w:rPr>
                      <w:rFonts w:cs="Times New Roman"/>
                      <w:lang w:val="de-DE"/>
                    </w:rPr>
                  </w:pPr>
                </w:p>
              </w:tc>
            </w:tr>
          </w:tbl>
          <w:p>
            <w:pPr>
              <w:ind w:firstLine="480"/>
            </w:pPr>
            <w:r>
              <w:rPr>
                <w:rFonts w:hint="eastAsia"/>
              </w:rPr>
              <w:t>固体废物管理要求：</w:t>
            </w:r>
          </w:p>
          <w:p>
            <w:pPr>
              <w:ind w:firstLine="480"/>
            </w:pPr>
            <w:r>
              <w:t>项目运营期间产生的</w:t>
            </w:r>
            <w:r>
              <w:rPr>
                <w:rFonts w:hint="eastAsia"/>
              </w:rPr>
              <w:t>危险废物</w:t>
            </w:r>
            <w:r>
              <w:t>按《中华人民共和国固体废物污染环境防治法》（2020年）、</w:t>
            </w:r>
            <w:r>
              <w:rPr>
                <w:rFonts w:hint="eastAsia"/>
              </w:rPr>
              <w:t>《危险废物贮存污染控制标准》（GB18597-2023）</w:t>
            </w:r>
            <w:r>
              <w:t>及《建设项目危险废物环境影响评价指南》（2017.10.1）的要求进行管理、处置，具体措施及环境影响分析如下：</w:t>
            </w:r>
          </w:p>
          <w:p>
            <w:pPr>
              <w:ind w:firstLine="480"/>
            </w:pPr>
            <w:r>
              <w:rPr>
                <w:rFonts w:hint="eastAsia"/>
              </w:rPr>
              <w:t>1、危险废物</w:t>
            </w:r>
            <w:r>
              <w:t>暂存间设置规范</w:t>
            </w:r>
          </w:p>
          <w:p>
            <w:pPr>
              <w:ind w:firstLine="480"/>
            </w:pPr>
            <w:r>
              <w:t>项目设有专门</w:t>
            </w:r>
            <w:r>
              <w:rPr>
                <w:rFonts w:hint="eastAsia"/>
              </w:rPr>
              <w:t>危险废物暂存间</w:t>
            </w:r>
            <w:r>
              <w:t>，面积</w:t>
            </w:r>
            <w:r>
              <w:rPr>
                <w:rFonts w:hint="eastAsia"/>
              </w:rPr>
              <w:t>为</w:t>
            </w:r>
            <w:r>
              <w:t>3.96</w:t>
            </w:r>
            <w:r>
              <w:rPr>
                <w:rFonts w:hint="eastAsia"/>
              </w:rPr>
              <w:t>m</w:t>
            </w:r>
            <w:r>
              <w:rPr>
                <w:vertAlign w:val="superscript"/>
              </w:rPr>
              <w:t>2</w:t>
            </w:r>
            <w:r>
              <w:rPr>
                <w:rFonts w:hint="eastAsia"/>
              </w:rPr>
              <w:t>，均位于</w:t>
            </w:r>
            <w:r>
              <w:t>5</w:t>
            </w:r>
            <w:r>
              <w:rPr>
                <w:rFonts w:hint="eastAsia"/>
              </w:rPr>
              <w:t>F</w:t>
            </w:r>
            <w:r>
              <w:t>，具备防风、防雨、防晒等功能，</w:t>
            </w:r>
            <w:r>
              <w:rPr>
                <w:rFonts w:hint="eastAsia"/>
              </w:rPr>
              <w:t>危险废物</w:t>
            </w:r>
            <w:r>
              <w:t>暂存间地面敷设</w:t>
            </w:r>
            <w:r>
              <w:rPr>
                <w:rFonts w:hint="eastAsia"/>
              </w:rPr>
              <w:t>1</w:t>
            </w:r>
            <w:r>
              <w:t>0</w:t>
            </w:r>
            <w:r>
              <w:rPr>
                <w:rFonts w:hint="eastAsia"/>
              </w:rPr>
              <w:t>cm防渗混凝土+</w:t>
            </w:r>
            <w:r>
              <w:t>2mm厚的</w:t>
            </w:r>
            <w:r>
              <w:rPr>
                <w:rFonts w:hint="eastAsia"/>
              </w:rPr>
              <w:t>环氧树脂地坪</w:t>
            </w:r>
            <w:r>
              <w:t>，渗透系数≤10</w:t>
            </w:r>
            <w:r>
              <w:rPr>
                <w:vertAlign w:val="superscript"/>
              </w:rPr>
              <w:t>-10</w:t>
            </w:r>
            <w:r>
              <w:t>cm//s，铺砌地坪的胀缝和缩缝采用防渗柔性材料填塞。</w:t>
            </w:r>
            <w:r>
              <w:rPr>
                <w:rFonts w:hint="eastAsia"/>
              </w:rPr>
              <w:t>危险</w:t>
            </w:r>
            <w:r>
              <w:t>废物暂存间按照</w:t>
            </w:r>
            <w:r>
              <w:rPr>
                <w:rFonts w:hint="eastAsia"/>
              </w:rPr>
              <w:t>《危险废物识别标志设置技术规范》（HJ</w:t>
            </w:r>
            <w:r>
              <w:t xml:space="preserve"> 1276-2022</w:t>
            </w:r>
            <w:r>
              <w:rPr>
                <w:rFonts w:hint="eastAsia"/>
              </w:rPr>
              <w:t>）中</w:t>
            </w:r>
            <w:r>
              <w:t>的规定设置警示标志。</w:t>
            </w:r>
          </w:p>
          <w:p>
            <w:pPr>
              <w:ind w:firstLine="480"/>
            </w:pPr>
            <w:r>
              <w:rPr>
                <w:rFonts w:hint="eastAsia"/>
              </w:rPr>
              <w:t>2、危险废物管理要求</w:t>
            </w:r>
          </w:p>
          <w:p>
            <w:pPr>
              <w:ind w:firstLine="480"/>
              <w:rPr>
                <w:bCs/>
              </w:rPr>
            </w:pPr>
            <w:r>
              <w:rPr>
                <w:rFonts w:hint="eastAsia"/>
                <w:bCs/>
              </w:rPr>
              <w:t>危险废物管理要求：</w:t>
            </w:r>
          </w:p>
          <w:p>
            <w:pPr>
              <w:ind w:firstLine="480"/>
            </w:pPr>
            <w:r>
              <w:t>（1）危险废物收集、贮存及管理</w:t>
            </w:r>
          </w:p>
          <w:p>
            <w:pPr>
              <w:ind w:firstLine="480"/>
            </w:pPr>
            <w:r>
              <w:t>危险废物收集、贮存、运输时按危险特性进行分类、包装并设置相应的标志及标签。收集根据危废产生的工艺特征、排放周期、危险特性等因素制定收集计划及详细的操作规程，危废收集和转运中作业人员配备必要的个人防护装备及相应的安全防护和污染防治措施。用专用危险废物垃圾箱（桶）作为危险废物专用暂时贮存柜（箱），也可用金属或</w:t>
            </w:r>
            <w:r>
              <w:rPr>
                <w:rFonts w:hint="eastAsia"/>
              </w:rPr>
              <w:t>硬质</w:t>
            </w:r>
            <w:r>
              <w:t>塑料制作，具有一定的强度，防渗漏。</w:t>
            </w:r>
          </w:p>
          <w:p>
            <w:pPr>
              <w:ind w:firstLine="480"/>
            </w:pPr>
            <w:r>
              <w:t>（2）危险废物转移</w:t>
            </w:r>
          </w:p>
          <w:p>
            <w:pPr>
              <w:ind w:firstLine="480"/>
            </w:pPr>
            <w:r>
              <w:t>本项目危废主要产生于实验过程，危险废物产生后放入专门盛装危险废物的容器或防漏袋中，送至危废暂存间内。转运过程中由于人为操作失误造成的容器倒翻、胶袋破损等情况时，危险废物洒落，会对周围环境产生一定的影响，因此企业应加强培训和管理。</w:t>
            </w:r>
          </w:p>
          <w:p>
            <w:pPr>
              <w:ind w:firstLine="480"/>
            </w:pPr>
            <w:r>
              <w:t>严格制定内部危险废物运送时间、路线，避免经过人流密集处，严禁运送途中有废物遗落，安全将危险废物收集、运送至危险废物暂存间。严格按照《危险废物收集贮存运输技术规范》（HJ2025-2012）及《危险废物转移联单管理办法》的规定执行联单转移制度。危险废物在收集、转移及贮存过程中均采取密闭形式，不会对环境空气造成不良影响，危险废物暂存间位于室内且进行严格的防渗处理，具有较好的防风、防雨、防晒、防渗漏作用，不会对地表水、地下水及土壤造成污染。经采取严格的收集、贮存、转移及处置措施后，预计不会对周围环境产生不良影响。</w:t>
            </w:r>
          </w:p>
          <w:p>
            <w:pPr>
              <w:ind w:firstLine="480"/>
            </w:pPr>
            <w:r>
              <w:t>（3）危险废物运输污染防治措施</w:t>
            </w:r>
          </w:p>
          <w:p>
            <w:pPr>
              <w:ind w:firstLine="480"/>
            </w:pPr>
            <w:r>
              <w:t>本项目产生的危险废物统一收集后交由有资质的单位进行清运、处理，不直接向外环境排放。</w:t>
            </w:r>
          </w:p>
          <w:p>
            <w:pPr>
              <w:ind w:firstLine="480"/>
            </w:pPr>
            <w:r>
              <w:rPr>
                <w:rFonts w:hint="eastAsia"/>
              </w:rPr>
              <w:t>①</w:t>
            </w:r>
            <w:r>
              <w:t>运输单位资质要求。本项目危险废物运输由持有危险废物运输许可证的单位按照许可范围组织实施，承担危险废物运输的单位获得交通运输部门颁发的危险货物运输资质，采用公路运输方式。</w:t>
            </w:r>
          </w:p>
          <w:p>
            <w:pPr>
              <w:ind w:firstLine="480"/>
            </w:pPr>
            <w:r>
              <w:rPr>
                <w:rFonts w:hint="eastAsia"/>
              </w:rPr>
              <w:t>②</w:t>
            </w:r>
            <w:r>
              <w:t>危险废物包装要求。运输车辆有明显标识专车专用，禁止混装其他物品，单独收集，密闭运输，自动装卸，驾驶人员需进行专业培训；随车配备必要的消防器材和应急用具，悬挂危险品运输标志；确保废弃物包装完好，若有破损或密封不严，及时更换，更换包装作危废处置；禁止混合运输性质不</w:t>
            </w:r>
            <w:r>
              <w:rPr>
                <w:rFonts w:hint="eastAsia"/>
              </w:rPr>
              <w:t>相</w:t>
            </w:r>
            <w:r>
              <w:t>容或未经安全性处置的危废，运输车辆禁止人货混载。</w:t>
            </w:r>
          </w:p>
          <w:p>
            <w:pPr>
              <w:ind w:firstLine="480"/>
            </w:pPr>
            <w:r>
              <w:rPr>
                <w:rFonts w:hint="eastAsia"/>
              </w:rPr>
              <w:t>③</w:t>
            </w:r>
            <w:r>
              <w:t>电子化手段实现全程监控。危险废物运输车辆均安装GPS，运输路径全程记录，危险废物出厂前开具电子联单，运输至处置单位后，经处置单位确认接收，全程可查，避免中途出现抛洒及非法处置的可能。</w:t>
            </w:r>
          </w:p>
          <w:p>
            <w:pPr>
              <w:ind w:firstLine="480"/>
            </w:pPr>
            <w:r>
              <w:rPr>
                <w:rFonts w:hint="eastAsia"/>
              </w:rPr>
              <w:t>（</w:t>
            </w:r>
            <w:r>
              <w:t>4</w:t>
            </w:r>
            <w:r>
              <w:rPr>
                <w:rFonts w:hint="eastAsia"/>
              </w:rPr>
              <w:t>）对环境及敏感目标的影响</w:t>
            </w:r>
          </w:p>
          <w:p>
            <w:pPr>
              <w:ind w:firstLine="480"/>
            </w:pPr>
            <w:r>
              <w:rPr>
                <w:rFonts w:hint="eastAsia"/>
              </w:rPr>
              <w:t>项目危险废物用袋式或桶装密闭存储，贮存过程不会对环境空气和地表水产生影响；危险废物暂存场所防腐防渗处理，泄漏物料不会对地下水和土壤造成污染。</w:t>
            </w:r>
          </w:p>
          <w:p>
            <w:pPr>
              <w:ind w:firstLine="480"/>
            </w:pPr>
            <w:r>
              <w:rPr>
                <w:rFonts w:hint="eastAsia"/>
              </w:rPr>
              <w:t>综上，本项目产生的各种固体废物均得到妥善处理</w:t>
            </w:r>
            <w:r>
              <w:t>/</w:t>
            </w:r>
            <w:r>
              <w:rPr>
                <w:rFonts w:hint="eastAsia"/>
              </w:rPr>
              <w:t>处置，不会造成二次污染。</w:t>
            </w:r>
          </w:p>
          <w:p>
            <w:pPr>
              <w:pStyle w:val="158"/>
            </w:pPr>
            <w:r>
              <w:t>（五）地下水、土壤</w:t>
            </w:r>
          </w:p>
          <w:p>
            <w:pPr>
              <w:ind w:firstLine="480"/>
            </w:pPr>
            <w:r>
              <w:t>（1）污染途径及污染防控措施</w:t>
            </w:r>
          </w:p>
          <w:p>
            <w:pPr>
              <w:ind w:firstLine="480"/>
            </w:pPr>
            <w:r>
              <w:rPr>
                <w:rFonts w:hint="eastAsia"/>
              </w:rPr>
              <w:t>本项目实验室位于4F、5F，正常情况下无地下水和土壤污染途径；仅位于1F的实验室废水处理装置可能会因为废水泄漏对地下水和土壤造成污染。</w:t>
            </w:r>
          </w:p>
          <w:p>
            <w:pPr>
              <w:ind w:firstLine="480"/>
            </w:pPr>
            <w:r>
              <w:t>为了防止生产过程中液体物质渗漏对地下水、土壤产生污染，本项目地面防渗根据区域和功能不同，分为重点防渗、一般防渗、简单防渗区，具体划分情况如下：</w:t>
            </w:r>
          </w:p>
          <w:p>
            <w:pPr>
              <w:pStyle w:val="157"/>
              <w:ind w:firstLine="420"/>
            </w:pPr>
            <w:r>
              <w:t>表4.5-1  项目防渗分区表</w:t>
            </w:r>
          </w:p>
          <w:tbl>
            <w:tblPr>
              <w:tblStyle w:val="3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40"/>
              <w:gridCol w:w="834"/>
              <w:gridCol w:w="1418"/>
              <w:gridCol w:w="4226"/>
              <w:gridCol w:w="12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Pr>
              <w:tc>
                <w:tcPr>
                  <w:tcW w:w="270" w:type="pct"/>
                  <w:vAlign w:val="center"/>
                </w:tcPr>
                <w:p>
                  <w:pPr>
                    <w:adjustRightInd w:val="0"/>
                    <w:snapToGrid w:val="0"/>
                    <w:spacing w:line="360" w:lineRule="exact"/>
                    <w:ind w:firstLine="0" w:firstLineChars="0"/>
                    <w:jc w:val="center"/>
                    <w:rPr>
                      <w:b/>
                      <w:bCs/>
                      <w:sz w:val="18"/>
                      <w:szCs w:val="18"/>
                    </w:rPr>
                  </w:pPr>
                  <w:r>
                    <w:rPr>
                      <w:b/>
                      <w:bCs/>
                      <w:sz w:val="18"/>
                      <w:szCs w:val="18"/>
                    </w:rPr>
                    <w:t>序号</w:t>
                  </w:r>
                </w:p>
              </w:tc>
              <w:tc>
                <w:tcPr>
                  <w:tcW w:w="511" w:type="pct"/>
                  <w:vAlign w:val="center"/>
                </w:tcPr>
                <w:p>
                  <w:pPr>
                    <w:adjustRightInd w:val="0"/>
                    <w:snapToGrid w:val="0"/>
                    <w:spacing w:line="360" w:lineRule="exact"/>
                    <w:ind w:firstLine="0" w:firstLineChars="0"/>
                    <w:jc w:val="center"/>
                    <w:rPr>
                      <w:b/>
                      <w:bCs/>
                      <w:sz w:val="18"/>
                      <w:szCs w:val="18"/>
                    </w:rPr>
                  </w:pPr>
                  <w:r>
                    <w:rPr>
                      <w:b/>
                      <w:bCs/>
                      <w:sz w:val="18"/>
                      <w:szCs w:val="18"/>
                    </w:rPr>
                    <w:t>区域</w:t>
                  </w:r>
                </w:p>
              </w:tc>
              <w:tc>
                <w:tcPr>
                  <w:tcW w:w="869" w:type="pct"/>
                  <w:vAlign w:val="center"/>
                </w:tcPr>
                <w:p>
                  <w:pPr>
                    <w:adjustRightInd w:val="0"/>
                    <w:snapToGrid w:val="0"/>
                    <w:spacing w:line="360" w:lineRule="exact"/>
                    <w:ind w:firstLine="0" w:firstLineChars="0"/>
                    <w:jc w:val="center"/>
                    <w:rPr>
                      <w:b/>
                      <w:bCs/>
                      <w:sz w:val="18"/>
                      <w:szCs w:val="18"/>
                    </w:rPr>
                  </w:pPr>
                  <w:r>
                    <w:rPr>
                      <w:b/>
                      <w:bCs/>
                      <w:sz w:val="18"/>
                      <w:szCs w:val="18"/>
                    </w:rPr>
                    <w:t>分区类别</w:t>
                  </w:r>
                </w:p>
              </w:tc>
              <w:tc>
                <w:tcPr>
                  <w:tcW w:w="2590" w:type="pct"/>
                  <w:vAlign w:val="center"/>
                </w:tcPr>
                <w:p>
                  <w:pPr>
                    <w:adjustRightInd w:val="0"/>
                    <w:snapToGrid w:val="0"/>
                    <w:spacing w:line="360" w:lineRule="exact"/>
                    <w:ind w:firstLine="0" w:firstLineChars="0"/>
                    <w:jc w:val="center"/>
                    <w:rPr>
                      <w:b/>
                      <w:bCs/>
                      <w:sz w:val="18"/>
                      <w:szCs w:val="18"/>
                    </w:rPr>
                  </w:pPr>
                  <w:r>
                    <w:rPr>
                      <w:b/>
                      <w:bCs/>
                      <w:sz w:val="18"/>
                      <w:szCs w:val="18"/>
                    </w:rPr>
                    <w:t>防渗措施</w:t>
                  </w:r>
                </w:p>
              </w:tc>
              <w:tc>
                <w:tcPr>
                  <w:tcW w:w="759" w:type="pct"/>
                </w:tcPr>
                <w:p>
                  <w:pPr>
                    <w:adjustRightInd w:val="0"/>
                    <w:snapToGrid w:val="0"/>
                    <w:spacing w:line="360" w:lineRule="exact"/>
                    <w:ind w:firstLine="0" w:firstLineChars="0"/>
                    <w:jc w:val="center"/>
                    <w:rPr>
                      <w:b/>
                      <w:bCs/>
                      <w:sz w:val="18"/>
                      <w:szCs w:val="18"/>
                    </w:rPr>
                  </w:pPr>
                  <w:r>
                    <w:rPr>
                      <w:rFonts w:hint="eastAsia"/>
                      <w:b/>
                      <w:bCs/>
                      <w:sz w:val="18"/>
                      <w:szCs w:val="18"/>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Pr>
              <w:tc>
                <w:tcPr>
                  <w:tcW w:w="270" w:type="pct"/>
                  <w:vAlign w:val="center"/>
                </w:tcPr>
                <w:p>
                  <w:pPr>
                    <w:adjustRightInd w:val="0"/>
                    <w:snapToGrid w:val="0"/>
                    <w:spacing w:line="360" w:lineRule="exact"/>
                    <w:ind w:firstLine="0" w:firstLineChars="0"/>
                    <w:jc w:val="center"/>
                    <w:rPr>
                      <w:sz w:val="18"/>
                      <w:szCs w:val="18"/>
                    </w:rPr>
                  </w:pPr>
                  <w:r>
                    <w:rPr>
                      <w:sz w:val="18"/>
                      <w:szCs w:val="18"/>
                    </w:rPr>
                    <w:t>1</w:t>
                  </w:r>
                </w:p>
              </w:tc>
              <w:tc>
                <w:tcPr>
                  <w:tcW w:w="511" w:type="pct"/>
                  <w:vAlign w:val="center"/>
                </w:tcPr>
                <w:p>
                  <w:pPr>
                    <w:adjustRightInd w:val="0"/>
                    <w:snapToGrid w:val="0"/>
                    <w:spacing w:line="360" w:lineRule="exact"/>
                    <w:ind w:firstLine="0" w:firstLineChars="0"/>
                    <w:jc w:val="center"/>
                    <w:rPr>
                      <w:kern w:val="0"/>
                      <w:sz w:val="18"/>
                      <w:szCs w:val="18"/>
                    </w:rPr>
                  </w:pPr>
                  <w:r>
                    <w:rPr>
                      <w:rFonts w:hint="eastAsia"/>
                      <w:kern w:val="0"/>
                      <w:sz w:val="18"/>
                      <w:szCs w:val="18"/>
                    </w:rPr>
                    <w:t>危险废物暂存间</w:t>
                  </w:r>
                </w:p>
              </w:tc>
              <w:tc>
                <w:tcPr>
                  <w:tcW w:w="869" w:type="pct"/>
                  <w:vAlign w:val="center"/>
                </w:tcPr>
                <w:p>
                  <w:pPr>
                    <w:adjustRightInd w:val="0"/>
                    <w:snapToGrid w:val="0"/>
                    <w:spacing w:line="360" w:lineRule="exact"/>
                    <w:ind w:firstLine="0" w:firstLineChars="0"/>
                    <w:jc w:val="center"/>
                    <w:rPr>
                      <w:sz w:val="18"/>
                      <w:szCs w:val="18"/>
                    </w:rPr>
                  </w:pPr>
                  <w:r>
                    <w:rPr>
                      <w:sz w:val="18"/>
                      <w:szCs w:val="18"/>
                    </w:rPr>
                    <w:t>重点防渗区</w:t>
                  </w:r>
                </w:p>
              </w:tc>
              <w:tc>
                <w:tcPr>
                  <w:tcW w:w="2590" w:type="pct"/>
                  <w:vAlign w:val="center"/>
                </w:tcPr>
                <w:p>
                  <w:pPr>
                    <w:adjustRightInd w:val="0"/>
                    <w:snapToGrid w:val="0"/>
                    <w:spacing w:line="360" w:lineRule="exact"/>
                    <w:ind w:firstLine="0" w:firstLineChars="0"/>
                    <w:rPr>
                      <w:sz w:val="18"/>
                      <w:szCs w:val="18"/>
                    </w:rPr>
                  </w:pPr>
                  <w:r>
                    <w:rPr>
                      <w:rFonts w:hint="eastAsia"/>
                      <w:sz w:val="18"/>
                      <w:szCs w:val="18"/>
                    </w:rPr>
                    <w:t>地面采用</w:t>
                  </w:r>
                  <w:r>
                    <w:rPr>
                      <w:sz w:val="18"/>
                      <w:szCs w:val="18"/>
                    </w:rPr>
                    <w:t>1</w:t>
                  </w:r>
                  <w:r>
                    <w:rPr>
                      <w:rFonts w:hint="eastAsia"/>
                      <w:sz w:val="18"/>
                      <w:szCs w:val="18"/>
                    </w:rPr>
                    <w:t>0cm厚的防渗混凝土（依托），上层为环氧树脂地坪（新建），防渗层渗透系数K≤1</w:t>
                  </w:r>
                  <w:r>
                    <w:rPr>
                      <w:sz w:val="18"/>
                      <w:szCs w:val="18"/>
                    </w:rPr>
                    <w:t>×</w:t>
                  </w:r>
                  <w:r>
                    <w:rPr>
                      <w:rFonts w:hint="eastAsia"/>
                      <w:sz w:val="18"/>
                      <w:szCs w:val="18"/>
                    </w:rPr>
                    <w:t>10</w:t>
                  </w:r>
                  <w:r>
                    <w:rPr>
                      <w:rFonts w:hint="eastAsia"/>
                      <w:sz w:val="18"/>
                      <w:szCs w:val="18"/>
                      <w:vertAlign w:val="superscript"/>
                    </w:rPr>
                    <w:t>-10</w:t>
                  </w:r>
                  <w:r>
                    <w:rPr>
                      <w:rFonts w:hint="eastAsia"/>
                      <w:sz w:val="18"/>
                      <w:szCs w:val="18"/>
                    </w:rPr>
                    <w:t>cm/s，危废收集桶下方设置托盘</w:t>
                  </w:r>
                </w:p>
              </w:tc>
              <w:tc>
                <w:tcPr>
                  <w:tcW w:w="759" w:type="pct"/>
                  <w:vAlign w:val="center"/>
                </w:tcPr>
                <w:p>
                  <w:pPr>
                    <w:adjustRightInd w:val="0"/>
                    <w:snapToGrid w:val="0"/>
                    <w:spacing w:line="360" w:lineRule="exact"/>
                    <w:ind w:firstLine="0" w:firstLineChars="0"/>
                    <w:jc w:val="center"/>
                    <w:rPr>
                      <w:sz w:val="18"/>
                      <w:szCs w:val="18"/>
                    </w:rPr>
                  </w:pPr>
                  <w:r>
                    <w:rPr>
                      <w:rFonts w:hint="eastAsia"/>
                      <w:sz w:val="18"/>
                      <w:szCs w:val="18"/>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Pr>
              <w:tc>
                <w:tcPr>
                  <w:tcW w:w="270" w:type="pct"/>
                  <w:vAlign w:val="center"/>
                </w:tcPr>
                <w:p>
                  <w:pPr>
                    <w:adjustRightInd w:val="0"/>
                    <w:snapToGrid w:val="0"/>
                    <w:spacing w:line="360" w:lineRule="exact"/>
                    <w:ind w:firstLine="0" w:firstLineChars="0"/>
                    <w:jc w:val="center"/>
                    <w:rPr>
                      <w:sz w:val="18"/>
                      <w:szCs w:val="18"/>
                    </w:rPr>
                  </w:pPr>
                  <w:r>
                    <w:rPr>
                      <w:rFonts w:hint="eastAsia"/>
                      <w:sz w:val="18"/>
                      <w:szCs w:val="18"/>
                    </w:rPr>
                    <w:t>2</w:t>
                  </w:r>
                </w:p>
              </w:tc>
              <w:tc>
                <w:tcPr>
                  <w:tcW w:w="511" w:type="pct"/>
                  <w:vAlign w:val="center"/>
                </w:tcPr>
                <w:p>
                  <w:pPr>
                    <w:adjustRightInd w:val="0"/>
                    <w:snapToGrid w:val="0"/>
                    <w:spacing w:line="360" w:lineRule="exact"/>
                    <w:ind w:firstLine="0" w:firstLineChars="0"/>
                    <w:jc w:val="center"/>
                    <w:rPr>
                      <w:kern w:val="0"/>
                      <w:sz w:val="18"/>
                      <w:szCs w:val="18"/>
                    </w:rPr>
                  </w:pPr>
                  <w:r>
                    <w:rPr>
                      <w:rFonts w:hint="eastAsia"/>
                      <w:kern w:val="0"/>
                      <w:sz w:val="18"/>
                      <w:szCs w:val="18"/>
                    </w:rPr>
                    <w:t>废水处理区</w:t>
                  </w:r>
                </w:p>
              </w:tc>
              <w:tc>
                <w:tcPr>
                  <w:tcW w:w="869" w:type="pct"/>
                  <w:vAlign w:val="center"/>
                </w:tcPr>
                <w:p>
                  <w:pPr>
                    <w:adjustRightInd w:val="0"/>
                    <w:snapToGrid w:val="0"/>
                    <w:spacing w:line="360" w:lineRule="exact"/>
                    <w:ind w:firstLine="0" w:firstLineChars="0"/>
                    <w:jc w:val="center"/>
                    <w:rPr>
                      <w:sz w:val="18"/>
                      <w:szCs w:val="18"/>
                    </w:rPr>
                  </w:pPr>
                  <w:r>
                    <w:rPr>
                      <w:sz w:val="18"/>
                      <w:szCs w:val="18"/>
                    </w:rPr>
                    <w:t>重点防渗区</w:t>
                  </w:r>
                </w:p>
              </w:tc>
              <w:tc>
                <w:tcPr>
                  <w:tcW w:w="2590" w:type="pct"/>
                  <w:vAlign w:val="center"/>
                </w:tcPr>
                <w:p>
                  <w:pPr>
                    <w:adjustRightInd w:val="0"/>
                    <w:snapToGrid w:val="0"/>
                    <w:spacing w:line="360" w:lineRule="exact"/>
                    <w:ind w:firstLine="0" w:firstLineChars="0"/>
                    <w:rPr>
                      <w:sz w:val="18"/>
                      <w:szCs w:val="18"/>
                    </w:rPr>
                  </w:pPr>
                  <w:r>
                    <w:rPr>
                      <w:rFonts w:hint="eastAsia"/>
                      <w:sz w:val="18"/>
                      <w:szCs w:val="18"/>
                    </w:rPr>
                    <w:t>地面采用</w:t>
                  </w:r>
                  <w:r>
                    <w:rPr>
                      <w:sz w:val="18"/>
                      <w:szCs w:val="18"/>
                    </w:rPr>
                    <w:t>1</w:t>
                  </w:r>
                  <w:r>
                    <w:rPr>
                      <w:rFonts w:hint="eastAsia"/>
                      <w:sz w:val="18"/>
                      <w:szCs w:val="18"/>
                    </w:rPr>
                    <w:t>0cm厚的防渗混凝土（依托），上层为环氧树脂地坪（新建），防渗层渗透系数K≤1</w:t>
                  </w:r>
                  <w:r>
                    <w:rPr>
                      <w:sz w:val="18"/>
                      <w:szCs w:val="18"/>
                    </w:rPr>
                    <w:t>×</w:t>
                  </w:r>
                  <w:r>
                    <w:rPr>
                      <w:rFonts w:hint="eastAsia"/>
                      <w:sz w:val="18"/>
                      <w:szCs w:val="18"/>
                    </w:rPr>
                    <w:t>10</w:t>
                  </w:r>
                  <w:r>
                    <w:rPr>
                      <w:rFonts w:hint="eastAsia"/>
                      <w:sz w:val="18"/>
                      <w:szCs w:val="18"/>
                      <w:vertAlign w:val="superscript"/>
                    </w:rPr>
                    <w:t>-</w:t>
                  </w:r>
                  <w:r>
                    <w:rPr>
                      <w:sz w:val="18"/>
                      <w:szCs w:val="18"/>
                      <w:vertAlign w:val="superscript"/>
                    </w:rPr>
                    <w:t>7</w:t>
                  </w:r>
                  <w:r>
                    <w:rPr>
                      <w:rFonts w:hint="eastAsia"/>
                      <w:sz w:val="18"/>
                      <w:szCs w:val="18"/>
                    </w:rPr>
                    <w:t>cm/s</w:t>
                  </w:r>
                </w:p>
              </w:tc>
              <w:tc>
                <w:tcPr>
                  <w:tcW w:w="759" w:type="pct"/>
                  <w:vAlign w:val="center"/>
                </w:tcPr>
                <w:p>
                  <w:pPr>
                    <w:adjustRightInd w:val="0"/>
                    <w:snapToGrid w:val="0"/>
                    <w:spacing w:line="360" w:lineRule="exact"/>
                    <w:ind w:firstLine="0" w:firstLineChars="0"/>
                    <w:jc w:val="center"/>
                    <w:rPr>
                      <w:sz w:val="18"/>
                      <w:szCs w:val="18"/>
                    </w:rPr>
                  </w:pPr>
                  <w:r>
                    <w:rPr>
                      <w:rFonts w:hint="eastAsia"/>
                      <w:sz w:val="18"/>
                      <w:szCs w:val="18"/>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Pr>
              <w:tc>
                <w:tcPr>
                  <w:tcW w:w="270" w:type="pct"/>
                  <w:vAlign w:val="center"/>
                </w:tcPr>
                <w:p>
                  <w:pPr>
                    <w:adjustRightInd w:val="0"/>
                    <w:snapToGrid w:val="0"/>
                    <w:spacing w:line="360" w:lineRule="exact"/>
                    <w:ind w:firstLine="0" w:firstLineChars="0"/>
                    <w:jc w:val="center"/>
                    <w:rPr>
                      <w:sz w:val="18"/>
                      <w:szCs w:val="18"/>
                    </w:rPr>
                  </w:pPr>
                  <w:r>
                    <w:rPr>
                      <w:rFonts w:hint="eastAsia"/>
                      <w:sz w:val="18"/>
                      <w:szCs w:val="18"/>
                    </w:rPr>
                    <w:t>3</w:t>
                  </w:r>
                </w:p>
              </w:tc>
              <w:tc>
                <w:tcPr>
                  <w:tcW w:w="511" w:type="pct"/>
                  <w:vAlign w:val="center"/>
                </w:tcPr>
                <w:p>
                  <w:pPr>
                    <w:adjustRightInd w:val="0"/>
                    <w:snapToGrid w:val="0"/>
                    <w:spacing w:line="360" w:lineRule="exact"/>
                    <w:ind w:firstLine="0" w:firstLineChars="0"/>
                    <w:jc w:val="center"/>
                    <w:rPr>
                      <w:kern w:val="0"/>
                      <w:sz w:val="18"/>
                      <w:szCs w:val="18"/>
                    </w:rPr>
                  </w:pPr>
                  <w:r>
                    <w:rPr>
                      <w:rFonts w:hint="eastAsia"/>
                      <w:kern w:val="0"/>
                      <w:sz w:val="18"/>
                      <w:szCs w:val="18"/>
                    </w:rPr>
                    <w:t>实验室区域</w:t>
                  </w:r>
                </w:p>
              </w:tc>
              <w:tc>
                <w:tcPr>
                  <w:tcW w:w="869" w:type="pct"/>
                  <w:vAlign w:val="center"/>
                </w:tcPr>
                <w:p>
                  <w:pPr>
                    <w:adjustRightInd w:val="0"/>
                    <w:snapToGrid w:val="0"/>
                    <w:spacing w:line="360" w:lineRule="exact"/>
                    <w:ind w:firstLine="0" w:firstLineChars="0"/>
                    <w:jc w:val="center"/>
                    <w:rPr>
                      <w:sz w:val="18"/>
                      <w:szCs w:val="18"/>
                    </w:rPr>
                  </w:pPr>
                  <w:r>
                    <w:rPr>
                      <w:rFonts w:hint="eastAsia"/>
                      <w:sz w:val="18"/>
                      <w:szCs w:val="18"/>
                    </w:rPr>
                    <w:t>一般防渗区</w:t>
                  </w:r>
                </w:p>
              </w:tc>
              <w:tc>
                <w:tcPr>
                  <w:tcW w:w="2590" w:type="pct"/>
                  <w:vAlign w:val="center"/>
                </w:tcPr>
                <w:p>
                  <w:pPr>
                    <w:adjustRightInd w:val="0"/>
                    <w:snapToGrid w:val="0"/>
                    <w:spacing w:line="360" w:lineRule="exact"/>
                    <w:ind w:firstLine="0" w:firstLineChars="0"/>
                    <w:rPr>
                      <w:sz w:val="18"/>
                      <w:szCs w:val="18"/>
                    </w:rPr>
                  </w:pPr>
                  <w:r>
                    <w:rPr>
                      <w:rFonts w:hint="eastAsia"/>
                      <w:sz w:val="18"/>
                      <w:szCs w:val="18"/>
                    </w:rPr>
                    <w:t>地面采用</w:t>
                  </w:r>
                  <w:r>
                    <w:rPr>
                      <w:sz w:val="18"/>
                      <w:szCs w:val="18"/>
                    </w:rPr>
                    <w:t>1</w:t>
                  </w:r>
                  <w:r>
                    <w:rPr>
                      <w:rFonts w:hint="eastAsia"/>
                      <w:sz w:val="18"/>
                      <w:szCs w:val="18"/>
                    </w:rPr>
                    <w:t>0cm厚的防渗混凝土（依托）+防水地坪（新建），防渗层渗透系数K≤1</w:t>
                  </w:r>
                  <w:r>
                    <w:rPr>
                      <w:sz w:val="18"/>
                      <w:szCs w:val="18"/>
                    </w:rPr>
                    <w:t>×</w:t>
                  </w:r>
                  <w:r>
                    <w:rPr>
                      <w:rFonts w:hint="eastAsia"/>
                      <w:sz w:val="18"/>
                      <w:szCs w:val="18"/>
                    </w:rPr>
                    <w:t>10</w:t>
                  </w:r>
                  <w:r>
                    <w:rPr>
                      <w:rFonts w:hint="eastAsia"/>
                      <w:sz w:val="18"/>
                      <w:szCs w:val="18"/>
                      <w:vertAlign w:val="superscript"/>
                    </w:rPr>
                    <w:t>-</w:t>
                  </w:r>
                  <w:r>
                    <w:rPr>
                      <w:sz w:val="18"/>
                      <w:szCs w:val="18"/>
                      <w:vertAlign w:val="superscript"/>
                    </w:rPr>
                    <w:t>7</w:t>
                  </w:r>
                  <w:r>
                    <w:rPr>
                      <w:rFonts w:hint="eastAsia"/>
                      <w:sz w:val="18"/>
                      <w:szCs w:val="18"/>
                    </w:rPr>
                    <w:t>cm/s</w:t>
                  </w:r>
                </w:p>
              </w:tc>
              <w:tc>
                <w:tcPr>
                  <w:tcW w:w="759" w:type="pct"/>
                  <w:vAlign w:val="center"/>
                </w:tcPr>
                <w:p>
                  <w:pPr>
                    <w:adjustRightInd w:val="0"/>
                    <w:snapToGrid w:val="0"/>
                    <w:spacing w:line="360" w:lineRule="exact"/>
                    <w:ind w:firstLine="0" w:firstLineChars="0"/>
                    <w:jc w:val="center"/>
                    <w:rPr>
                      <w:sz w:val="18"/>
                      <w:szCs w:val="18"/>
                    </w:rPr>
                  </w:pPr>
                  <w:r>
                    <w:rPr>
                      <w:rFonts w:hint="eastAsia"/>
                      <w:sz w:val="18"/>
                      <w:szCs w:val="18"/>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Pr>
              <w:tc>
                <w:tcPr>
                  <w:tcW w:w="270" w:type="pct"/>
                  <w:vAlign w:val="center"/>
                </w:tcPr>
                <w:p>
                  <w:pPr>
                    <w:adjustRightInd w:val="0"/>
                    <w:snapToGrid w:val="0"/>
                    <w:spacing w:line="360" w:lineRule="exact"/>
                    <w:ind w:firstLine="0" w:firstLineChars="0"/>
                    <w:jc w:val="center"/>
                    <w:rPr>
                      <w:sz w:val="18"/>
                      <w:szCs w:val="18"/>
                    </w:rPr>
                  </w:pPr>
                  <w:r>
                    <w:rPr>
                      <w:sz w:val="18"/>
                      <w:szCs w:val="18"/>
                    </w:rPr>
                    <w:t>4</w:t>
                  </w:r>
                </w:p>
              </w:tc>
              <w:tc>
                <w:tcPr>
                  <w:tcW w:w="511" w:type="pct"/>
                  <w:vAlign w:val="center"/>
                </w:tcPr>
                <w:p>
                  <w:pPr>
                    <w:adjustRightInd w:val="0"/>
                    <w:snapToGrid w:val="0"/>
                    <w:spacing w:line="360" w:lineRule="exact"/>
                    <w:ind w:firstLine="0" w:firstLineChars="0"/>
                    <w:jc w:val="center"/>
                    <w:rPr>
                      <w:kern w:val="0"/>
                      <w:sz w:val="18"/>
                      <w:szCs w:val="18"/>
                    </w:rPr>
                  </w:pPr>
                  <w:r>
                    <w:rPr>
                      <w:rFonts w:hint="eastAsia"/>
                      <w:kern w:val="0"/>
                      <w:sz w:val="18"/>
                      <w:szCs w:val="18"/>
                    </w:rPr>
                    <w:t>其他区域</w:t>
                  </w:r>
                </w:p>
              </w:tc>
              <w:tc>
                <w:tcPr>
                  <w:tcW w:w="869" w:type="pct"/>
                  <w:vAlign w:val="center"/>
                </w:tcPr>
                <w:p>
                  <w:pPr>
                    <w:adjustRightInd w:val="0"/>
                    <w:snapToGrid w:val="0"/>
                    <w:spacing w:line="360" w:lineRule="exact"/>
                    <w:ind w:firstLine="0" w:firstLineChars="0"/>
                    <w:jc w:val="center"/>
                    <w:rPr>
                      <w:sz w:val="18"/>
                      <w:szCs w:val="18"/>
                    </w:rPr>
                  </w:pPr>
                  <w:r>
                    <w:rPr>
                      <w:rFonts w:hint="eastAsia"/>
                      <w:kern w:val="0"/>
                      <w:sz w:val="18"/>
                      <w:szCs w:val="18"/>
                    </w:rPr>
                    <w:t>简单防渗区</w:t>
                  </w:r>
                </w:p>
              </w:tc>
              <w:tc>
                <w:tcPr>
                  <w:tcW w:w="2590" w:type="pct"/>
                  <w:vAlign w:val="center"/>
                </w:tcPr>
                <w:p>
                  <w:pPr>
                    <w:adjustRightInd w:val="0"/>
                    <w:snapToGrid w:val="0"/>
                    <w:spacing w:line="360" w:lineRule="exact"/>
                    <w:ind w:firstLine="0" w:firstLineChars="0"/>
                    <w:rPr>
                      <w:sz w:val="18"/>
                      <w:szCs w:val="18"/>
                    </w:rPr>
                  </w:pPr>
                  <w:r>
                    <w:rPr>
                      <w:rFonts w:hint="eastAsia"/>
                      <w:sz w:val="18"/>
                      <w:szCs w:val="18"/>
                    </w:rPr>
                    <w:t>地面硬化</w:t>
                  </w:r>
                </w:p>
              </w:tc>
              <w:tc>
                <w:tcPr>
                  <w:tcW w:w="759" w:type="pct"/>
                  <w:vAlign w:val="center"/>
                </w:tcPr>
                <w:p>
                  <w:pPr>
                    <w:adjustRightInd w:val="0"/>
                    <w:snapToGrid w:val="0"/>
                    <w:spacing w:line="360" w:lineRule="exact"/>
                    <w:ind w:firstLine="0" w:firstLineChars="0"/>
                    <w:jc w:val="center"/>
                    <w:rPr>
                      <w:sz w:val="18"/>
                      <w:szCs w:val="18"/>
                    </w:rPr>
                  </w:pPr>
                  <w:r>
                    <w:rPr>
                      <w:rFonts w:hint="eastAsia"/>
                      <w:sz w:val="18"/>
                      <w:szCs w:val="18"/>
                    </w:rPr>
                    <w:t>依托</w:t>
                  </w:r>
                </w:p>
              </w:tc>
            </w:tr>
          </w:tbl>
          <w:p>
            <w:pPr>
              <w:ind w:firstLine="480"/>
            </w:pPr>
            <w:r>
              <w:t>在采取以上措施后，本项目建设不会对项目区地下水、土壤环境产生明显影响。</w:t>
            </w:r>
          </w:p>
          <w:p>
            <w:pPr>
              <w:ind w:firstLine="480"/>
            </w:pPr>
            <w:r>
              <w:t>（2）跟踪监测要求</w:t>
            </w:r>
          </w:p>
          <w:p>
            <w:pPr>
              <w:ind w:firstLine="480"/>
            </w:pPr>
            <w:r>
              <w:t>根据《排污单位自行监测技术指南 总则》（HJ819-2017）、《工业企业土壤和地下水自行监测技术指南（试行）》（HJ1209-2021）等相关规范，本项目无地下水、土壤跟踪监测要求。</w:t>
            </w:r>
          </w:p>
          <w:p>
            <w:pPr>
              <w:ind w:firstLine="480"/>
            </w:pPr>
            <w:r>
              <w:rPr>
                <w:rFonts w:hint="eastAsia"/>
              </w:rPr>
              <w:t>各区域按照要求进行分区防渗处理后，对地下水、土壤环境无明显影响。</w:t>
            </w:r>
          </w:p>
          <w:p>
            <w:pPr>
              <w:pStyle w:val="158"/>
            </w:pPr>
            <w:r>
              <w:t>（</w:t>
            </w:r>
            <w:r>
              <w:rPr>
                <w:rFonts w:hint="eastAsia"/>
              </w:rPr>
              <w:t>六</w:t>
            </w:r>
            <w:r>
              <w:t>）</w:t>
            </w:r>
            <w:r>
              <w:rPr>
                <w:rFonts w:hint="eastAsia"/>
              </w:rPr>
              <w:t>环境风险</w:t>
            </w:r>
          </w:p>
          <w:p>
            <w:pPr>
              <w:ind w:firstLine="480"/>
            </w:pPr>
            <w:r>
              <w:rPr>
                <w:rFonts w:hint="eastAsia"/>
              </w:rPr>
              <w:t>1、评价依据</w:t>
            </w:r>
          </w:p>
          <w:p>
            <w:pPr>
              <w:ind w:firstLine="480"/>
            </w:pPr>
            <w:r>
              <w:rPr>
                <w:rFonts w:hint="eastAsia"/>
              </w:rPr>
              <w:t>（1）风险调查</w:t>
            </w:r>
          </w:p>
          <w:p>
            <w:pPr>
              <w:ind w:firstLine="480"/>
            </w:pPr>
            <w:r>
              <w:rPr>
                <w:rFonts w:hint="eastAsia"/>
              </w:rPr>
              <w:t>本项目涉及的环境风险物质主要是正己烷、丙酮、浓盐酸、浓硫酸、硝酸。</w:t>
            </w:r>
          </w:p>
          <w:p>
            <w:pPr>
              <w:ind w:firstLine="480"/>
            </w:pPr>
            <w:r>
              <w:rPr>
                <w:rFonts w:hint="eastAsia" w:ascii="宋体" w:hAnsi="宋体" w:cs="宋体"/>
              </w:rPr>
              <w:t>（2）</w:t>
            </w:r>
            <w:r>
              <w:t>风险潜势初判</w:t>
            </w:r>
          </w:p>
          <w:p>
            <w:pPr>
              <w:ind w:firstLine="480"/>
            </w:pPr>
            <w:r>
              <w:t>根据《建设项目环境风险评价技术导则》（HJ169-2018），本项目涉及的主要</w:t>
            </w:r>
            <w:r>
              <w:rPr>
                <w:rFonts w:hint="eastAsia"/>
              </w:rPr>
              <w:t>环境风险物质</w:t>
            </w:r>
            <w:r>
              <w:t>使用量、储存量及临界量如下表所示。</w:t>
            </w:r>
          </w:p>
          <w:p>
            <w:pPr>
              <w:pStyle w:val="157"/>
              <w:ind w:firstLine="420"/>
            </w:pPr>
            <w:r>
              <w:t>表</w:t>
            </w:r>
            <w:r>
              <w:rPr>
                <w:rFonts w:hint="eastAsia"/>
              </w:rPr>
              <w:t>4</w:t>
            </w:r>
            <w:r>
              <w:t>-1</w:t>
            </w:r>
            <w:r>
              <w:rPr>
                <w:rFonts w:hint="eastAsia"/>
              </w:rPr>
              <w:t>5</w:t>
            </w:r>
            <w:r>
              <w:t xml:space="preserve"> </w:t>
            </w:r>
            <w:r>
              <w:rPr>
                <w:rFonts w:hint="eastAsia"/>
              </w:rPr>
              <w:t xml:space="preserve"> </w:t>
            </w:r>
            <w:r>
              <w:t>项目化学品使用及储存情况一览表</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9"/>
              <w:gridCol w:w="2099"/>
              <w:gridCol w:w="1116"/>
              <w:gridCol w:w="992"/>
              <w:gridCol w:w="1280"/>
              <w:gridCol w:w="878"/>
              <w:gridCol w:w="10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9" w:type="pct"/>
                  <w:vAlign w:val="center"/>
                </w:tcPr>
                <w:p>
                  <w:pPr>
                    <w:pStyle w:val="136"/>
                    <w:adjustRightInd w:val="0"/>
                    <w:snapToGrid w:val="0"/>
                    <w:rPr>
                      <w:b/>
                    </w:rPr>
                  </w:pPr>
                  <w:r>
                    <w:rPr>
                      <w:b/>
                    </w:rPr>
                    <w:t>序号</w:t>
                  </w:r>
                </w:p>
              </w:tc>
              <w:tc>
                <w:tcPr>
                  <w:tcW w:w="1287" w:type="pct"/>
                  <w:vAlign w:val="center"/>
                </w:tcPr>
                <w:p>
                  <w:pPr>
                    <w:pStyle w:val="136"/>
                    <w:adjustRightInd w:val="0"/>
                    <w:snapToGrid w:val="0"/>
                    <w:rPr>
                      <w:b/>
                    </w:rPr>
                  </w:pPr>
                  <w:r>
                    <w:rPr>
                      <w:b/>
                    </w:rPr>
                    <w:t>名称</w:t>
                  </w:r>
                </w:p>
              </w:tc>
              <w:tc>
                <w:tcPr>
                  <w:tcW w:w="684" w:type="pct"/>
                  <w:vAlign w:val="center"/>
                </w:tcPr>
                <w:p>
                  <w:pPr>
                    <w:pStyle w:val="136"/>
                    <w:adjustRightInd w:val="0"/>
                    <w:snapToGrid w:val="0"/>
                    <w:rPr>
                      <w:b/>
                    </w:rPr>
                  </w:pPr>
                  <w:r>
                    <w:rPr>
                      <w:b/>
                    </w:rPr>
                    <w:t>形态</w:t>
                  </w:r>
                </w:p>
              </w:tc>
              <w:tc>
                <w:tcPr>
                  <w:tcW w:w="608" w:type="pct"/>
                  <w:vAlign w:val="center"/>
                </w:tcPr>
                <w:p>
                  <w:pPr>
                    <w:pStyle w:val="136"/>
                    <w:adjustRightInd w:val="0"/>
                    <w:snapToGrid w:val="0"/>
                    <w:rPr>
                      <w:b/>
                    </w:rPr>
                  </w:pPr>
                  <w:r>
                    <w:rPr>
                      <w:b/>
                    </w:rPr>
                    <w:t>储存方式</w:t>
                  </w:r>
                </w:p>
              </w:tc>
              <w:tc>
                <w:tcPr>
                  <w:tcW w:w="785" w:type="pct"/>
                  <w:vAlign w:val="center"/>
                </w:tcPr>
                <w:p>
                  <w:pPr>
                    <w:pStyle w:val="136"/>
                    <w:adjustRightInd w:val="0"/>
                    <w:snapToGrid w:val="0"/>
                    <w:rPr>
                      <w:b/>
                    </w:rPr>
                  </w:pPr>
                  <w:r>
                    <w:rPr>
                      <w:b/>
                    </w:rPr>
                    <w:t>最大储存量</w:t>
                  </w:r>
                </w:p>
              </w:tc>
              <w:tc>
                <w:tcPr>
                  <w:tcW w:w="538" w:type="pct"/>
                  <w:vAlign w:val="center"/>
                </w:tcPr>
                <w:p>
                  <w:pPr>
                    <w:pStyle w:val="136"/>
                    <w:adjustRightInd w:val="0"/>
                    <w:snapToGrid w:val="0"/>
                    <w:rPr>
                      <w:b/>
                    </w:rPr>
                  </w:pPr>
                  <w:r>
                    <w:rPr>
                      <w:b/>
                    </w:rPr>
                    <w:t>临界量</w:t>
                  </w:r>
                </w:p>
              </w:tc>
              <w:tc>
                <w:tcPr>
                  <w:tcW w:w="639" w:type="pct"/>
                </w:tcPr>
                <w:p>
                  <w:pPr>
                    <w:pStyle w:val="136"/>
                    <w:adjustRightInd w:val="0"/>
                    <w:snapToGrid w:val="0"/>
                    <w:rPr>
                      <w:b/>
                    </w:rPr>
                  </w:pPr>
                  <w:r>
                    <w:rPr>
                      <w:rFonts w:hint="eastAsia"/>
                      <w:b/>
                    </w:rPr>
                    <w:t>Q值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59" w:type="pct"/>
                  <w:vAlign w:val="center"/>
                </w:tcPr>
                <w:p>
                  <w:pPr>
                    <w:pStyle w:val="136"/>
                    <w:adjustRightInd w:val="0"/>
                    <w:snapToGrid w:val="0"/>
                  </w:pPr>
                  <w:bookmarkStart w:id="11" w:name="_Hlk140158728"/>
                  <w:r>
                    <w:rPr>
                      <w:rFonts w:hint="eastAsia"/>
                    </w:rPr>
                    <w:t>1</w:t>
                  </w:r>
                </w:p>
              </w:tc>
              <w:tc>
                <w:tcPr>
                  <w:tcW w:w="1287" w:type="pct"/>
                  <w:vAlign w:val="center"/>
                </w:tcPr>
                <w:p>
                  <w:pPr>
                    <w:pStyle w:val="136"/>
                    <w:adjustRightInd w:val="0"/>
                    <w:snapToGrid w:val="0"/>
                  </w:pPr>
                  <w:r>
                    <w:rPr>
                      <w:rFonts w:hint="eastAsia"/>
                    </w:rPr>
                    <w:t>正己烷</w:t>
                  </w:r>
                </w:p>
              </w:tc>
              <w:tc>
                <w:tcPr>
                  <w:tcW w:w="684" w:type="pct"/>
                  <w:vAlign w:val="center"/>
                </w:tcPr>
                <w:p>
                  <w:pPr>
                    <w:pStyle w:val="136"/>
                    <w:adjustRightInd w:val="0"/>
                    <w:snapToGrid w:val="0"/>
                  </w:pPr>
                  <w:r>
                    <w:rPr>
                      <w:rFonts w:hint="eastAsia"/>
                    </w:rPr>
                    <w:t>液体</w:t>
                  </w:r>
                </w:p>
              </w:tc>
              <w:tc>
                <w:tcPr>
                  <w:tcW w:w="608" w:type="pct"/>
                  <w:vAlign w:val="center"/>
                </w:tcPr>
                <w:p>
                  <w:pPr>
                    <w:pStyle w:val="136"/>
                    <w:adjustRightInd w:val="0"/>
                    <w:snapToGrid w:val="0"/>
                  </w:pPr>
                  <w:r>
                    <w:t>瓶装</w:t>
                  </w:r>
                </w:p>
              </w:tc>
              <w:tc>
                <w:tcPr>
                  <w:tcW w:w="785" w:type="pct"/>
                  <w:vAlign w:val="center"/>
                </w:tcPr>
                <w:p>
                  <w:pPr>
                    <w:pStyle w:val="136"/>
                    <w:adjustRightInd w:val="0"/>
                    <w:snapToGrid w:val="0"/>
                  </w:pPr>
                  <w:r>
                    <w:rPr>
                      <w:rFonts w:hint="eastAsia"/>
                    </w:rPr>
                    <w:t>1</w:t>
                  </w:r>
                  <w:r>
                    <w:t>.65</w:t>
                  </w:r>
                  <w:r>
                    <w:rPr>
                      <w:rFonts w:hint="eastAsia"/>
                    </w:rPr>
                    <w:t xml:space="preserve"> kg</w:t>
                  </w:r>
                </w:p>
              </w:tc>
              <w:tc>
                <w:tcPr>
                  <w:tcW w:w="538" w:type="pct"/>
                  <w:vAlign w:val="center"/>
                </w:tcPr>
                <w:p>
                  <w:pPr>
                    <w:pStyle w:val="136"/>
                    <w:adjustRightInd w:val="0"/>
                    <w:snapToGrid w:val="0"/>
                  </w:pPr>
                  <w:r>
                    <w:rPr>
                      <w:rFonts w:hint="eastAsia"/>
                    </w:rPr>
                    <w:t>1</w:t>
                  </w:r>
                  <w:r>
                    <w:t>0</w:t>
                  </w:r>
                  <w:r>
                    <w:rPr>
                      <w:rFonts w:hint="eastAsia"/>
                    </w:rPr>
                    <w:t>t</w:t>
                  </w:r>
                </w:p>
              </w:tc>
              <w:tc>
                <w:tcPr>
                  <w:tcW w:w="639" w:type="pct"/>
                  <w:vAlign w:val="bottom"/>
                </w:tcPr>
                <w:p>
                  <w:pPr>
                    <w:pStyle w:val="136"/>
                  </w:pPr>
                  <w:r>
                    <w:rPr>
                      <w:rFonts w:hint="eastAsia"/>
                    </w:rPr>
                    <w:t>0.000165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9" w:type="pct"/>
                  <w:vAlign w:val="center"/>
                </w:tcPr>
                <w:p>
                  <w:pPr>
                    <w:pStyle w:val="136"/>
                    <w:adjustRightInd w:val="0"/>
                    <w:snapToGrid w:val="0"/>
                  </w:pPr>
                  <w:r>
                    <w:rPr>
                      <w:rFonts w:hint="eastAsia"/>
                    </w:rPr>
                    <w:t>2</w:t>
                  </w:r>
                </w:p>
              </w:tc>
              <w:tc>
                <w:tcPr>
                  <w:tcW w:w="1287" w:type="pct"/>
                  <w:vAlign w:val="center"/>
                </w:tcPr>
                <w:p>
                  <w:pPr>
                    <w:pStyle w:val="136"/>
                    <w:adjustRightInd w:val="0"/>
                    <w:snapToGrid w:val="0"/>
                  </w:pPr>
                  <w:r>
                    <w:rPr>
                      <w:rFonts w:hint="eastAsia"/>
                    </w:rPr>
                    <w:t>丙酮</w:t>
                  </w:r>
                </w:p>
              </w:tc>
              <w:tc>
                <w:tcPr>
                  <w:tcW w:w="684" w:type="pct"/>
                  <w:vAlign w:val="center"/>
                </w:tcPr>
                <w:p>
                  <w:pPr>
                    <w:pStyle w:val="136"/>
                    <w:adjustRightInd w:val="0"/>
                    <w:snapToGrid w:val="0"/>
                  </w:pPr>
                  <w:r>
                    <w:rPr>
                      <w:rFonts w:hint="eastAsia"/>
                    </w:rPr>
                    <w:t>液体</w:t>
                  </w:r>
                </w:p>
              </w:tc>
              <w:tc>
                <w:tcPr>
                  <w:tcW w:w="608" w:type="pct"/>
                  <w:vAlign w:val="center"/>
                </w:tcPr>
                <w:p>
                  <w:pPr>
                    <w:pStyle w:val="136"/>
                    <w:adjustRightInd w:val="0"/>
                    <w:snapToGrid w:val="0"/>
                  </w:pPr>
                  <w:r>
                    <w:t>瓶装</w:t>
                  </w:r>
                </w:p>
              </w:tc>
              <w:tc>
                <w:tcPr>
                  <w:tcW w:w="785" w:type="pct"/>
                  <w:vAlign w:val="center"/>
                </w:tcPr>
                <w:p>
                  <w:pPr>
                    <w:pStyle w:val="136"/>
                    <w:adjustRightInd w:val="0"/>
                    <w:snapToGrid w:val="0"/>
                  </w:pPr>
                  <w:r>
                    <w:rPr>
                      <w:rFonts w:hint="eastAsia"/>
                    </w:rPr>
                    <w:t>1</w:t>
                  </w:r>
                  <w:r>
                    <w:t>.97</w:t>
                  </w:r>
                  <w:r>
                    <w:rPr>
                      <w:rFonts w:hint="eastAsia"/>
                    </w:rPr>
                    <w:t xml:space="preserve"> kg</w:t>
                  </w:r>
                </w:p>
              </w:tc>
              <w:tc>
                <w:tcPr>
                  <w:tcW w:w="538" w:type="pct"/>
                  <w:vAlign w:val="center"/>
                </w:tcPr>
                <w:p>
                  <w:pPr>
                    <w:pStyle w:val="136"/>
                    <w:adjustRightInd w:val="0"/>
                    <w:snapToGrid w:val="0"/>
                  </w:pPr>
                  <w:r>
                    <w:rPr>
                      <w:rFonts w:hint="eastAsia"/>
                    </w:rPr>
                    <w:t>1</w:t>
                  </w:r>
                  <w:r>
                    <w:t>0</w:t>
                  </w:r>
                  <w:r>
                    <w:rPr>
                      <w:rFonts w:hint="eastAsia"/>
                    </w:rPr>
                    <w:t>t</w:t>
                  </w:r>
                </w:p>
              </w:tc>
              <w:tc>
                <w:tcPr>
                  <w:tcW w:w="639" w:type="pct"/>
                  <w:vAlign w:val="bottom"/>
                </w:tcPr>
                <w:p>
                  <w:pPr>
                    <w:pStyle w:val="136"/>
                  </w:pPr>
                  <w:r>
                    <w:rPr>
                      <w:rFonts w:hint="eastAsia"/>
                    </w:rPr>
                    <w:t>0.000197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9" w:type="pct"/>
                  <w:vAlign w:val="center"/>
                </w:tcPr>
                <w:p>
                  <w:pPr>
                    <w:pStyle w:val="136"/>
                    <w:adjustRightInd w:val="0"/>
                    <w:snapToGrid w:val="0"/>
                  </w:pPr>
                  <w:r>
                    <w:rPr>
                      <w:rFonts w:hint="eastAsia"/>
                    </w:rPr>
                    <w:t>3</w:t>
                  </w:r>
                </w:p>
              </w:tc>
              <w:tc>
                <w:tcPr>
                  <w:tcW w:w="1287" w:type="pct"/>
                  <w:vAlign w:val="center"/>
                </w:tcPr>
                <w:p>
                  <w:pPr>
                    <w:pStyle w:val="136"/>
                    <w:adjustRightInd w:val="0"/>
                    <w:snapToGrid w:val="0"/>
                  </w:pPr>
                  <w:r>
                    <w:rPr>
                      <w:rFonts w:hint="eastAsia"/>
                    </w:rPr>
                    <w:t>浓盐酸</w:t>
                  </w:r>
                </w:p>
              </w:tc>
              <w:tc>
                <w:tcPr>
                  <w:tcW w:w="684" w:type="pct"/>
                  <w:vAlign w:val="center"/>
                </w:tcPr>
                <w:p>
                  <w:pPr>
                    <w:pStyle w:val="136"/>
                    <w:adjustRightInd w:val="0"/>
                    <w:snapToGrid w:val="0"/>
                  </w:pPr>
                  <w:r>
                    <w:rPr>
                      <w:rFonts w:hint="eastAsia"/>
                    </w:rPr>
                    <w:t>液体</w:t>
                  </w:r>
                </w:p>
              </w:tc>
              <w:tc>
                <w:tcPr>
                  <w:tcW w:w="608" w:type="pct"/>
                  <w:vAlign w:val="center"/>
                </w:tcPr>
                <w:p>
                  <w:pPr>
                    <w:pStyle w:val="136"/>
                    <w:adjustRightInd w:val="0"/>
                    <w:snapToGrid w:val="0"/>
                  </w:pPr>
                  <w:r>
                    <w:t>瓶装</w:t>
                  </w:r>
                </w:p>
              </w:tc>
              <w:tc>
                <w:tcPr>
                  <w:tcW w:w="785" w:type="pct"/>
                  <w:vAlign w:val="center"/>
                </w:tcPr>
                <w:p>
                  <w:pPr>
                    <w:pStyle w:val="136"/>
                    <w:adjustRightInd w:val="0"/>
                    <w:snapToGrid w:val="0"/>
                  </w:pPr>
                  <w:r>
                    <w:rPr>
                      <w:rFonts w:hint="eastAsia"/>
                    </w:rPr>
                    <w:t>2</w:t>
                  </w:r>
                  <w:r>
                    <w:t>.99</w:t>
                  </w:r>
                  <w:r>
                    <w:rPr>
                      <w:rFonts w:hint="eastAsia"/>
                    </w:rPr>
                    <w:t xml:space="preserve"> kg</w:t>
                  </w:r>
                </w:p>
              </w:tc>
              <w:tc>
                <w:tcPr>
                  <w:tcW w:w="538" w:type="pct"/>
                  <w:vAlign w:val="center"/>
                </w:tcPr>
                <w:p>
                  <w:pPr>
                    <w:pStyle w:val="136"/>
                    <w:adjustRightInd w:val="0"/>
                    <w:snapToGrid w:val="0"/>
                  </w:pPr>
                  <w:r>
                    <w:rPr>
                      <w:rFonts w:hint="eastAsia"/>
                    </w:rPr>
                    <w:t>7</w:t>
                  </w:r>
                  <w:r>
                    <w:t>.5</w:t>
                  </w:r>
                  <w:r>
                    <w:rPr>
                      <w:rFonts w:hint="eastAsia"/>
                    </w:rPr>
                    <w:t>t</w:t>
                  </w:r>
                </w:p>
              </w:tc>
              <w:tc>
                <w:tcPr>
                  <w:tcW w:w="639" w:type="pct"/>
                  <w:vAlign w:val="bottom"/>
                </w:tcPr>
                <w:p>
                  <w:pPr>
                    <w:pStyle w:val="136"/>
                  </w:pPr>
                  <w:r>
                    <w:rPr>
                      <w:rFonts w:hint="eastAsia"/>
                    </w:rPr>
                    <w:t>0.000399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9" w:type="pct"/>
                  <w:vAlign w:val="center"/>
                </w:tcPr>
                <w:p>
                  <w:pPr>
                    <w:pStyle w:val="136"/>
                    <w:adjustRightInd w:val="0"/>
                    <w:snapToGrid w:val="0"/>
                  </w:pPr>
                  <w:r>
                    <w:rPr>
                      <w:rFonts w:hint="eastAsia"/>
                    </w:rPr>
                    <w:t>4</w:t>
                  </w:r>
                </w:p>
              </w:tc>
              <w:tc>
                <w:tcPr>
                  <w:tcW w:w="1287" w:type="pct"/>
                  <w:vAlign w:val="center"/>
                </w:tcPr>
                <w:p>
                  <w:pPr>
                    <w:pStyle w:val="136"/>
                    <w:adjustRightInd w:val="0"/>
                    <w:snapToGrid w:val="0"/>
                  </w:pPr>
                  <w:r>
                    <w:rPr>
                      <w:rFonts w:hint="eastAsia"/>
                    </w:rPr>
                    <w:t>浓硫酸</w:t>
                  </w:r>
                </w:p>
              </w:tc>
              <w:tc>
                <w:tcPr>
                  <w:tcW w:w="684" w:type="pct"/>
                  <w:vAlign w:val="center"/>
                </w:tcPr>
                <w:p>
                  <w:pPr>
                    <w:pStyle w:val="136"/>
                    <w:adjustRightInd w:val="0"/>
                    <w:snapToGrid w:val="0"/>
                  </w:pPr>
                  <w:r>
                    <w:rPr>
                      <w:rFonts w:hint="eastAsia"/>
                    </w:rPr>
                    <w:t>液体</w:t>
                  </w:r>
                </w:p>
              </w:tc>
              <w:tc>
                <w:tcPr>
                  <w:tcW w:w="608" w:type="pct"/>
                  <w:vAlign w:val="center"/>
                </w:tcPr>
                <w:p>
                  <w:pPr>
                    <w:pStyle w:val="136"/>
                    <w:adjustRightInd w:val="0"/>
                    <w:snapToGrid w:val="0"/>
                  </w:pPr>
                  <w:r>
                    <w:t>瓶装</w:t>
                  </w:r>
                </w:p>
              </w:tc>
              <w:tc>
                <w:tcPr>
                  <w:tcW w:w="785" w:type="pct"/>
                  <w:vAlign w:val="center"/>
                </w:tcPr>
                <w:p>
                  <w:pPr>
                    <w:pStyle w:val="136"/>
                    <w:adjustRightInd w:val="0"/>
                    <w:snapToGrid w:val="0"/>
                  </w:pPr>
                  <w:r>
                    <w:t>4.6</w:t>
                  </w:r>
                  <w:r>
                    <w:rPr>
                      <w:rFonts w:hint="eastAsia"/>
                    </w:rPr>
                    <w:t>kg</w:t>
                  </w:r>
                </w:p>
              </w:tc>
              <w:tc>
                <w:tcPr>
                  <w:tcW w:w="538" w:type="pct"/>
                  <w:vAlign w:val="center"/>
                </w:tcPr>
                <w:p>
                  <w:pPr>
                    <w:pStyle w:val="136"/>
                    <w:adjustRightInd w:val="0"/>
                    <w:snapToGrid w:val="0"/>
                  </w:pPr>
                  <w:r>
                    <w:rPr>
                      <w:rFonts w:hint="eastAsia"/>
                    </w:rPr>
                    <w:t>1</w:t>
                  </w:r>
                  <w:r>
                    <w:t>0</w:t>
                  </w:r>
                  <w:r>
                    <w:rPr>
                      <w:rFonts w:hint="eastAsia"/>
                    </w:rPr>
                    <w:t>t</w:t>
                  </w:r>
                </w:p>
              </w:tc>
              <w:tc>
                <w:tcPr>
                  <w:tcW w:w="639" w:type="pct"/>
                  <w:vAlign w:val="bottom"/>
                </w:tcPr>
                <w:p>
                  <w:pPr>
                    <w:pStyle w:val="136"/>
                  </w:pPr>
                  <w:r>
                    <w:rPr>
                      <w:rFonts w:hint="eastAsia"/>
                    </w:rPr>
                    <w:t>0.00046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9" w:type="pct"/>
                  <w:vAlign w:val="center"/>
                </w:tcPr>
                <w:p>
                  <w:pPr>
                    <w:pStyle w:val="136"/>
                    <w:adjustRightInd w:val="0"/>
                    <w:snapToGrid w:val="0"/>
                  </w:pPr>
                  <w:r>
                    <w:rPr>
                      <w:rFonts w:hint="eastAsia"/>
                    </w:rPr>
                    <w:t>5</w:t>
                  </w:r>
                </w:p>
              </w:tc>
              <w:tc>
                <w:tcPr>
                  <w:tcW w:w="1287" w:type="pct"/>
                  <w:vAlign w:val="center"/>
                </w:tcPr>
                <w:p>
                  <w:pPr>
                    <w:pStyle w:val="136"/>
                    <w:adjustRightInd w:val="0"/>
                    <w:snapToGrid w:val="0"/>
                  </w:pPr>
                  <w:r>
                    <w:rPr>
                      <w:rFonts w:hint="eastAsia"/>
                    </w:rPr>
                    <w:t>浓硝酸</w:t>
                  </w:r>
                </w:p>
              </w:tc>
              <w:tc>
                <w:tcPr>
                  <w:tcW w:w="684" w:type="pct"/>
                  <w:vAlign w:val="center"/>
                </w:tcPr>
                <w:p>
                  <w:pPr>
                    <w:pStyle w:val="136"/>
                    <w:adjustRightInd w:val="0"/>
                    <w:snapToGrid w:val="0"/>
                  </w:pPr>
                  <w:r>
                    <w:rPr>
                      <w:rFonts w:hint="eastAsia"/>
                    </w:rPr>
                    <w:t>液体</w:t>
                  </w:r>
                </w:p>
              </w:tc>
              <w:tc>
                <w:tcPr>
                  <w:tcW w:w="608" w:type="pct"/>
                  <w:vAlign w:val="center"/>
                </w:tcPr>
                <w:p>
                  <w:pPr>
                    <w:pStyle w:val="136"/>
                    <w:adjustRightInd w:val="0"/>
                    <w:snapToGrid w:val="0"/>
                  </w:pPr>
                  <w:r>
                    <w:t>瓶装</w:t>
                  </w:r>
                </w:p>
              </w:tc>
              <w:tc>
                <w:tcPr>
                  <w:tcW w:w="785" w:type="pct"/>
                  <w:vAlign w:val="center"/>
                </w:tcPr>
                <w:p>
                  <w:pPr>
                    <w:pStyle w:val="136"/>
                    <w:adjustRightInd w:val="0"/>
                    <w:snapToGrid w:val="0"/>
                  </w:pPr>
                  <w:r>
                    <w:rPr>
                      <w:rFonts w:hint="eastAsia"/>
                    </w:rPr>
                    <w:t>1</w:t>
                  </w:r>
                  <w:r>
                    <w:t>.4</w:t>
                  </w:r>
                  <w:r>
                    <w:rPr>
                      <w:rFonts w:hint="eastAsia"/>
                    </w:rPr>
                    <w:t>kg</w:t>
                  </w:r>
                </w:p>
              </w:tc>
              <w:tc>
                <w:tcPr>
                  <w:tcW w:w="538" w:type="pct"/>
                  <w:vAlign w:val="center"/>
                </w:tcPr>
                <w:p>
                  <w:pPr>
                    <w:pStyle w:val="136"/>
                    <w:adjustRightInd w:val="0"/>
                    <w:snapToGrid w:val="0"/>
                  </w:pPr>
                  <w:r>
                    <w:rPr>
                      <w:rFonts w:hint="eastAsia"/>
                    </w:rPr>
                    <w:t>7</w:t>
                  </w:r>
                  <w:r>
                    <w:t>.5</w:t>
                  </w:r>
                  <w:r>
                    <w:rPr>
                      <w:rFonts w:hint="eastAsia"/>
                    </w:rPr>
                    <w:t>t</w:t>
                  </w:r>
                </w:p>
              </w:tc>
              <w:tc>
                <w:tcPr>
                  <w:tcW w:w="639" w:type="pct"/>
                  <w:vAlign w:val="bottom"/>
                </w:tcPr>
                <w:p>
                  <w:pPr>
                    <w:pStyle w:val="136"/>
                  </w:pPr>
                  <w:r>
                    <w:rPr>
                      <w:rFonts w:hint="eastAsia"/>
                    </w:rPr>
                    <w:t>0.000187</w:t>
                  </w:r>
                </w:p>
              </w:tc>
            </w:tr>
            <w:bookmarkEnd w:id="11"/>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61" w:type="pct"/>
                  <w:gridSpan w:val="6"/>
                  <w:vAlign w:val="center"/>
                </w:tcPr>
                <w:p>
                  <w:pPr>
                    <w:pStyle w:val="136"/>
                    <w:adjustRightInd w:val="0"/>
                    <w:snapToGrid w:val="0"/>
                  </w:pPr>
                  <w:r>
                    <w:rPr>
                      <w:rFonts w:hint="eastAsia"/>
                    </w:rPr>
                    <w:t>合计</w:t>
                  </w:r>
                </w:p>
              </w:tc>
              <w:tc>
                <w:tcPr>
                  <w:tcW w:w="639" w:type="pct"/>
                </w:tcPr>
                <w:p>
                  <w:pPr>
                    <w:pStyle w:val="136"/>
                    <w:adjustRightInd w:val="0"/>
                    <w:snapToGrid w:val="0"/>
                  </w:pPr>
                  <w:r>
                    <w:fldChar w:fldCharType="begin"/>
                  </w:r>
                  <w:r>
                    <w:instrText xml:space="preserve"> </w:instrText>
                  </w:r>
                  <w:r>
                    <w:rPr>
                      <w:rFonts w:hint="eastAsia"/>
                    </w:rPr>
                    <w:instrText xml:space="preserve">=SUM(ABOVE)</w:instrText>
                  </w:r>
                  <w:r>
                    <w:instrText xml:space="preserve"> </w:instrText>
                  </w:r>
                  <w:r>
                    <w:fldChar w:fldCharType="separate"/>
                  </w:r>
                  <w:r>
                    <w:t>0.001408</w:t>
                  </w:r>
                  <w:r>
                    <w:fldChar w:fldCharType="end"/>
                  </w:r>
                </w:p>
              </w:tc>
            </w:tr>
          </w:tbl>
          <w:p>
            <w:pPr>
              <w:ind w:firstLine="480"/>
            </w:pPr>
            <w:r>
              <w:t>根据《建设项目环境风险评价技术导则》（HJ169-2018）附录C，当只涉及一种危险物质时，计算该物质的总量与其临界量比值，即为Q；当存在多种危险物质时，则按下式计算物质总量与其临界量比值（Q）；</w:t>
            </w:r>
          </w:p>
          <w:p>
            <w:pPr>
              <w:ind w:firstLine="480"/>
            </w:pPr>
            <w:r>
              <w:t>Q=q1/Q1+q2/Q2+……+qn/Qn</w:t>
            </w:r>
          </w:p>
          <w:p>
            <w:pPr>
              <w:ind w:firstLine="480"/>
            </w:pPr>
            <w:r>
              <w:t>式中：q1，q2，…，qn—每种危险物质的最大存在总量，t；</w:t>
            </w:r>
          </w:p>
          <w:p>
            <w:pPr>
              <w:ind w:firstLine="480"/>
            </w:pPr>
            <w:r>
              <w:t>Q1，Q2，…，Qn—每种危险物质的临界量，t。</w:t>
            </w:r>
          </w:p>
          <w:p>
            <w:pPr>
              <w:ind w:firstLine="480"/>
            </w:pPr>
            <w:r>
              <w:t>当Q＜1时，该项目环境风险潜势为1。</w:t>
            </w:r>
          </w:p>
          <w:p>
            <w:pPr>
              <w:ind w:firstLine="480"/>
            </w:pPr>
            <w:r>
              <w:t>当Q＞1时，将Q值划分为：（1）1≤Q＜10；（2）10≤Q＜100；（3）Q≥100。</w:t>
            </w:r>
          </w:p>
          <w:p>
            <w:pPr>
              <w:ind w:firstLine="480"/>
            </w:pPr>
            <w:r>
              <w:t>根据《建设项目环境风险评价技术导则》（HJ/T169-2018），Q值计算如下：</w:t>
            </w:r>
          </w:p>
          <w:p>
            <w:pPr>
              <w:ind w:firstLine="480"/>
            </w:pPr>
            <w:r>
              <w:t>Q=</w:t>
            </w:r>
            <w:r>
              <w:fldChar w:fldCharType="begin"/>
            </w:r>
            <w:r>
              <w:instrText xml:space="preserve"> </w:instrText>
            </w:r>
            <w:r>
              <w:rPr>
                <w:rFonts w:hint="eastAsia"/>
              </w:rPr>
              <w:instrText xml:space="preserve">=SUM(ABOVE)</w:instrText>
            </w:r>
            <w:r>
              <w:instrText xml:space="preserve"> </w:instrText>
            </w:r>
            <w:r>
              <w:fldChar w:fldCharType="separate"/>
            </w:r>
            <w:r>
              <w:t>0.001408</w:t>
            </w:r>
            <w:r>
              <w:fldChar w:fldCharType="end"/>
            </w:r>
          </w:p>
          <w:p>
            <w:pPr>
              <w:ind w:firstLine="480"/>
            </w:pPr>
            <w:r>
              <w:rPr>
                <w:rFonts w:hint="eastAsia"/>
              </w:rPr>
              <w:t>依据《建设项目环境影响报告表编制技术指南》（污染影响类）（试行）本项目有毒有害和易燃易爆危险物质存储量未超过临界量，不做环境风险专项评价。</w:t>
            </w:r>
          </w:p>
          <w:p>
            <w:pPr>
              <w:ind w:firstLine="480"/>
            </w:pPr>
            <w:r>
              <w:rPr>
                <w:rFonts w:hint="eastAsia"/>
              </w:rPr>
              <w:t>2、环境风险识别及可能的事故类型</w:t>
            </w:r>
          </w:p>
          <w:p>
            <w:pPr>
              <w:ind w:firstLine="480"/>
            </w:pPr>
            <w:r>
              <w:rPr>
                <w:rFonts w:hint="eastAsia"/>
              </w:rPr>
              <w:t>根据项目实际情况，本项目可能发生的事故类型如下</w:t>
            </w:r>
          </w:p>
          <w:p>
            <w:pPr>
              <w:ind w:firstLine="480"/>
            </w:pPr>
            <w:r>
              <w:rPr>
                <w:rFonts w:hint="eastAsia"/>
              </w:rPr>
              <w:t>（1）化学品、液态危险废物泄漏事故</w:t>
            </w:r>
          </w:p>
          <w:p>
            <w:pPr>
              <w:ind w:firstLine="480"/>
            </w:pPr>
            <w:r>
              <w:rPr>
                <w:rFonts w:hint="eastAsia"/>
              </w:rPr>
              <w:t>本项目为检验检测实验室，检验检测过程中涉及多种化学品使用，以及含有化学品的液态危险废物暂存。在化学品使用、液态危险废物暂存过程中，可能因操作不当或管理不善发生泄漏事故，造成环境污染。</w:t>
            </w:r>
          </w:p>
          <w:p>
            <w:pPr>
              <w:ind w:firstLine="480"/>
            </w:pPr>
            <w:r>
              <w:rPr>
                <w:rFonts w:hint="eastAsia"/>
              </w:rPr>
              <w:t>（2）废气事故排放</w:t>
            </w:r>
          </w:p>
          <w:p>
            <w:pPr>
              <w:ind w:firstLine="480"/>
            </w:pPr>
            <w:r>
              <w:rPr>
                <w:rFonts w:hint="eastAsia"/>
              </w:rPr>
              <w:t>本项目实验废气采用“二级活性炭纤维+碱液喷淋塔”处理，在废气处理装置非正常工作时，如：活性炭未及时更换，导致活性炭吸附有机废气效率降低；或碱液喷淋塔碱液量不足，导致酸性废气去除效率降低，导致废气事故排放。</w:t>
            </w:r>
          </w:p>
          <w:p>
            <w:pPr>
              <w:ind w:firstLine="480"/>
            </w:pPr>
            <w:r>
              <w:rPr>
                <w:rFonts w:hint="eastAsia"/>
              </w:rPr>
              <w:t>（3）废水事故排放</w:t>
            </w:r>
          </w:p>
          <w:p>
            <w:pPr>
              <w:ind w:firstLine="480"/>
            </w:pPr>
            <w:r>
              <w:rPr>
                <w:rFonts w:hint="eastAsia"/>
              </w:rPr>
              <w:t>现有项目建有</w:t>
            </w:r>
            <w:r>
              <w:t>2</w:t>
            </w:r>
            <w:r>
              <w:rPr>
                <w:rFonts w:hint="eastAsia"/>
              </w:rPr>
              <w:t>套实验室废水一体化处理装置用于处理实验室废水，废水处理装置非正常工作时（如：污水泵、加药泵等设备损坏，维修，不能正常工作）可能会导致废水未经处理直接排放。</w:t>
            </w:r>
          </w:p>
          <w:p>
            <w:pPr>
              <w:ind w:firstLine="480"/>
            </w:pPr>
            <w:r>
              <w:rPr>
                <w:rFonts w:hint="eastAsia"/>
              </w:rPr>
              <w:t>（4）火灾、爆炸事故</w:t>
            </w:r>
          </w:p>
          <w:p>
            <w:pPr>
              <w:ind w:firstLine="480"/>
            </w:pPr>
            <w:r>
              <w:rPr>
                <w:rFonts w:hint="eastAsia"/>
              </w:rPr>
              <w:t>①人员操作失误可能引发的各种人为事故，包括设备故障运行、人为造成的设备损坏引发失火、爆炸等事故。</w:t>
            </w:r>
          </w:p>
          <w:p>
            <w:pPr>
              <w:ind w:firstLine="480"/>
            </w:pPr>
            <w:r>
              <w:rPr>
                <w:rFonts w:hint="eastAsia"/>
              </w:rPr>
              <w:t>②设备故障事故及检修，实验室内设备长时间使用或者老化引起的设备短路等可能引起失火事故。</w:t>
            </w:r>
          </w:p>
          <w:p>
            <w:pPr>
              <w:ind w:firstLine="480"/>
            </w:pPr>
            <w:r>
              <w:rPr>
                <w:rFonts w:hint="eastAsia"/>
              </w:rPr>
              <w:t>3、环境风险防范措施</w:t>
            </w:r>
          </w:p>
          <w:p>
            <w:pPr>
              <w:ind w:firstLine="480"/>
            </w:pPr>
            <w:r>
              <w:rPr>
                <w:rFonts w:hint="eastAsia"/>
              </w:rPr>
              <w:t>（1）化学品、液态危险废物泄漏风险防范措施</w:t>
            </w:r>
          </w:p>
          <w:p>
            <w:pPr>
              <w:ind w:firstLine="480"/>
            </w:pPr>
            <w:r>
              <w:rPr>
                <w:rFonts w:hint="eastAsia"/>
              </w:rPr>
              <w:t>①建立健全实验室安全管理要求</w:t>
            </w:r>
          </w:p>
          <w:p>
            <w:pPr>
              <w:ind w:firstLine="480"/>
            </w:pPr>
            <w:r>
              <w:rPr>
                <w:rFonts w:hint="eastAsia"/>
              </w:rPr>
              <w:t>化学品及药品存放管理要求：</w:t>
            </w:r>
          </w:p>
          <w:p>
            <w:pPr>
              <w:ind w:firstLine="480"/>
            </w:pPr>
            <w:r>
              <w:rPr>
                <w:rFonts w:hint="eastAsia"/>
              </w:rPr>
              <w:t>a、分类、分区存放，且符合国家有关规定。</w:t>
            </w:r>
          </w:p>
          <w:p>
            <w:pPr>
              <w:ind w:firstLine="480"/>
            </w:pPr>
            <w:r>
              <w:rPr>
                <w:rFonts w:hint="eastAsia"/>
              </w:rPr>
              <w:t>b、遇火、遇潮容易燃烧、爆炸或产生有毒气体的危险物品，不得在露天、潮湿、漏雨和低洼容易积水的地点存放。</w:t>
            </w:r>
          </w:p>
          <w:p>
            <w:pPr>
              <w:ind w:firstLine="480"/>
            </w:pPr>
            <w:r>
              <w:rPr>
                <w:rFonts w:hint="eastAsia"/>
              </w:rPr>
              <w:t>c、受阳光照射容易燃烧、爆炸或产生有毒气体的危险物品和桶装、罐装等易燃液体、气体应当在阴凉通风地点存放。</w:t>
            </w:r>
          </w:p>
          <w:p>
            <w:pPr>
              <w:ind w:firstLine="480"/>
            </w:pPr>
            <w:r>
              <w:rPr>
                <w:rFonts w:hint="eastAsia"/>
              </w:rPr>
              <w:t>d、化学性质或防护、灭火方法相互抵触的危险物品，不得在同一仓库或同一储存室内存放。</w:t>
            </w:r>
          </w:p>
          <w:p>
            <w:pPr>
              <w:ind w:firstLine="480"/>
            </w:pPr>
            <w:r>
              <w:rPr>
                <w:rFonts w:hint="eastAsia"/>
              </w:rPr>
              <w:t>e、实验室地面做防渗层，地面硬化处理，确保泄漏的化学试剂不会下渗；</w:t>
            </w:r>
          </w:p>
          <w:p>
            <w:pPr>
              <w:ind w:firstLine="480"/>
            </w:pPr>
            <w:r>
              <w:rPr>
                <w:rFonts w:hint="eastAsia"/>
              </w:rPr>
              <w:t>f、盛装压缩气体的钢瓶，应按规定定期进行技术检验；各类气瓶应按照《建筑防火设计规范》（2018版）中相关要求限量储存，并储存于单独的气瓶室内，原理火源、热源，设置明显的禁止烟火标志，完善相应安全管理制度；</w:t>
            </w:r>
          </w:p>
          <w:p>
            <w:pPr>
              <w:ind w:firstLine="480"/>
            </w:pPr>
            <w:r>
              <w:rPr>
                <w:rFonts w:hint="eastAsia"/>
              </w:rPr>
              <w:t>g、库房搬运应轻拿、轻放，严防震动、撞击、重压、倾倒和摩擦；</w:t>
            </w:r>
          </w:p>
          <w:p>
            <w:pPr>
              <w:ind w:firstLine="480"/>
            </w:pPr>
            <w:r>
              <w:rPr>
                <w:rFonts w:hint="eastAsia"/>
              </w:rPr>
              <w:t>h、存放实验药品的房间应设置事故槽，以防药品泄漏后，造成二次污染等；</w:t>
            </w:r>
          </w:p>
          <w:p>
            <w:pPr>
              <w:ind w:firstLine="480"/>
            </w:pPr>
            <w:r>
              <w:rPr>
                <w:rFonts w:hint="eastAsia"/>
              </w:rPr>
              <w:t>i、项目在运营过程中，应加强对危险化学品的管理。对于危险化学品的购买、储存、保管、使用等需按照《危险化学品安全管理条例》之规定管理。危险化学品必须储存在专用仓库、专用场地或者专用储存室内，其储存方式、方法与储存数量必须符合国家标准，并由专人管理，危险化学品出入库，必须进行核查登记，并定期检查库存，确保项目内的危险化学品和各类药品做到妥善管理；</w:t>
            </w:r>
          </w:p>
          <w:p>
            <w:pPr>
              <w:ind w:firstLine="480"/>
            </w:pPr>
            <w:r>
              <w:rPr>
                <w:rFonts w:hint="eastAsia"/>
              </w:rPr>
              <w:t>j、液态化学品及危险废物暂存容器下方设置防渗托盘，并设置空桶作为备用收容设施。</w:t>
            </w:r>
          </w:p>
          <w:p>
            <w:pPr>
              <w:ind w:firstLine="480"/>
            </w:pPr>
            <w:r>
              <w:rPr>
                <w:rFonts w:hint="eastAsia"/>
              </w:rPr>
              <w:t>有毒药品（含易制毒、易制爆药品）管理要求：</w:t>
            </w:r>
          </w:p>
          <w:p>
            <w:pPr>
              <w:ind w:firstLine="480"/>
            </w:pPr>
            <w:r>
              <w:rPr>
                <w:rFonts w:hint="eastAsia"/>
              </w:rPr>
              <w:t>a、有毒药品保管要有专柜，专柜实行双人双锁保管。药品存放、发放时，二人均需在场，互相监督签发。</w:t>
            </w:r>
          </w:p>
          <w:p>
            <w:pPr>
              <w:ind w:firstLine="480"/>
            </w:pPr>
            <w:r>
              <w:rPr>
                <w:rFonts w:hint="eastAsia"/>
              </w:rPr>
              <w:t>b、保管员在配发有毒药品时，应符合操作规程，认真做好防护，操作完毕要清洗。</w:t>
            </w:r>
          </w:p>
          <w:p>
            <w:pPr>
              <w:ind w:firstLine="480"/>
            </w:pPr>
            <w:r>
              <w:rPr>
                <w:rFonts w:hint="eastAsia"/>
              </w:rPr>
              <w:t>c、有毒药品储存，必须按其化学性质分类存放，不得与其他药品混放。</w:t>
            </w:r>
          </w:p>
          <w:p>
            <w:pPr>
              <w:ind w:firstLine="480"/>
            </w:pPr>
            <w:r>
              <w:rPr>
                <w:rFonts w:hint="eastAsia"/>
              </w:rPr>
              <w:t>d、有毒药品柜内，要有所存药品卡片账，并有专用的量器及分装器材。</w:t>
            </w:r>
          </w:p>
          <w:p>
            <w:pPr>
              <w:ind w:firstLine="480"/>
            </w:pPr>
            <w:r>
              <w:rPr>
                <w:rFonts w:hint="eastAsia"/>
              </w:rPr>
              <w:t>e、存放有毒药品的容器或其他相关容器，必须贴有特殊标志的标签。</w:t>
            </w:r>
          </w:p>
          <w:p>
            <w:pPr>
              <w:ind w:firstLine="480"/>
            </w:pPr>
            <w:r>
              <w:rPr>
                <w:rFonts w:hint="eastAsia"/>
              </w:rPr>
              <w:t>②化学品、实验废液泄漏应急处置措施</w:t>
            </w:r>
          </w:p>
          <w:p>
            <w:pPr>
              <w:ind w:firstLine="480"/>
            </w:pPr>
            <w:r>
              <w:rPr>
                <w:rFonts w:hint="eastAsia"/>
              </w:rPr>
              <w:t>a、液体泄漏。迅速撤离泄漏污染区人员至安全区，并立即隔离150m，严格限制出入。切断火源。建议应急处理人员戴自给正压式呼吸器，穿防毒服。尽可能切断泄漏源。防止流入下水道、排洪沟等限制性空间。小量泄漏：用砂土、干燥石灰或苏打灰混合，单独收集后最为危险废物进行处理。也可以用不燃性分散剂制成的乳液刷洗，洗液稀释后放入废水系统。</w:t>
            </w:r>
          </w:p>
          <w:p>
            <w:pPr>
              <w:ind w:firstLine="480"/>
            </w:pPr>
            <w:r>
              <w:rPr>
                <w:rFonts w:hint="eastAsia"/>
              </w:rPr>
              <w:t>大量泄漏：构筑围堤收容。用泵转移至槽车或专用收集器内，回收或运至废物处理场所处置。</w:t>
            </w:r>
          </w:p>
          <w:p>
            <w:pPr>
              <w:ind w:firstLine="480"/>
            </w:pPr>
            <w:r>
              <w:rPr>
                <w:rFonts w:hint="eastAsia"/>
              </w:rPr>
              <w:t>b、气体泄漏。迅速撤离泄漏污染区人员至上风处，并立即进行隔离，小泄漏时隔离150m，大泄漏时隔离450m，严格限制出入。应急处理人员戴自给正压式呼吸器，穿防毒服。尽可能切断泄漏源。合理通风，加速扩散。喷雾状水稀释、溶解。构筑围堤或挖坑收容产生的大量废水，并用管道将泄漏物导致还原剂溶液，或可以将漏气钢瓶浸入石灰乳液中。漏气容器经妥善处理，修复、检验后再用。</w:t>
            </w:r>
          </w:p>
          <w:p>
            <w:pPr>
              <w:ind w:firstLine="480"/>
            </w:pPr>
            <w:r>
              <w:rPr>
                <w:rFonts w:hint="eastAsia"/>
              </w:rPr>
              <w:t>（2）废水、废气事故排放风险防范措施</w:t>
            </w:r>
          </w:p>
          <w:p>
            <w:pPr>
              <w:ind w:firstLine="480"/>
            </w:pPr>
            <w:r>
              <w:rPr>
                <w:rFonts w:hint="eastAsia"/>
              </w:rPr>
              <w:t>①环评要求建设单位设置专人对废气处理装置、废水处理装置进行运行管理，定期维护，尽可能避免污染治理设施因管理不善出现故障。</w:t>
            </w:r>
          </w:p>
          <w:p>
            <w:pPr>
              <w:ind w:firstLine="480"/>
            </w:pPr>
            <w:r>
              <w:rPr>
                <w:rFonts w:hint="eastAsia"/>
              </w:rPr>
              <w:t>②制定事故应急预案，在废气处理装置发生故障时，应停止对应实验室的检验检测工作，并立即安排人员进行维修，待检修合格后方可恢复相应检测工作；废水处理设施发生故障时，应立即停止实验室内所有产生废水的检验检测活动，必要情况下将废水处理设施中的废水排入废水收集池中暂存，并立即安排人员进行维修，待检修合格后方可恢复相应检测工作，禁止在污染治理设施故障时排污。</w:t>
            </w:r>
          </w:p>
          <w:p>
            <w:pPr>
              <w:ind w:firstLine="480"/>
            </w:pPr>
            <w:r>
              <w:rPr>
                <w:rFonts w:hint="eastAsia"/>
              </w:rPr>
              <w:t>（3）火灾、爆炸事故风险防范措施</w:t>
            </w:r>
          </w:p>
          <w:p>
            <w:pPr>
              <w:ind w:firstLine="480"/>
            </w:pPr>
            <w:r>
              <w:rPr>
                <w:rFonts w:hint="eastAsia"/>
              </w:rPr>
              <w:t>①严格按照实验室消防要求落实消防设施布置，完善消防管理制度，实验室内严禁烟火；</w:t>
            </w:r>
          </w:p>
          <w:p>
            <w:pPr>
              <w:ind w:firstLine="480"/>
            </w:pPr>
            <w:r>
              <w:rPr>
                <w:rFonts w:hint="eastAsia"/>
              </w:rPr>
              <w:t>②厂区雨水总排口设置截止阀，事故状态下立即截断雨水排口阀门，将消防废水抽至市政污水管网排放。</w:t>
            </w:r>
          </w:p>
          <w:p>
            <w:pPr>
              <w:ind w:firstLine="480"/>
            </w:pPr>
            <w:r>
              <w:rPr>
                <w:rFonts w:hint="eastAsia"/>
              </w:rPr>
              <w:t>4、风险应急预案</w:t>
            </w:r>
          </w:p>
          <w:p>
            <w:pPr>
              <w:ind w:firstLine="480"/>
              <w:rPr>
                <w:bCs/>
              </w:rPr>
            </w:pPr>
            <w:r>
              <w:rPr>
                <w:bCs/>
              </w:rPr>
              <w:t>对可能发生的事故，建设单位应制定相应的应急预案，在风险发生时能做出最快的处理和防范，使风险降到最低。事故发生后，应根据具体情况采取应急措施，切断泄漏源、火源，控制事故扩大，同时根据事故类型、大小启动相应的应急预案；事故发生后，应立即通知当地突发事故领导小组、环保、卫生、消防、供电、自来水公司等部门，进行必要的救援与监控。发生重大事故，应立即上报相关部门，启动社会救援系统，就近地区调拨专业救援队伍协助处理，并及时做好撤离疏散工作。</w:t>
            </w:r>
          </w:p>
          <w:p>
            <w:pPr>
              <w:ind w:firstLine="480"/>
            </w:pPr>
            <w:r>
              <w:rPr>
                <w:bCs/>
              </w:rPr>
              <w:t>本项目没有构成重大危险源，项目不在环境敏感地区。建设单位只要按照设计</w:t>
            </w:r>
            <w:r>
              <w:rPr>
                <w:rFonts w:hint="eastAsia"/>
                <w:bCs/>
              </w:rPr>
              <w:t>要</w:t>
            </w:r>
            <w:r>
              <w:rPr>
                <w:bCs/>
              </w:rPr>
              <w:t>求严格施工，并在切实</w:t>
            </w:r>
            <w:r>
              <w:rPr>
                <w:rFonts w:hint="eastAsia"/>
                <w:bCs/>
              </w:rPr>
              <w:t>落实</w:t>
            </w:r>
            <w:r>
              <w:rPr>
                <w:bCs/>
              </w:rPr>
              <w:t>评价中所提出的各项综合风险防范、事故处置、应急措施的基础上，风险事故的环境影响控制在可接受范围内。</w:t>
            </w:r>
          </w:p>
          <w:p>
            <w:pPr>
              <w:ind w:firstLine="480"/>
            </w:pPr>
            <w:r>
              <w:rPr>
                <w:rFonts w:hint="eastAsia"/>
              </w:rPr>
              <w:t>5、风险结论</w:t>
            </w:r>
          </w:p>
          <w:p>
            <w:pPr>
              <w:ind w:firstLine="480"/>
            </w:pPr>
            <w:r>
              <w:rPr>
                <w:rFonts w:hint="eastAsia"/>
              </w:rPr>
              <w:t>营运期落实本报告提出的各项措施、建立和落实各项风险预警防范措施和事故应急计划，杜绝重大安全事故和重大环境污染事故的发生，可使项目建成后风险水平处于可接受程度。</w:t>
            </w:r>
          </w:p>
          <w:p>
            <w:pPr>
              <w:pStyle w:val="158"/>
            </w:pPr>
            <w:r>
              <w:rPr>
                <w:rFonts w:hint="eastAsia"/>
              </w:rPr>
              <w:t>七、</w:t>
            </w:r>
            <w:r>
              <w:t>环保设施投资</w:t>
            </w:r>
          </w:p>
          <w:p>
            <w:pPr>
              <w:ind w:firstLine="480"/>
              <w:rPr>
                <w:b/>
                <w:bCs/>
              </w:rPr>
            </w:pPr>
            <w:r>
              <w:rPr>
                <w:rFonts w:hint="eastAsia"/>
              </w:rPr>
              <w:t>本项目总投资</w:t>
            </w:r>
            <w:r>
              <w:t>451</w:t>
            </w:r>
            <w:r>
              <w:rPr>
                <w:rFonts w:hint="eastAsia"/>
              </w:rPr>
              <w:t>万元，通过估算本项目环保投资约</w:t>
            </w:r>
            <w:r>
              <w:t>32.5</w:t>
            </w:r>
            <w:r>
              <w:rPr>
                <w:rFonts w:hint="eastAsia"/>
              </w:rPr>
              <w:t>万元，占工程总投资的</w:t>
            </w:r>
            <w:r>
              <w:t>7.21</w:t>
            </w:r>
            <w:r>
              <w:rPr>
                <w:rFonts w:hint="eastAsia"/>
              </w:rPr>
              <w:t>%，需投入的环保设施及投资见表</w:t>
            </w:r>
            <w:r>
              <w:t>4.7-1</w:t>
            </w:r>
            <w:r>
              <w:rPr>
                <w:rFonts w:hint="eastAsia"/>
              </w:rPr>
              <w:t>。</w:t>
            </w:r>
          </w:p>
          <w:p>
            <w:pPr>
              <w:pStyle w:val="157"/>
              <w:ind w:firstLine="420"/>
            </w:pPr>
            <w:r>
              <w:t>表4.7-1  项目环保设施及投资一览表</w:t>
            </w:r>
            <w:r>
              <w:rPr>
                <w:rFonts w:hint="eastAsia"/>
              </w:rPr>
              <w:t xml:space="preserve"> </w:t>
            </w:r>
            <w:r>
              <w:t xml:space="preserve"> </w:t>
            </w:r>
            <w:r>
              <w:rPr>
                <w:rFonts w:hint="eastAsia"/>
              </w:rPr>
              <w:t>单位：万元</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49"/>
              <w:gridCol w:w="851"/>
              <w:gridCol w:w="5670"/>
              <w:gridCol w:w="7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520" w:type="pct"/>
                  <w:vAlign w:val="center"/>
                </w:tcPr>
                <w:p>
                  <w:pPr>
                    <w:pStyle w:val="136"/>
                    <w:adjustRightInd w:val="0"/>
                    <w:snapToGrid w:val="0"/>
                    <w:rPr>
                      <w:b/>
                    </w:rPr>
                  </w:pPr>
                  <w:r>
                    <w:rPr>
                      <w:b/>
                    </w:rPr>
                    <w:t>项目</w:t>
                  </w:r>
                </w:p>
              </w:tc>
              <w:tc>
                <w:tcPr>
                  <w:tcW w:w="522" w:type="pct"/>
                  <w:vAlign w:val="center"/>
                </w:tcPr>
                <w:p>
                  <w:pPr>
                    <w:pStyle w:val="136"/>
                    <w:adjustRightInd w:val="0"/>
                    <w:snapToGrid w:val="0"/>
                    <w:rPr>
                      <w:b/>
                    </w:rPr>
                  </w:pPr>
                  <w:r>
                    <w:rPr>
                      <w:rFonts w:hint="eastAsia"/>
                      <w:b/>
                    </w:rPr>
                    <w:t>污染源</w:t>
                  </w:r>
                </w:p>
              </w:tc>
              <w:tc>
                <w:tcPr>
                  <w:tcW w:w="3476" w:type="pct"/>
                  <w:vAlign w:val="center"/>
                </w:tcPr>
                <w:p>
                  <w:pPr>
                    <w:pStyle w:val="136"/>
                    <w:adjustRightInd w:val="0"/>
                    <w:snapToGrid w:val="0"/>
                    <w:rPr>
                      <w:b/>
                    </w:rPr>
                  </w:pPr>
                  <w:r>
                    <w:rPr>
                      <w:b/>
                    </w:rPr>
                    <w:t>防治措施</w:t>
                  </w:r>
                </w:p>
              </w:tc>
              <w:tc>
                <w:tcPr>
                  <w:tcW w:w="482" w:type="pct"/>
                  <w:vAlign w:val="center"/>
                </w:tcPr>
                <w:p>
                  <w:pPr>
                    <w:pStyle w:val="136"/>
                    <w:adjustRightInd w:val="0"/>
                    <w:snapToGrid w:val="0"/>
                    <w:rPr>
                      <w:b/>
                    </w:rPr>
                  </w:pPr>
                  <w:r>
                    <w:rPr>
                      <w:b/>
                    </w:rPr>
                    <w:t>环保投资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520" w:type="pct"/>
                  <w:vAlign w:val="center"/>
                </w:tcPr>
                <w:p>
                  <w:pPr>
                    <w:pStyle w:val="136"/>
                    <w:adjustRightInd w:val="0"/>
                    <w:snapToGrid w:val="0"/>
                  </w:pPr>
                  <w:r>
                    <w:t>废气治理</w:t>
                  </w:r>
                </w:p>
              </w:tc>
              <w:tc>
                <w:tcPr>
                  <w:tcW w:w="522" w:type="pct"/>
                  <w:vAlign w:val="center"/>
                </w:tcPr>
                <w:p>
                  <w:pPr>
                    <w:pStyle w:val="136"/>
                    <w:adjustRightInd w:val="0"/>
                    <w:snapToGrid w:val="0"/>
                  </w:pPr>
                  <w:r>
                    <w:rPr>
                      <w:rFonts w:hint="eastAsia"/>
                    </w:rPr>
                    <w:t>实验室废气</w:t>
                  </w:r>
                </w:p>
              </w:tc>
              <w:tc>
                <w:tcPr>
                  <w:tcW w:w="3476" w:type="pct"/>
                  <w:vAlign w:val="center"/>
                </w:tcPr>
                <w:p>
                  <w:pPr>
                    <w:pStyle w:val="136"/>
                    <w:adjustRightInd w:val="0"/>
                    <w:snapToGrid w:val="0"/>
                    <w:jc w:val="both"/>
                  </w:pPr>
                  <w:r>
                    <w:rPr>
                      <w:rFonts w:hint="eastAsia"/>
                    </w:rPr>
                    <w:t>实验室废气经通风柜、集气罩、万向排气罩收集后，通过通风井排至楼顶2套废气处理措施（二级活性炭纤维+碱液喷淋塔）处理后，通过2</w:t>
                  </w:r>
                  <w:r>
                    <w:t>5</w:t>
                  </w:r>
                  <w:r>
                    <w:rPr>
                      <w:rFonts w:hint="eastAsia"/>
                    </w:rPr>
                    <w:t>m排气筒排放</w:t>
                  </w:r>
                </w:p>
              </w:tc>
              <w:tc>
                <w:tcPr>
                  <w:tcW w:w="482" w:type="pct"/>
                  <w:vAlign w:val="center"/>
                </w:tcPr>
                <w:p>
                  <w:pPr>
                    <w:pStyle w:val="136"/>
                    <w:adjustRightInd w:val="0"/>
                    <w:snapToGrid w:val="0"/>
                  </w:pPr>
                  <w:r>
                    <w:rPr>
                      <w:rFonts w:hint="eastAsia"/>
                    </w:rPr>
                    <w:t>1</w:t>
                  </w:r>
                  <w: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520" w:type="pct"/>
                  <w:vMerge w:val="restart"/>
                  <w:vAlign w:val="center"/>
                </w:tcPr>
                <w:p>
                  <w:pPr>
                    <w:pStyle w:val="136"/>
                    <w:adjustRightInd w:val="0"/>
                    <w:snapToGrid w:val="0"/>
                  </w:pPr>
                  <w:r>
                    <w:t>废水治理</w:t>
                  </w:r>
                </w:p>
              </w:tc>
              <w:tc>
                <w:tcPr>
                  <w:tcW w:w="522" w:type="pct"/>
                  <w:vAlign w:val="center"/>
                </w:tcPr>
                <w:p>
                  <w:pPr>
                    <w:pStyle w:val="136"/>
                    <w:adjustRightInd w:val="0"/>
                    <w:snapToGrid w:val="0"/>
                  </w:pPr>
                  <w:r>
                    <w:rPr>
                      <w:rFonts w:hint="eastAsia"/>
                    </w:rPr>
                    <w:t>生产废水</w:t>
                  </w:r>
                </w:p>
              </w:tc>
              <w:tc>
                <w:tcPr>
                  <w:tcW w:w="3476" w:type="pct"/>
                  <w:vAlign w:val="center"/>
                </w:tcPr>
                <w:p>
                  <w:pPr>
                    <w:pStyle w:val="136"/>
                    <w:adjustRightInd w:val="0"/>
                    <w:snapToGrid w:val="0"/>
                    <w:jc w:val="both"/>
                  </w:pPr>
                  <w:r>
                    <w:rPr>
                      <w:rFonts w:hint="eastAsia"/>
                    </w:rPr>
                    <w:t>本项目在</w:t>
                  </w:r>
                  <w:r>
                    <w:t>1</w:t>
                  </w:r>
                  <w:r>
                    <w:rPr>
                      <w:rFonts w:hint="eastAsia"/>
                    </w:rPr>
                    <w:t>楼和4楼分别设置1台一体化废水处理设施，处理规模均为0</w:t>
                  </w:r>
                  <w:r>
                    <w:t>.3</w:t>
                  </w:r>
                  <w:r>
                    <w:rPr>
                      <w:rFonts w:hint="eastAsia"/>
                    </w:rPr>
                    <w:t>m</w:t>
                  </w:r>
                  <w:r>
                    <w:rPr>
                      <w:vertAlign w:val="superscript"/>
                    </w:rPr>
                    <w:t>3</w:t>
                  </w:r>
                  <w:r>
                    <w:t>/</w:t>
                  </w:r>
                  <w:r>
                    <w:rPr>
                      <w:rFonts w:hint="eastAsia"/>
                    </w:rPr>
                    <w:t>d（共0</w:t>
                  </w:r>
                  <w:r>
                    <w:t>.6</w:t>
                  </w:r>
                  <w:r>
                    <w:rPr>
                      <w:rFonts w:hint="eastAsia"/>
                    </w:rPr>
                    <w:t>m</w:t>
                  </w:r>
                  <w:r>
                    <w:rPr>
                      <w:vertAlign w:val="superscript"/>
                    </w:rPr>
                    <w:t>3</w:t>
                  </w:r>
                  <w:r>
                    <w:t>/</w:t>
                  </w:r>
                  <w:r>
                    <w:rPr>
                      <w:rFonts w:hint="eastAsia"/>
                    </w:rPr>
                    <w:t>d），采用“集水箱</w:t>
                  </w:r>
                  <w:r>
                    <w:rPr>
                      <w:rFonts w:hint="eastAsia"/>
                      <w:szCs w:val="18"/>
                    </w:rPr>
                    <w:t>+pH调节+混凝沉淀+光催化降解+复合过滤+紫外消毒</w:t>
                  </w:r>
                  <w:r>
                    <w:rPr>
                      <w:rFonts w:hint="eastAsia"/>
                    </w:rPr>
                    <w:t>”处理工艺，废水经处理达《污水综合排放标准》（</w:t>
                  </w:r>
                  <w:r>
                    <w:t>GB8978-1996</w:t>
                  </w:r>
                  <w:r>
                    <w:rPr>
                      <w:rFonts w:hint="eastAsia"/>
                    </w:rPr>
                    <w:t>）三级标准后，于厂区西</w:t>
                  </w:r>
                  <w:r>
                    <w:t>侧</w:t>
                  </w:r>
                  <w:r>
                    <w:rPr>
                      <w:rFonts w:hint="eastAsia"/>
                    </w:rPr>
                    <w:t>市政污水管网碰管</w:t>
                  </w:r>
                  <w:r>
                    <w:rPr>
                      <w:rStyle w:val="194"/>
                      <w:rFonts w:hint="eastAsia"/>
                      <w:color w:val="auto"/>
                    </w:rPr>
                    <w:t>，</w:t>
                  </w:r>
                  <w:r>
                    <w:rPr>
                      <w:rFonts w:hint="eastAsia"/>
                    </w:rPr>
                    <w:t>通过市政污水管网排入巴中经济开发区污水处理厂（</w:t>
                  </w:r>
                  <w:r>
                    <w:t>1</w:t>
                  </w:r>
                  <w:r>
                    <w:rPr>
                      <w:rFonts w:hint="eastAsia"/>
                    </w:rPr>
                    <w:t>期，1</w:t>
                  </w:r>
                  <w:r>
                    <w:t>.99</w:t>
                  </w:r>
                  <w:r>
                    <w:rPr>
                      <w:rFonts w:hint="eastAsia"/>
                    </w:rPr>
                    <w:t>万m</w:t>
                  </w:r>
                  <w:r>
                    <w:rPr>
                      <w:vertAlign w:val="superscript"/>
                    </w:rPr>
                    <w:t>3</w:t>
                  </w:r>
                  <w:r>
                    <w:t>/</w:t>
                  </w:r>
                  <w:r>
                    <w:rPr>
                      <w:rFonts w:hint="eastAsia"/>
                    </w:rPr>
                    <w:t>d）处理达《城镇污水处理厂污染物排放标准》（GB18918-2002）中一级A标准后排入巴河。</w:t>
                  </w:r>
                </w:p>
              </w:tc>
              <w:tc>
                <w:tcPr>
                  <w:tcW w:w="482" w:type="pct"/>
                  <w:vAlign w:val="center"/>
                </w:tcPr>
                <w:p>
                  <w:pPr>
                    <w:pStyle w:val="136"/>
                    <w:adjustRightInd w:val="0"/>
                    <w:snapToGrid w:val="0"/>
                  </w:pPr>
                  <w:r>
                    <w:rPr>
                      <w:rFonts w:hint="eastAsia"/>
                    </w:rPr>
                    <w:t>1</w:t>
                  </w:r>
                  <w: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520" w:type="pct"/>
                  <w:vMerge w:val="continue"/>
                  <w:vAlign w:val="center"/>
                </w:tcPr>
                <w:p>
                  <w:pPr>
                    <w:pStyle w:val="136"/>
                    <w:adjustRightInd w:val="0"/>
                    <w:snapToGrid w:val="0"/>
                  </w:pPr>
                </w:p>
              </w:tc>
              <w:tc>
                <w:tcPr>
                  <w:tcW w:w="522" w:type="pct"/>
                  <w:vAlign w:val="center"/>
                </w:tcPr>
                <w:p>
                  <w:pPr>
                    <w:pStyle w:val="136"/>
                    <w:adjustRightInd w:val="0"/>
                    <w:snapToGrid w:val="0"/>
                  </w:pPr>
                  <w:r>
                    <w:rPr>
                      <w:rFonts w:hint="eastAsia"/>
                    </w:rPr>
                    <w:t>生活污水</w:t>
                  </w:r>
                </w:p>
              </w:tc>
              <w:tc>
                <w:tcPr>
                  <w:tcW w:w="3476" w:type="pct"/>
                  <w:vAlign w:val="center"/>
                </w:tcPr>
                <w:p>
                  <w:pPr>
                    <w:pStyle w:val="136"/>
                    <w:adjustRightInd w:val="0"/>
                    <w:snapToGrid w:val="0"/>
                    <w:jc w:val="both"/>
                  </w:pPr>
                  <w:r>
                    <w:rPr>
                      <w:rFonts w:hint="eastAsia"/>
                    </w:rPr>
                    <w:t>经</w:t>
                  </w:r>
                  <w:r>
                    <w:rPr>
                      <w:rStyle w:val="194"/>
                      <w:color w:val="auto"/>
                      <w:sz w:val="18"/>
                    </w:rPr>
                    <w:t>生活污水预处理池</w:t>
                  </w:r>
                  <w:r>
                    <w:rPr>
                      <w:rStyle w:val="194"/>
                      <w:rFonts w:hint="eastAsia"/>
                      <w:color w:val="auto"/>
                      <w:sz w:val="18"/>
                    </w:rPr>
                    <w:t>（处理规模</w:t>
                  </w:r>
                  <w:r>
                    <w:rPr>
                      <w:rStyle w:val="194"/>
                      <w:color w:val="auto"/>
                      <w:sz w:val="18"/>
                    </w:rPr>
                    <w:t>10m</w:t>
                  </w:r>
                  <w:r>
                    <w:rPr>
                      <w:rStyle w:val="194"/>
                      <w:color w:val="auto"/>
                      <w:sz w:val="18"/>
                      <w:vertAlign w:val="superscript"/>
                    </w:rPr>
                    <w:t>3</w:t>
                  </w:r>
                  <w:r>
                    <w:rPr>
                      <w:rStyle w:val="194"/>
                      <w:color w:val="auto"/>
                      <w:sz w:val="18"/>
                    </w:rPr>
                    <w:t>/d，</w:t>
                  </w:r>
                  <w:r>
                    <w:rPr>
                      <w:rStyle w:val="194"/>
                      <w:rFonts w:hint="eastAsia"/>
                      <w:color w:val="auto"/>
                      <w:sz w:val="18"/>
                    </w:rPr>
                    <w:t>位于厂区西侧）处理后，于厂区西</w:t>
                  </w:r>
                  <w:r>
                    <w:rPr>
                      <w:rStyle w:val="194"/>
                      <w:color w:val="auto"/>
                      <w:sz w:val="18"/>
                    </w:rPr>
                    <w:t>侧</w:t>
                  </w:r>
                  <w:r>
                    <w:rPr>
                      <w:rStyle w:val="194"/>
                      <w:rFonts w:hint="eastAsia"/>
                      <w:color w:val="auto"/>
                      <w:sz w:val="18"/>
                    </w:rPr>
                    <w:t>市政污水管网碰管，</w:t>
                  </w:r>
                  <w:r>
                    <w:rPr>
                      <w:rFonts w:hint="eastAsia"/>
                    </w:rPr>
                    <w:t>通过市政污水管网排入巴中经济开发区污水处理厂（</w:t>
                  </w:r>
                  <w:r>
                    <w:t>1</w:t>
                  </w:r>
                  <w:r>
                    <w:rPr>
                      <w:rFonts w:hint="eastAsia"/>
                    </w:rPr>
                    <w:t>期，1</w:t>
                  </w:r>
                  <w:r>
                    <w:t>.99</w:t>
                  </w:r>
                  <w:r>
                    <w:rPr>
                      <w:rFonts w:hint="eastAsia"/>
                    </w:rPr>
                    <w:t>万m</w:t>
                  </w:r>
                  <w:r>
                    <w:rPr>
                      <w:vertAlign w:val="superscript"/>
                    </w:rPr>
                    <w:t>3</w:t>
                  </w:r>
                  <w:r>
                    <w:t>/</w:t>
                  </w:r>
                  <w:r>
                    <w:rPr>
                      <w:rFonts w:hint="eastAsia"/>
                    </w:rPr>
                    <w:t>d）处理达《城镇污水处理厂污染物排放标准》（GB18918-2002）中一级A标准后排入巴河</w:t>
                  </w:r>
                </w:p>
              </w:tc>
              <w:tc>
                <w:tcPr>
                  <w:tcW w:w="482" w:type="pct"/>
                  <w:vAlign w:val="center"/>
                </w:tcPr>
                <w:p>
                  <w:pPr>
                    <w:pStyle w:val="136"/>
                    <w:adjustRightInd w:val="0"/>
                    <w:snapToGrid w:val="0"/>
                  </w:pPr>
                  <w:r>
                    <w:rPr>
                      <w:rFonts w:hint="eastAsia"/>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520" w:type="pct"/>
                  <w:vAlign w:val="center"/>
                </w:tcPr>
                <w:p>
                  <w:pPr>
                    <w:pStyle w:val="136"/>
                    <w:adjustRightInd w:val="0"/>
                    <w:snapToGrid w:val="0"/>
                  </w:pPr>
                  <w:r>
                    <w:t>噪声治理</w:t>
                  </w:r>
                </w:p>
              </w:tc>
              <w:tc>
                <w:tcPr>
                  <w:tcW w:w="522" w:type="pct"/>
                  <w:vAlign w:val="center"/>
                </w:tcPr>
                <w:p>
                  <w:pPr>
                    <w:pStyle w:val="136"/>
                    <w:adjustRightInd w:val="0"/>
                    <w:snapToGrid w:val="0"/>
                  </w:pPr>
                  <w:r>
                    <w:rPr>
                      <w:rFonts w:hint="eastAsia"/>
                    </w:rPr>
                    <w:t>设备噪声</w:t>
                  </w:r>
                </w:p>
              </w:tc>
              <w:tc>
                <w:tcPr>
                  <w:tcW w:w="3476" w:type="pct"/>
                  <w:vAlign w:val="center"/>
                </w:tcPr>
                <w:p>
                  <w:pPr>
                    <w:pStyle w:val="136"/>
                    <w:adjustRightInd w:val="0"/>
                    <w:snapToGrid w:val="0"/>
                  </w:pPr>
                  <w:r>
                    <w:t>选用低噪声设备；设备进行基础减振、</w:t>
                  </w:r>
                  <w:r>
                    <w:rPr>
                      <w:rFonts w:hint="eastAsia"/>
                    </w:rPr>
                    <w:t>风机安装消声器、</w:t>
                  </w:r>
                  <w:r>
                    <w:t>房屋隔声</w:t>
                  </w:r>
                </w:p>
              </w:tc>
              <w:tc>
                <w:tcPr>
                  <w:tcW w:w="482" w:type="pct"/>
                  <w:vAlign w:val="center"/>
                </w:tcPr>
                <w:p>
                  <w:pPr>
                    <w:pStyle w:val="136"/>
                    <w:adjustRightInd w:val="0"/>
                    <w:snapToGrid w:val="0"/>
                  </w:pPr>
                  <w:r>
                    <w:rPr>
                      <w:rFonts w:hint="eastAsia"/>
                    </w:rPr>
                    <w:t>计入主体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520" w:type="pct"/>
                  <w:vMerge w:val="restart"/>
                  <w:vAlign w:val="center"/>
                </w:tcPr>
                <w:p>
                  <w:pPr>
                    <w:pStyle w:val="136"/>
                    <w:adjustRightInd w:val="0"/>
                    <w:snapToGrid w:val="0"/>
                  </w:pPr>
                  <w:r>
                    <w:t>固废治理</w:t>
                  </w:r>
                </w:p>
              </w:tc>
              <w:tc>
                <w:tcPr>
                  <w:tcW w:w="522" w:type="pct"/>
                  <w:vAlign w:val="center"/>
                </w:tcPr>
                <w:p>
                  <w:pPr>
                    <w:pStyle w:val="136"/>
                    <w:adjustRightInd w:val="0"/>
                    <w:snapToGrid w:val="0"/>
                  </w:pPr>
                  <w:r>
                    <w:rPr>
                      <w:rFonts w:hint="eastAsia"/>
                    </w:rPr>
                    <w:t>生活垃圾</w:t>
                  </w:r>
                </w:p>
              </w:tc>
              <w:tc>
                <w:tcPr>
                  <w:tcW w:w="3476" w:type="pct"/>
                  <w:vAlign w:val="center"/>
                </w:tcPr>
                <w:p>
                  <w:pPr>
                    <w:pStyle w:val="136"/>
                    <w:adjustRightInd w:val="0"/>
                    <w:snapToGrid w:val="0"/>
                  </w:pPr>
                  <w:r>
                    <w:t>定期由环卫部门统一清运</w:t>
                  </w:r>
                </w:p>
              </w:tc>
              <w:tc>
                <w:tcPr>
                  <w:tcW w:w="482" w:type="pct"/>
                  <w:vAlign w:val="center"/>
                </w:tcPr>
                <w:p>
                  <w:pPr>
                    <w:pStyle w:val="136"/>
                    <w:adjustRightInd w:val="0"/>
                    <w:snapToGrid w:val="0"/>
                  </w:pPr>
                  <w:r>
                    <w:rPr>
                      <w:rFonts w:hint="eastAsia"/>
                    </w:rPr>
                    <w:t>0.</w:t>
                  </w:r>
                  <w: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520" w:type="pct"/>
                  <w:vMerge w:val="continue"/>
                  <w:vAlign w:val="center"/>
                </w:tcPr>
                <w:p>
                  <w:pPr>
                    <w:pStyle w:val="136"/>
                    <w:adjustRightInd w:val="0"/>
                    <w:snapToGrid w:val="0"/>
                  </w:pPr>
                </w:p>
              </w:tc>
              <w:tc>
                <w:tcPr>
                  <w:tcW w:w="522" w:type="pct"/>
                  <w:vAlign w:val="center"/>
                </w:tcPr>
                <w:p>
                  <w:pPr>
                    <w:pStyle w:val="136"/>
                    <w:adjustRightInd w:val="0"/>
                    <w:snapToGrid w:val="0"/>
                  </w:pPr>
                  <w:r>
                    <w:rPr>
                      <w:rFonts w:hint="eastAsia"/>
                    </w:rPr>
                    <w:t>危险废物</w:t>
                  </w:r>
                </w:p>
              </w:tc>
              <w:tc>
                <w:tcPr>
                  <w:tcW w:w="3476" w:type="pct"/>
                  <w:vAlign w:val="center"/>
                </w:tcPr>
                <w:p>
                  <w:pPr>
                    <w:pStyle w:val="136"/>
                    <w:adjustRightInd w:val="0"/>
                    <w:snapToGrid w:val="0"/>
                    <w:jc w:val="both"/>
                  </w:pPr>
                  <w:r>
                    <w:rPr>
                      <w:rFonts w:hint="eastAsia" w:cs="Times New Roman"/>
                      <w:szCs w:val="18"/>
                      <w:lang w:val="de-DE"/>
                    </w:rPr>
                    <w:t>（废培养基需先进行高压蒸汽灭菌）收集暂存于5F危险废物暂存间内（3</w:t>
                  </w:r>
                  <w:r>
                    <w:rPr>
                      <w:rFonts w:cs="Times New Roman"/>
                      <w:szCs w:val="18"/>
                      <w:lang w:val="de-DE"/>
                    </w:rPr>
                    <w:t>.96</w:t>
                  </w:r>
                  <w:r>
                    <w:rPr>
                      <w:rFonts w:hint="eastAsia" w:cs="Times New Roman"/>
                      <w:szCs w:val="18"/>
                      <w:lang w:val="de-DE"/>
                    </w:rPr>
                    <w:t>m</w:t>
                  </w:r>
                  <w:r>
                    <w:rPr>
                      <w:rFonts w:cs="Times New Roman"/>
                      <w:szCs w:val="18"/>
                      <w:vertAlign w:val="superscript"/>
                      <w:lang w:val="de-DE"/>
                    </w:rPr>
                    <w:t>2</w:t>
                  </w:r>
                  <w:r>
                    <w:rPr>
                      <w:rFonts w:hint="eastAsia" w:cs="Times New Roman"/>
                      <w:szCs w:val="18"/>
                      <w:lang w:val="de-DE"/>
                    </w:rPr>
                    <w:t>），委托有危险废物处置资质单位定期清运处理</w:t>
                  </w:r>
                </w:p>
              </w:tc>
              <w:tc>
                <w:tcPr>
                  <w:tcW w:w="482" w:type="pct"/>
                  <w:vAlign w:val="center"/>
                </w:tcPr>
                <w:p>
                  <w:pPr>
                    <w:pStyle w:val="136"/>
                    <w:adjustRightInd w:val="0"/>
                    <w:snapToGrid w:val="0"/>
                  </w:pPr>
                  <w: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042" w:type="pct"/>
                  <w:gridSpan w:val="2"/>
                  <w:vAlign w:val="center"/>
                </w:tcPr>
                <w:p>
                  <w:pPr>
                    <w:pStyle w:val="136"/>
                    <w:adjustRightInd w:val="0"/>
                    <w:snapToGrid w:val="0"/>
                  </w:pPr>
                  <w:r>
                    <w:rPr>
                      <w:rFonts w:hint="eastAsia"/>
                    </w:rPr>
                    <w:t>地下水、土壤</w:t>
                  </w:r>
                </w:p>
              </w:tc>
              <w:tc>
                <w:tcPr>
                  <w:tcW w:w="3476" w:type="pct"/>
                  <w:vAlign w:val="center"/>
                </w:tcPr>
                <w:p>
                  <w:pPr>
                    <w:pStyle w:val="136"/>
                    <w:adjustRightInd w:val="0"/>
                    <w:snapToGrid w:val="0"/>
                    <w:jc w:val="both"/>
                    <w:rPr>
                      <w:rFonts w:cs="Times New Roman"/>
                      <w:szCs w:val="18"/>
                      <w:lang w:val="de-DE"/>
                    </w:rPr>
                  </w:pPr>
                  <w:r>
                    <w:rPr>
                      <w:rFonts w:hint="eastAsia" w:cs="Times New Roman"/>
                      <w:szCs w:val="18"/>
                      <w:lang w:val="de-DE"/>
                    </w:rPr>
                    <w:t>污水处理区、危险废物暂存间采取重点防渗；实验室区域采取一般防渗处理；其他区域采取简单防渗处理。</w:t>
                  </w:r>
                </w:p>
              </w:tc>
              <w:tc>
                <w:tcPr>
                  <w:tcW w:w="482" w:type="pct"/>
                  <w:vAlign w:val="center"/>
                </w:tcPr>
                <w:p>
                  <w:pPr>
                    <w:pStyle w:val="136"/>
                    <w:adjustRightInd w:val="0"/>
                    <w:snapToGrid w:val="0"/>
                  </w:pPr>
                  <w: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4518" w:type="pct"/>
                  <w:gridSpan w:val="3"/>
                  <w:vAlign w:val="center"/>
                </w:tcPr>
                <w:p>
                  <w:pPr>
                    <w:pStyle w:val="136"/>
                    <w:adjustRightInd w:val="0"/>
                    <w:snapToGrid w:val="0"/>
                  </w:pPr>
                  <w:r>
                    <w:t>合计</w:t>
                  </w:r>
                </w:p>
              </w:tc>
              <w:tc>
                <w:tcPr>
                  <w:tcW w:w="482" w:type="pct"/>
                  <w:vAlign w:val="center"/>
                </w:tcPr>
                <w:p>
                  <w:pPr>
                    <w:pStyle w:val="136"/>
                    <w:adjustRightInd w:val="0"/>
                    <w:snapToGrid w:val="0"/>
                  </w:pPr>
                  <w:r>
                    <w:t>32.5</w:t>
                  </w:r>
                </w:p>
              </w:tc>
            </w:tr>
          </w:tbl>
          <w:p>
            <w:pPr>
              <w:ind w:firstLine="480"/>
            </w:pPr>
          </w:p>
        </w:tc>
      </w:tr>
    </w:tbl>
    <w:p>
      <w:pPr>
        <w:spacing w:line="240" w:lineRule="auto"/>
        <w:ind w:firstLine="480"/>
        <w:sectPr>
          <w:pgSz w:w="11907" w:h="16840"/>
          <w:pgMar w:top="1418" w:right="1701" w:bottom="2127" w:left="1701" w:header="851" w:footer="851" w:gutter="0"/>
          <w:pgNumType w:fmt="numberInDash"/>
          <w:cols w:space="720" w:num="1"/>
          <w:docGrid w:linePitch="312" w:charSpace="0"/>
        </w:sectPr>
      </w:pPr>
    </w:p>
    <w:p>
      <w:pPr>
        <w:pStyle w:val="29"/>
        <w:spacing w:before="0" w:beforeAutospacing="0" w:after="0" w:afterAutospacing="0" w:line="240" w:lineRule="auto"/>
        <w:ind w:firstLine="0" w:firstLineChars="0"/>
        <w:outlineLvl w:val="0"/>
        <w:rPr>
          <w:rFonts w:cs="宋体"/>
          <w:b/>
          <w:bCs/>
          <w:snapToGrid w:val="0"/>
          <w:sz w:val="30"/>
          <w:szCs w:val="30"/>
        </w:rPr>
      </w:pPr>
      <w:bookmarkStart w:id="12" w:name="_Toc108119960"/>
      <w:r>
        <w:rPr>
          <w:rFonts w:cs="宋体"/>
          <w:b/>
          <w:bCs/>
          <w:snapToGrid w:val="0"/>
          <w:sz w:val="30"/>
          <w:szCs w:val="30"/>
        </w:rPr>
        <w:t>五、</w:t>
      </w:r>
      <w:bookmarkStart w:id="13" w:name="_Hlk54167917"/>
      <w:r>
        <w:rPr>
          <w:rFonts w:cs="宋体"/>
          <w:b/>
          <w:bCs/>
          <w:snapToGrid w:val="0"/>
          <w:sz w:val="30"/>
          <w:szCs w:val="30"/>
        </w:rPr>
        <w:t>环境保护措施监督检查清单</w:t>
      </w:r>
      <w:bookmarkEnd w:id="12"/>
      <w:bookmarkEnd w:id="13"/>
    </w:p>
    <w:tbl>
      <w:tblPr>
        <w:tblStyle w:val="34"/>
        <w:tblW w:w="841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08"/>
        <w:gridCol w:w="1417"/>
        <w:gridCol w:w="1134"/>
        <w:gridCol w:w="2977"/>
        <w:gridCol w:w="14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08" w:type="dxa"/>
            <w:tcBorders>
              <w:tl2br w:val="single" w:color="auto" w:sz="4" w:space="0"/>
            </w:tcBorders>
            <w:vAlign w:val="center"/>
          </w:tcPr>
          <w:p>
            <w:pPr>
              <w:adjustRightInd w:val="0"/>
              <w:snapToGrid w:val="0"/>
              <w:spacing w:line="380" w:lineRule="atLeast"/>
              <w:ind w:firstLine="0" w:firstLineChars="0"/>
              <w:jc w:val="right"/>
              <w:rPr>
                <w:sz w:val="18"/>
                <w:szCs w:val="18"/>
              </w:rPr>
            </w:pPr>
            <w:r>
              <w:rPr>
                <w:sz w:val="18"/>
                <w:szCs w:val="18"/>
              </w:rPr>
              <w:t>内容</w:t>
            </w:r>
          </w:p>
          <w:p>
            <w:pPr>
              <w:adjustRightInd w:val="0"/>
              <w:snapToGrid w:val="0"/>
              <w:spacing w:line="380" w:lineRule="atLeast"/>
              <w:ind w:firstLine="0" w:firstLineChars="0"/>
              <w:jc w:val="left"/>
              <w:rPr>
                <w:sz w:val="18"/>
                <w:szCs w:val="18"/>
              </w:rPr>
            </w:pPr>
            <w:r>
              <w:rPr>
                <w:sz w:val="18"/>
                <w:szCs w:val="18"/>
              </w:rPr>
              <w:t>要素</w:t>
            </w:r>
          </w:p>
        </w:tc>
        <w:tc>
          <w:tcPr>
            <w:tcW w:w="1417" w:type="dxa"/>
            <w:vAlign w:val="center"/>
          </w:tcPr>
          <w:p>
            <w:pPr>
              <w:adjustRightInd w:val="0"/>
              <w:snapToGrid w:val="0"/>
              <w:spacing w:line="380" w:lineRule="atLeast"/>
              <w:ind w:firstLine="0" w:firstLineChars="0"/>
              <w:jc w:val="center"/>
              <w:rPr>
                <w:sz w:val="18"/>
                <w:szCs w:val="18"/>
              </w:rPr>
            </w:pPr>
            <w:r>
              <w:rPr>
                <w:sz w:val="18"/>
                <w:szCs w:val="18"/>
              </w:rPr>
              <w:t>排放口</w:t>
            </w:r>
            <w:r>
              <w:rPr>
                <w:rFonts w:hint="eastAsia"/>
                <w:sz w:val="18"/>
                <w:szCs w:val="18"/>
                <w:lang w:eastAsia="zh-CN"/>
              </w:rPr>
              <w:t>（</w:t>
            </w:r>
            <w:r>
              <w:rPr>
                <w:sz w:val="18"/>
                <w:szCs w:val="18"/>
              </w:rPr>
              <w:t>编号、名称</w:t>
            </w:r>
            <w:r>
              <w:rPr>
                <w:rFonts w:hint="eastAsia"/>
                <w:sz w:val="18"/>
                <w:szCs w:val="18"/>
                <w:lang w:eastAsia="zh-CN"/>
              </w:rPr>
              <w:t>）</w:t>
            </w:r>
            <w:r>
              <w:rPr>
                <w:sz w:val="18"/>
                <w:szCs w:val="18"/>
              </w:rPr>
              <w:t>/污染源</w:t>
            </w:r>
          </w:p>
        </w:tc>
        <w:tc>
          <w:tcPr>
            <w:tcW w:w="1134" w:type="dxa"/>
            <w:vAlign w:val="center"/>
          </w:tcPr>
          <w:p>
            <w:pPr>
              <w:adjustRightInd w:val="0"/>
              <w:snapToGrid w:val="0"/>
              <w:spacing w:line="380" w:lineRule="atLeast"/>
              <w:ind w:firstLine="0" w:firstLineChars="0"/>
              <w:jc w:val="center"/>
              <w:rPr>
                <w:sz w:val="18"/>
                <w:szCs w:val="18"/>
              </w:rPr>
            </w:pPr>
            <w:r>
              <w:rPr>
                <w:sz w:val="18"/>
                <w:szCs w:val="18"/>
              </w:rPr>
              <w:t>污染物项目</w:t>
            </w:r>
          </w:p>
        </w:tc>
        <w:tc>
          <w:tcPr>
            <w:tcW w:w="2977" w:type="dxa"/>
            <w:vAlign w:val="center"/>
          </w:tcPr>
          <w:p>
            <w:pPr>
              <w:adjustRightInd w:val="0"/>
              <w:snapToGrid w:val="0"/>
              <w:spacing w:line="380" w:lineRule="atLeast"/>
              <w:ind w:firstLine="0" w:firstLineChars="0"/>
              <w:jc w:val="center"/>
              <w:rPr>
                <w:sz w:val="18"/>
                <w:szCs w:val="18"/>
              </w:rPr>
            </w:pPr>
            <w:r>
              <w:rPr>
                <w:sz w:val="18"/>
                <w:szCs w:val="18"/>
              </w:rPr>
              <w:t>环境保护措施</w:t>
            </w:r>
          </w:p>
        </w:tc>
        <w:tc>
          <w:tcPr>
            <w:tcW w:w="1482" w:type="dxa"/>
            <w:vAlign w:val="center"/>
          </w:tcPr>
          <w:p>
            <w:pPr>
              <w:adjustRightInd w:val="0"/>
              <w:snapToGrid w:val="0"/>
              <w:spacing w:line="380" w:lineRule="atLeast"/>
              <w:ind w:firstLine="0" w:firstLineChars="0"/>
              <w:jc w:val="center"/>
              <w:rPr>
                <w:sz w:val="18"/>
                <w:szCs w:val="18"/>
              </w:rPr>
            </w:pPr>
            <w:r>
              <w:rPr>
                <w:sz w:val="18"/>
                <w:szCs w:val="18"/>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08" w:type="dxa"/>
            <w:vMerge w:val="restart"/>
            <w:vAlign w:val="center"/>
          </w:tcPr>
          <w:p>
            <w:pPr>
              <w:adjustRightInd w:val="0"/>
              <w:snapToGrid w:val="0"/>
              <w:spacing w:line="380" w:lineRule="atLeast"/>
              <w:ind w:firstLine="0" w:firstLineChars="0"/>
              <w:jc w:val="center"/>
              <w:rPr>
                <w:sz w:val="18"/>
                <w:szCs w:val="18"/>
              </w:rPr>
            </w:pPr>
            <w:r>
              <w:rPr>
                <w:sz w:val="18"/>
                <w:szCs w:val="18"/>
              </w:rPr>
              <w:t>大气环境</w:t>
            </w:r>
          </w:p>
        </w:tc>
        <w:tc>
          <w:tcPr>
            <w:tcW w:w="1417" w:type="dxa"/>
            <w:vAlign w:val="center"/>
          </w:tcPr>
          <w:p>
            <w:pPr>
              <w:adjustRightInd w:val="0"/>
              <w:snapToGrid w:val="0"/>
              <w:spacing w:line="380" w:lineRule="atLeast"/>
              <w:ind w:firstLine="0" w:firstLineChars="0"/>
              <w:jc w:val="center"/>
              <w:rPr>
                <w:sz w:val="18"/>
                <w:szCs w:val="18"/>
              </w:rPr>
            </w:pPr>
            <w:r>
              <w:rPr>
                <w:rFonts w:hint="eastAsia"/>
                <w:sz w:val="18"/>
                <w:szCs w:val="18"/>
              </w:rPr>
              <w:t>DA</w:t>
            </w:r>
            <w:r>
              <w:rPr>
                <w:sz w:val="18"/>
                <w:szCs w:val="18"/>
              </w:rPr>
              <w:t>001</w:t>
            </w:r>
          </w:p>
        </w:tc>
        <w:tc>
          <w:tcPr>
            <w:tcW w:w="1134" w:type="dxa"/>
            <w:vAlign w:val="center"/>
          </w:tcPr>
          <w:p>
            <w:pPr>
              <w:adjustRightInd w:val="0"/>
              <w:snapToGrid w:val="0"/>
              <w:spacing w:line="380" w:lineRule="atLeast"/>
              <w:ind w:firstLine="0" w:firstLineChars="0"/>
              <w:rPr>
                <w:sz w:val="18"/>
                <w:szCs w:val="18"/>
              </w:rPr>
            </w:pPr>
            <w:r>
              <w:rPr>
                <w:rFonts w:hint="eastAsia"/>
                <w:sz w:val="18"/>
                <w:szCs w:val="18"/>
              </w:rPr>
              <w:t>VOCs、丙酮、正己烷、氯化氢、硫酸雾</w:t>
            </w:r>
          </w:p>
        </w:tc>
        <w:tc>
          <w:tcPr>
            <w:tcW w:w="2977" w:type="dxa"/>
            <w:vAlign w:val="center"/>
          </w:tcPr>
          <w:p>
            <w:pPr>
              <w:pStyle w:val="136"/>
              <w:rPr>
                <w:szCs w:val="18"/>
              </w:rPr>
            </w:pPr>
            <w:r>
              <w:rPr>
                <w:rFonts w:hint="eastAsia"/>
              </w:rPr>
              <w:t>经“二级活性炭纤维+碱液喷淋塔”工艺处理后，通过2</w:t>
            </w:r>
            <w:r>
              <w:t>5</w:t>
            </w:r>
            <w:r>
              <w:rPr>
                <w:rFonts w:hint="eastAsia"/>
              </w:rPr>
              <w:t>m排气筒排放</w:t>
            </w:r>
          </w:p>
        </w:tc>
        <w:tc>
          <w:tcPr>
            <w:tcW w:w="1482" w:type="dxa"/>
            <w:vMerge w:val="restart"/>
            <w:vAlign w:val="center"/>
          </w:tcPr>
          <w:p>
            <w:pPr>
              <w:adjustRightInd w:val="0"/>
              <w:snapToGrid w:val="0"/>
              <w:spacing w:line="380" w:lineRule="atLeast"/>
              <w:ind w:firstLine="0" w:firstLineChars="0"/>
              <w:rPr>
                <w:sz w:val="18"/>
                <w:szCs w:val="18"/>
              </w:rPr>
            </w:pPr>
            <w:r>
              <w:rPr>
                <w:rFonts w:hint="eastAsia"/>
                <w:sz w:val="18"/>
                <w:szCs w:val="18"/>
              </w:rPr>
              <w:t>VOCs、丙酮、正己烷执行</w:t>
            </w:r>
            <w:r>
              <w:rPr>
                <w:sz w:val="18"/>
                <w:szCs w:val="18"/>
              </w:rPr>
              <w:t>《四川省固定污染源大气挥发性有机物排放标准》（DB51/2377-2017）</w:t>
            </w:r>
            <w:r>
              <w:rPr>
                <w:rFonts w:hint="eastAsia"/>
                <w:sz w:val="18"/>
                <w:szCs w:val="18"/>
              </w:rPr>
              <w:t>标准限值；氯化氢、硫酸雾执行《大气污染物综合排放标准》（GB 16297-1996）表2二级标准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08" w:type="dxa"/>
            <w:vMerge w:val="continue"/>
            <w:vAlign w:val="center"/>
          </w:tcPr>
          <w:p>
            <w:pPr>
              <w:adjustRightInd w:val="0"/>
              <w:snapToGrid w:val="0"/>
              <w:spacing w:line="380" w:lineRule="atLeast"/>
              <w:ind w:firstLine="0" w:firstLineChars="0"/>
              <w:jc w:val="center"/>
              <w:rPr>
                <w:sz w:val="18"/>
                <w:szCs w:val="18"/>
              </w:rPr>
            </w:pPr>
          </w:p>
        </w:tc>
        <w:tc>
          <w:tcPr>
            <w:tcW w:w="1417" w:type="dxa"/>
            <w:vAlign w:val="center"/>
          </w:tcPr>
          <w:p>
            <w:pPr>
              <w:adjustRightInd w:val="0"/>
              <w:snapToGrid w:val="0"/>
              <w:spacing w:line="380" w:lineRule="atLeast"/>
              <w:ind w:firstLine="0" w:firstLineChars="0"/>
              <w:jc w:val="center"/>
              <w:rPr>
                <w:sz w:val="18"/>
                <w:szCs w:val="18"/>
              </w:rPr>
            </w:pPr>
            <w:r>
              <w:rPr>
                <w:rFonts w:hint="eastAsia"/>
                <w:sz w:val="18"/>
                <w:szCs w:val="18"/>
              </w:rPr>
              <w:t>DA</w:t>
            </w:r>
            <w:r>
              <w:rPr>
                <w:sz w:val="18"/>
                <w:szCs w:val="18"/>
              </w:rPr>
              <w:t>002</w:t>
            </w:r>
          </w:p>
        </w:tc>
        <w:tc>
          <w:tcPr>
            <w:tcW w:w="1134" w:type="dxa"/>
            <w:vAlign w:val="center"/>
          </w:tcPr>
          <w:p>
            <w:pPr>
              <w:adjustRightInd w:val="0"/>
              <w:snapToGrid w:val="0"/>
              <w:spacing w:line="380" w:lineRule="atLeast"/>
              <w:ind w:firstLine="0" w:firstLineChars="0"/>
              <w:rPr>
                <w:sz w:val="18"/>
                <w:szCs w:val="18"/>
              </w:rPr>
            </w:pPr>
            <w:r>
              <w:rPr>
                <w:rFonts w:hint="eastAsia"/>
                <w:sz w:val="18"/>
                <w:szCs w:val="18"/>
              </w:rPr>
              <w:t>VOCs、丙酮、正己烷、氯化氢、硫酸雾</w:t>
            </w:r>
          </w:p>
        </w:tc>
        <w:tc>
          <w:tcPr>
            <w:tcW w:w="2977" w:type="dxa"/>
            <w:vAlign w:val="center"/>
          </w:tcPr>
          <w:p>
            <w:pPr>
              <w:pStyle w:val="136"/>
              <w:rPr>
                <w:szCs w:val="18"/>
              </w:rPr>
            </w:pPr>
            <w:r>
              <w:rPr>
                <w:rFonts w:hint="eastAsia"/>
              </w:rPr>
              <w:t>经“二级活性炭纤维+碱液喷淋塔”工艺处理后，通过2</w:t>
            </w:r>
            <w:r>
              <w:t>5</w:t>
            </w:r>
            <w:r>
              <w:rPr>
                <w:rFonts w:hint="eastAsia"/>
              </w:rPr>
              <w:t>m排气筒排放</w:t>
            </w:r>
          </w:p>
        </w:tc>
        <w:tc>
          <w:tcPr>
            <w:tcW w:w="1482" w:type="dxa"/>
            <w:vMerge w:val="continue"/>
            <w:vAlign w:val="center"/>
          </w:tcPr>
          <w:p>
            <w:pPr>
              <w:adjustRightInd w:val="0"/>
              <w:snapToGrid w:val="0"/>
              <w:spacing w:line="380" w:lineRule="atLeast"/>
              <w:ind w:firstLine="0" w:firstLineChars="0"/>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70" w:hRule="atLeast"/>
          <w:jc w:val="center"/>
        </w:trPr>
        <w:tc>
          <w:tcPr>
            <w:tcW w:w="1408" w:type="dxa"/>
            <w:vAlign w:val="center"/>
          </w:tcPr>
          <w:p>
            <w:pPr>
              <w:adjustRightInd w:val="0"/>
              <w:snapToGrid w:val="0"/>
              <w:spacing w:line="380" w:lineRule="atLeast"/>
              <w:ind w:firstLine="0" w:firstLineChars="0"/>
              <w:jc w:val="center"/>
              <w:rPr>
                <w:sz w:val="18"/>
                <w:szCs w:val="18"/>
              </w:rPr>
            </w:pPr>
            <w:r>
              <w:rPr>
                <w:rFonts w:hint="eastAsia"/>
                <w:sz w:val="18"/>
                <w:szCs w:val="18"/>
              </w:rPr>
              <w:t>地表水环境</w:t>
            </w:r>
          </w:p>
        </w:tc>
        <w:tc>
          <w:tcPr>
            <w:tcW w:w="1417" w:type="dxa"/>
            <w:vAlign w:val="center"/>
          </w:tcPr>
          <w:p>
            <w:pPr>
              <w:adjustRightInd w:val="0"/>
              <w:snapToGrid w:val="0"/>
              <w:spacing w:line="380" w:lineRule="atLeast"/>
              <w:ind w:firstLine="0" w:firstLineChars="0"/>
              <w:jc w:val="center"/>
              <w:rPr>
                <w:sz w:val="18"/>
                <w:szCs w:val="18"/>
              </w:rPr>
            </w:pPr>
            <w:r>
              <w:rPr>
                <w:rFonts w:hint="eastAsia"/>
                <w:sz w:val="18"/>
                <w:szCs w:val="18"/>
              </w:rPr>
              <w:t>DW001</w:t>
            </w:r>
          </w:p>
        </w:tc>
        <w:tc>
          <w:tcPr>
            <w:tcW w:w="1134" w:type="dxa"/>
            <w:vAlign w:val="center"/>
          </w:tcPr>
          <w:p>
            <w:pPr>
              <w:adjustRightInd w:val="0"/>
              <w:snapToGrid w:val="0"/>
              <w:spacing w:line="380" w:lineRule="atLeast"/>
              <w:ind w:firstLine="0" w:firstLineChars="0"/>
              <w:jc w:val="center"/>
              <w:rPr>
                <w:sz w:val="18"/>
                <w:szCs w:val="18"/>
              </w:rPr>
            </w:pPr>
            <w:r>
              <w:rPr>
                <w:rFonts w:hint="eastAsia"/>
                <w:sz w:val="18"/>
                <w:szCs w:val="18"/>
              </w:rPr>
              <w:t>COD</w:t>
            </w:r>
            <w:r>
              <w:rPr>
                <w:rFonts w:hint="eastAsia"/>
                <w:sz w:val="18"/>
                <w:szCs w:val="18"/>
                <w:vertAlign w:val="subscript"/>
              </w:rPr>
              <w:t>Cr</w:t>
            </w:r>
            <w:r>
              <w:rPr>
                <w:rFonts w:hint="eastAsia"/>
                <w:sz w:val="18"/>
                <w:szCs w:val="18"/>
              </w:rPr>
              <w:t>、BOD</w:t>
            </w:r>
            <w:r>
              <w:rPr>
                <w:sz w:val="18"/>
                <w:szCs w:val="18"/>
                <w:vertAlign w:val="subscript"/>
              </w:rPr>
              <w:t>5</w:t>
            </w:r>
            <w:r>
              <w:rPr>
                <w:rFonts w:hint="eastAsia"/>
                <w:sz w:val="18"/>
                <w:szCs w:val="18"/>
              </w:rPr>
              <w:t>、氨氮、SS、TP</w:t>
            </w:r>
          </w:p>
        </w:tc>
        <w:tc>
          <w:tcPr>
            <w:tcW w:w="2977" w:type="dxa"/>
            <w:vAlign w:val="center"/>
          </w:tcPr>
          <w:p>
            <w:pPr>
              <w:adjustRightInd w:val="0"/>
              <w:snapToGrid w:val="0"/>
              <w:spacing w:line="380" w:lineRule="atLeast"/>
              <w:ind w:firstLine="0" w:firstLineChars="0"/>
              <w:jc w:val="center"/>
              <w:rPr>
                <w:sz w:val="18"/>
                <w:szCs w:val="18"/>
              </w:rPr>
            </w:pPr>
            <w:r>
              <w:rPr>
                <w:rFonts w:hint="eastAsia"/>
                <w:sz w:val="18"/>
                <w:szCs w:val="18"/>
              </w:rPr>
              <w:t>生活污水采用生活污水预处理池处理后排入市政管网；实验室废水采用</w:t>
            </w:r>
            <w:r>
              <w:rPr>
                <w:rStyle w:val="135"/>
                <w:rFonts w:hint="eastAsia"/>
              </w:rPr>
              <w:t>“集水箱+pH调节+混凝沉淀+光催化降解+复合过滤+紫外消毒”工艺处理后排入市政管网</w:t>
            </w:r>
          </w:p>
        </w:tc>
        <w:tc>
          <w:tcPr>
            <w:tcW w:w="1482" w:type="dxa"/>
            <w:tcBorders>
              <w:bottom w:val="single" w:color="auto" w:sz="6" w:space="0"/>
            </w:tcBorders>
            <w:vAlign w:val="center"/>
          </w:tcPr>
          <w:p>
            <w:pPr>
              <w:adjustRightInd w:val="0"/>
              <w:snapToGrid w:val="0"/>
              <w:spacing w:line="380" w:lineRule="atLeast"/>
              <w:ind w:firstLine="0" w:firstLineChars="0"/>
              <w:rPr>
                <w:sz w:val="18"/>
                <w:szCs w:val="18"/>
              </w:rPr>
            </w:pPr>
            <w:r>
              <w:rPr>
                <w:rFonts w:hint="eastAsia"/>
                <w:sz w:val="18"/>
                <w:szCs w:val="18"/>
              </w:rPr>
              <w:t>《污水综合排放标准》（GB8978-1996）三级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08" w:type="dxa"/>
            <w:vAlign w:val="center"/>
          </w:tcPr>
          <w:p>
            <w:pPr>
              <w:adjustRightInd w:val="0"/>
              <w:snapToGrid w:val="0"/>
              <w:spacing w:line="380" w:lineRule="atLeast"/>
              <w:ind w:firstLine="0" w:firstLineChars="0"/>
              <w:jc w:val="center"/>
              <w:rPr>
                <w:sz w:val="18"/>
                <w:szCs w:val="18"/>
              </w:rPr>
            </w:pPr>
            <w:r>
              <w:rPr>
                <w:sz w:val="18"/>
                <w:szCs w:val="18"/>
              </w:rPr>
              <w:t>声环境</w:t>
            </w:r>
          </w:p>
        </w:tc>
        <w:tc>
          <w:tcPr>
            <w:tcW w:w="1417" w:type="dxa"/>
            <w:vAlign w:val="center"/>
          </w:tcPr>
          <w:p>
            <w:pPr>
              <w:adjustRightInd w:val="0"/>
              <w:snapToGrid w:val="0"/>
              <w:spacing w:line="380" w:lineRule="atLeast"/>
              <w:ind w:firstLine="0" w:firstLineChars="0"/>
              <w:jc w:val="center"/>
              <w:rPr>
                <w:sz w:val="18"/>
                <w:szCs w:val="18"/>
              </w:rPr>
            </w:pPr>
            <w:r>
              <w:rPr>
                <w:rFonts w:hint="eastAsia"/>
                <w:sz w:val="18"/>
                <w:szCs w:val="18"/>
              </w:rPr>
              <w:t>设备噪声</w:t>
            </w:r>
          </w:p>
        </w:tc>
        <w:tc>
          <w:tcPr>
            <w:tcW w:w="1134" w:type="dxa"/>
            <w:vAlign w:val="center"/>
          </w:tcPr>
          <w:p>
            <w:pPr>
              <w:adjustRightInd w:val="0"/>
              <w:snapToGrid w:val="0"/>
              <w:spacing w:line="380" w:lineRule="atLeast"/>
              <w:ind w:firstLine="0" w:firstLineChars="0"/>
              <w:jc w:val="center"/>
              <w:rPr>
                <w:sz w:val="18"/>
                <w:szCs w:val="18"/>
              </w:rPr>
            </w:pPr>
            <w:r>
              <w:rPr>
                <w:rFonts w:hint="eastAsia"/>
                <w:sz w:val="18"/>
                <w:szCs w:val="18"/>
              </w:rPr>
              <w:t>等效A声级</w:t>
            </w:r>
          </w:p>
        </w:tc>
        <w:tc>
          <w:tcPr>
            <w:tcW w:w="2977" w:type="dxa"/>
            <w:vAlign w:val="center"/>
          </w:tcPr>
          <w:p>
            <w:pPr>
              <w:adjustRightInd w:val="0"/>
              <w:snapToGrid w:val="0"/>
              <w:spacing w:line="380" w:lineRule="atLeast"/>
              <w:ind w:firstLine="0" w:firstLineChars="0"/>
              <w:jc w:val="center"/>
              <w:rPr>
                <w:sz w:val="18"/>
                <w:szCs w:val="18"/>
              </w:rPr>
            </w:pPr>
            <w:r>
              <w:rPr>
                <w:sz w:val="18"/>
                <w:szCs w:val="18"/>
              </w:rPr>
              <w:t>选用低噪声设备；设备进行基础减振、</w:t>
            </w:r>
            <w:r>
              <w:rPr>
                <w:rFonts w:hint="eastAsia"/>
                <w:sz w:val="18"/>
                <w:szCs w:val="18"/>
              </w:rPr>
              <w:t>消声器、</w:t>
            </w:r>
            <w:r>
              <w:rPr>
                <w:sz w:val="18"/>
                <w:szCs w:val="18"/>
              </w:rPr>
              <w:t>房屋隔声</w:t>
            </w:r>
          </w:p>
        </w:tc>
        <w:tc>
          <w:tcPr>
            <w:tcW w:w="1482" w:type="dxa"/>
            <w:vAlign w:val="center"/>
          </w:tcPr>
          <w:p>
            <w:pPr>
              <w:adjustRightInd w:val="0"/>
              <w:snapToGrid w:val="0"/>
              <w:spacing w:line="380" w:lineRule="atLeast"/>
              <w:ind w:firstLine="0" w:firstLineChars="0"/>
              <w:jc w:val="center"/>
              <w:rPr>
                <w:sz w:val="18"/>
                <w:szCs w:val="18"/>
              </w:rPr>
            </w:pPr>
            <w:r>
              <w:rPr>
                <w:rFonts w:hint="eastAsia"/>
                <w:sz w:val="18"/>
                <w:szCs w:val="18"/>
              </w:rPr>
              <w:t>GB</w:t>
            </w:r>
            <w:r>
              <w:rPr>
                <w:sz w:val="18"/>
                <w:szCs w:val="18"/>
              </w:rPr>
              <w:t>12348-2008</w:t>
            </w:r>
          </w:p>
          <w:p>
            <w:pPr>
              <w:adjustRightInd w:val="0"/>
              <w:snapToGrid w:val="0"/>
              <w:spacing w:line="380" w:lineRule="atLeast"/>
              <w:ind w:firstLine="0" w:firstLineChars="0"/>
              <w:jc w:val="center"/>
              <w:rPr>
                <w:sz w:val="18"/>
                <w:szCs w:val="18"/>
              </w:rPr>
            </w:pPr>
            <w:r>
              <w:rPr>
                <w:sz w:val="18"/>
                <w:szCs w:val="18"/>
              </w:rPr>
              <w:t>2</w:t>
            </w:r>
            <w:r>
              <w:rPr>
                <w:rFonts w:hint="eastAsia"/>
                <w:sz w:val="18"/>
                <w:szCs w:val="18"/>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08" w:type="dxa"/>
            <w:vAlign w:val="center"/>
          </w:tcPr>
          <w:p>
            <w:pPr>
              <w:adjustRightInd w:val="0"/>
              <w:snapToGrid w:val="0"/>
              <w:spacing w:line="380" w:lineRule="atLeast"/>
              <w:ind w:firstLine="0" w:firstLineChars="0"/>
              <w:jc w:val="center"/>
              <w:rPr>
                <w:sz w:val="18"/>
                <w:szCs w:val="18"/>
              </w:rPr>
            </w:pPr>
            <w:r>
              <w:rPr>
                <w:sz w:val="18"/>
                <w:szCs w:val="18"/>
              </w:rPr>
              <w:t>电磁辐射</w:t>
            </w:r>
          </w:p>
        </w:tc>
        <w:tc>
          <w:tcPr>
            <w:tcW w:w="1417" w:type="dxa"/>
            <w:vAlign w:val="center"/>
          </w:tcPr>
          <w:p>
            <w:pPr>
              <w:adjustRightInd w:val="0"/>
              <w:snapToGrid w:val="0"/>
              <w:spacing w:line="380" w:lineRule="atLeast"/>
              <w:ind w:firstLine="0" w:firstLineChars="0"/>
              <w:jc w:val="center"/>
              <w:rPr>
                <w:sz w:val="18"/>
                <w:szCs w:val="18"/>
              </w:rPr>
            </w:pPr>
            <w:r>
              <w:rPr>
                <w:rFonts w:hint="eastAsia"/>
                <w:sz w:val="18"/>
                <w:szCs w:val="18"/>
              </w:rPr>
              <w:t>/</w:t>
            </w:r>
          </w:p>
        </w:tc>
        <w:tc>
          <w:tcPr>
            <w:tcW w:w="1134" w:type="dxa"/>
            <w:vAlign w:val="center"/>
          </w:tcPr>
          <w:p>
            <w:pPr>
              <w:adjustRightInd w:val="0"/>
              <w:snapToGrid w:val="0"/>
              <w:spacing w:line="380" w:lineRule="atLeast"/>
              <w:ind w:firstLine="0" w:firstLineChars="0"/>
              <w:jc w:val="center"/>
              <w:rPr>
                <w:sz w:val="18"/>
                <w:szCs w:val="18"/>
              </w:rPr>
            </w:pPr>
            <w:r>
              <w:rPr>
                <w:rFonts w:hint="eastAsia"/>
                <w:sz w:val="18"/>
                <w:szCs w:val="18"/>
              </w:rPr>
              <w:t>/</w:t>
            </w:r>
          </w:p>
        </w:tc>
        <w:tc>
          <w:tcPr>
            <w:tcW w:w="2977" w:type="dxa"/>
            <w:vAlign w:val="center"/>
          </w:tcPr>
          <w:p>
            <w:pPr>
              <w:adjustRightInd w:val="0"/>
              <w:snapToGrid w:val="0"/>
              <w:spacing w:line="380" w:lineRule="atLeast"/>
              <w:ind w:firstLine="0" w:firstLineChars="0"/>
              <w:jc w:val="center"/>
              <w:rPr>
                <w:sz w:val="18"/>
                <w:szCs w:val="18"/>
              </w:rPr>
            </w:pPr>
            <w:r>
              <w:rPr>
                <w:rFonts w:hint="eastAsia"/>
                <w:sz w:val="18"/>
                <w:szCs w:val="18"/>
              </w:rPr>
              <w:t>/</w:t>
            </w:r>
          </w:p>
        </w:tc>
        <w:tc>
          <w:tcPr>
            <w:tcW w:w="1482" w:type="dxa"/>
            <w:vAlign w:val="center"/>
          </w:tcPr>
          <w:p>
            <w:pPr>
              <w:adjustRightInd w:val="0"/>
              <w:snapToGrid w:val="0"/>
              <w:spacing w:line="380" w:lineRule="atLeast"/>
              <w:ind w:firstLine="0" w:firstLineChars="0"/>
              <w:jc w:val="center"/>
              <w:rPr>
                <w:sz w:val="18"/>
                <w:szCs w:val="18"/>
              </w:rPr>
            </w:pPr>
            <w:r>
              <w:rPr>
                <w:rFonts w:hint="eastAsia"/>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08" w:type="dxa"/>
            <w:vAlign w:val="center"/>
          </w:tcPr>
          <w:p>
            <w:pPr>
              <w:adjustRightInd w:val="0"/>
              <w:snapToGrid w:val="0"/>
              <w:spacing w:line="380" w:lineRule="atLeast"/>
              <w:ind w:firstLine="0" w:firstLineChars="0"/>
              <w:jc w:val="center"/>
              <w:rPr>
                <w:sz w:val="18"/>
                <w:szCs w:val="18"/>
              </w:rPr>
            </w:pPr>
            <w:r>
              <w:rPr>
                <w:sz w:val="18"/>
                <w:szCs w:val="18"/>
              </w:rPr>
              <w:t>固体废物</w:t>
            </w:r>
          </w:p>
        </w:tc>
        <w:tc>
          <w:tcPr>
            <w:tcW w:w="7010" w:type="dxa"/>
            <w:gridSpan w:val="4"/>
            <w:vAlign w:val="center"/>
          </w:tcPr>
          <w:p>
            <w:pPr>
              <w:adjustRightInd w:val="0"/>
              <w:snapToGrid w:val="0"/>
              <w:spacing w:line="380" w:lineRule="atLeast"/>
              <w:ind w:firstLine="0" w:firstLineChars="0"/>
              <w:rPr>
                <w:sz w:val="18"/>
                <w:szCs w:val="18"/>
              </w:rPr>
            </w:pPr>
            <w:r>
              <w:rPr>
                <w:rFonts w:hint="eastAsia"/>
                <w:sz w:val="18"/>
                <w:szCs w:val="18"/>
              </w:rPr>
              <w:t>危险废物暂存于5F危废暂存间（3</w:t>
            </w:r>
            <w:r>
              <w:rPr>
                <w:sz w:val="18"/>
                <w:szCs w:val="18"/>
              </w:rPr>
              <w:t>.96</w:t>
            </w:r>
            <w:r>
              <w:rPr>
                <w:rFonts w:hint="eastAsia"/>
                <w:sz w:val="18"/>
                <w:szCs w:val="18"/>
              </w:rPr>
              <w:t>m</w:t>
            </w:r>
            <w:r>
              <w:rPr>
                <w:sz w:val="18"/>
                <w:szCs w:val="18"/>
                <w:vertAlign w:val="superscript"/>
              </w:rPr>
              <w:t>2</w:t>
            </w:r>
            <w:r>
              <w:rPr>
                <w:rFonts w:hint="eastAsia"/>
                <w:sz w:val="18"/>
                <w:szCs w:val="18"/>
              </w:rPr>
              <w:t>）内，定期交有危险废物处置资质的单位清运处理；</w:t>
            </w:r>
            <w:r>
              <w:rPr>
                <w:rStyle w:val="135"/>
              </w:rPr>
              <w:t>未沾染化学品废包材</w:t>
            </w:r>
            <w:r>
              <w:rPr>
                <w:rFonts w:hint="eastAsia"/>
                <w:sz w:val="18"/>
                <w:szCs w:val="18"/>
              </w:rPr>
              <w:t>收集后外售废品回收站综合利用；纯水机废过滤器由厂家回收处理；过期样品排入废水处理装置处理后排放；生活垃圾收集后由环卫部门清运处置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08" w:type="dxa"/>
            <w:vAlign w:val="center"/>
          </w:tcPr>
          <w:p>
            <w:pPr>
              <w:adjustRightInd w:val="0"/>
              <w:snapToGrid w:val="0"/>
              <w:spacing w:line="380" w:lineRule="atLeast"/>
              <w:ind w:firstLine="0" w:firstLineChars="0"/>
              <w:jc w:val="center"/>
              <w:rPr>
                <w:sz w:val="18"/>
                <w:szCs w:val="18"/>
              </w:rPr>
            </w:pPr>
            <w:r>
              <w:rPr>
                <w:sz w:val="18"/>
                <w:szCs w:val="18"/>
              </w:rPr>
              <w:t>土壤及地下水污染防治措施</w:t>
            </w:r>
          </w:p>
        </w:tc>
        <w:tc>
          <w:tcPr>
            <w:tcW w:w="7010" w:type="dxa"/>
            <w:gridSpan w:val="4"/>
            <w:vAlign w:val="center"/>
          </w:tcPr>
          <w:p>
            <w:pPr>
              <w:adjustRightInd w:val="0"/>
              <w:snapToGrid w:val="0"/>
              <w:spacing w:line="380" w:lineRule="atLeast"/>
              <w:ind w:firstLine="0" w:firstLineChars="0"/>
              <w:jc w:val="left"/>
              <w:rPr>
                <w:sz w:val="18"/>
                <w:szCs w:val="18"/>
              </w:rPr>
            </w:pPr>
            <w:r>
              <w:rPr>
                <w:rFonts w:hint="eastAsia"/>
                <w:sz w:val="18"/>
                <w:szCs w:val="18"/>
              </w:rPr>
              <w:t>危废暂存间、污水处理间采取重点防渗，防渗层为1</w:t>
            </w:r>
            <w:r>
              <w:rPr>
                <w:sz w:val="18"/>
                <w:szCs w:val="18"/>
              </w:rPr>
              <w:t>0</w:t>
            </w:r>
            <w:r>
              <w:rPr>
                <w:rFonts w:hint="eastAsia"/>
                <w:sz w:val="18"/>
                <w:szCs w:val="18"/>
              </w:rPr>
              <w:t>c m厚的防渗混凝土+</w:t>
            </w:r>
            <w:r>
              <w:rPr>
                <w:sz w:val="18"/>
                <w:szCs w:val="18"/>
              </w:rPr>
              <w:t>2</w:t>
            </w:r>
            <w:r>
              <w:rPr>
                <w:rFonts w:hint="eastAsia"/>
                <w:sz w:val="18"/>
                <w:szCs w:val="18"/>
              </w:rPr>
              <w:t>mm环氧树脂地坪；实验室区域采取一般防渗处理，防渗层为1</w:t>
            </w:r>
            <w:r>
              <w:rPr>
                <w:sz w:val="18"/>
                <w:szCs w:val="18"/>
              </w:rPr>
              <w:t>0</w:t>
            </w:r>
            <w:r>
              <w:rPr>
                <w:rFonts w:hint="eastAsia"/>
                <w:sz w:val="18"/>
                <w:szCs w:val="18"/>
              </w:rPr>
              <w:t>c m厚的防渗混凝土+防水地坪；其他区域一般地面硬化防渗处理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08" w:type="dxa"/>
            <w:vAlign w:val="center"/>
          </w:tcPr>
          <w:p>
            <w:pPr>
              <w:adjustRightInd w:val="0"/>
              <w:snapToGrid w:val="0"/>
              <w:spacing w:line="380" w:lineRule="atLeast"/>
              <w:ind w:firstLine="0" w:firstLineChars="0"/>
              <w:jc w:val="center"/>
              <w:rPr>
                <w:sz w:val="18"/>
                <w:szCs w:val="18"/>
              </w:rPr>
            </w:pPr>
            <w:r>
              <w:rPr>
                <w:sz w:val="18"/>
                <w:szCs w:val="18"/>
              </w:rPr>
              <w:t>生态保护措施</w:t>
            </w:r>
          </w:p>
        </w:tc>
        <w:tc>
          <w:tcPr>
            <w:tcW w:w="7010" w:type="dxa"/>
            <w:gridSpan w:val="4"/>
            <w:vAlign w:val="center"/>
          </w:tcPr>
          <w:p>
            <w:pPr>
              <w:adjustRightInd w:val="0"/>
              <w:snapToGrid w:val="0"/>
              <w:spacing w:line="380" w:lineRule="atLeast"/>
              <w:ind w:firstLine="0" w:firstLineChars="0"/>
              <w:jc w:val="center"/>
              <w:rPr>
                <w:sz w:val="18"/>
                <w:szCs w:val="18"/>
              </w:rPr>
            </w:pPr>
            <w:r>
              <w:rPr>
                <w:rFonts w:hint="eastAsia"/>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08" w:type="dxa"/>
            <w:vAlign w:val="center"/>
          </w:tcPr>
          <w:p>
            <w:pPr>
              <w:adjustRightInd w:val="0"/>
              <w:snapToGrid w:val="0"/>
              <w:spacing w:line="380" w:lineRule="atLeast"/>
              <w:ind w:firstLine="0" w:firstLineChars="0"/>
              <w:jc w:val="center"/>
              <w:rPr>
                <w:sz w:val="18"/>
                <w:szCs w:val="18"/>
              </w:rPr>
            </w:pPr>
            <w:r>
              <w:rPr>
                <w:sz w:val="18"/>
                <w:szCs w:val="18"/>
              </w:rPr>
              <w:t>环境风险防范措施</w:t>
            </w:r>
          </w:p>
        </w:tc>
        <w:tc>
          <w:tcPr>
            <w:tcW w:w="7010" w:type="dxa"/>
            <w:gridSpan w:val="4"/>
            <w:vAlign w:val="center"/>
          </w:tcPr>
          <w:p>
            <w:pPr>
              <w:adjustRightInd w:val="0"/>
              <w:snapToGrid w:val="0"/>
              <w:spacing w:line="380" w:lineRule="atLeast"/>
              <w:ind w:firstLine="0" w:firstLineChars="0"/>
              <w:jc w:val="left"/>
              <w:rPr>
                <w:sz w:val="18"/>
                <w:szCs w:val="18"/>
              </w:rPr>
            </w:pPr>
            <w:r>
              <w:rPr>
                <w:sz w:val="18"/>
                <w:szCs w:val="18"/>
              </w:rPr>
              <w:t>对涉及本项目试验的相关人员进行培训。制定本项目实验室</w:t>
            </w:r>
            <w:r>
              <w:rPr>
                <w:rFonts w:hint="eastAsia"/>
                <w:sz w:val="18"/>
                <w:szCs w:val="18"/>
              </w:rPr>
              <w:t>安全操作规程、化学品管理规程，</w:t>
            </w:r>
            <w:r>
              <w:rPr>
                <w:sz w:val="18"/>
                <w:szCs w:val="18"/>
              </w:rPr>
              <w:t>制定有相关应急预案。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08" w:type="dxa"/>
            <w:vAlign w:val="center"/>
          </w:tcPr>
          <w:p>
            <w:pPr>
              <w:adjustRightInd w:val="0"/>
              <w:snapToGrid w:val="0"/>
              <w:spacing w:line="380" w:lineRule="atLeast"/>
              <w:ind w:firstLine="0" w:firstLineChars="0"/>
              <w:jc w:val="center"/>
              <w:rPr>
                <w:sz w:val="18"/>
                <w:szCs w:val="18"/>
              </w:rPr>
            </w:pPr>
            <w:r>
              <w:rPr>
                <w:sz w:val="18"/>
                <w:szCs w:val="18"/>
              </w:rPr>
              <w:t>其他环境管理要求</w:t>
            </w:r>
          </w:p>
        </w:tc>
        <w:tc>
          <w:tcPr>
            <w:tcW w:w="7010" w:type="dxa"/>
            <w:gridSpan w:val="4"/>
            <w:vAlign w:val="center"/>
          </w:tcPr>
          <w:p>
            <w:pPr>
              <w:adjustRightInd w:val="0"/>
              <w:snapToGrid w:val="0"/>
              <w:spacing w:line="380" w:lineRule="atLeast"/>
              <w:ind w:firstLine="0" w:firstLineChars="0"/>
              <w:jc w:val="left"/>
              <w:rPr>
                <w:sz w:val="18"/>
                <w:szCs w:val="18"/>
              </w:rPr>
            </w:pPr>
            <w:r>
              <w:rPr>
                <w:sz w:val="18"/>
                <w:szCs w:val="18"/>
              </w:rPr>
              <w:t>及时完成竣工环境保护验收监测以及突发环境事件应急预案编制等工作，完善环保手续，建立健全环保档案，</w:t>
            </w:r>
            <w:r>
              <w:rPr>
                <w:rFonts w:hint="eastAsia"/>
                <w:sz w:val="18"/>
                <w:szCs w:val="18"/>
              </w:rPr>
              <w:t>并按规范进行管理；定时按照环境监测计划进行监测</w:t>
            </w:r>
          </w:p>
        </w:tc>
      </w:tr>
    </w:tbl>
    <w:p>
      <w:pPr>
        <w:ind w:firstLine="480"/>
        <w:rPr>
          <w:snapToGrid w:val="0"/>
        </w:rPr>
        <w:sectPr>
          <w:pgSz w:w="11906" w:h="16838"/>
          <w:pgMar w:top="1560" w:right="1700" w:bottom="1701" w:left="1701" w:header="851" w:footer="851" w:gutter="0"/>
          <w:pgNumType w:fmt="numberInDash"/>
          <w:cols w:space="720" w:num="1"/>
          <w:docGrid w:linePitch="312" w:charSpace="0"/>
        </w:sectPr>
      </w:pPr>
    </w:p>
    <w:p>
      <w:pPr>
        <w:pStyle w:val="29"/>
        <w:spacing w:before="0" w:beforeAutospacing="0" w:after="0" w:afterAutospacing="0" w:line="240" w:lineRule="auto"/>
        <w:ind w:firstLine="0" w:firstLineChars="0"/>
        <w:jc w:val="center"/>
        <w:outlineLvl w:val="0"/>
        <w:rPr>
          <w:rFonts w:cs="宋体"/>
          <w:b/>
          <w:bCs/>
          <w:snapToGrid w:val="0"/>
          <w:sz w:val="30"/>
          <w:szCs w:val="30"/>
        </w:rPr>
      </w:pPr>
      <w:bookmarkStart w:id="14" w:name="_Toc108119961"/>
      <w:r>
        <w:rPr>
          <w:rFonts w:cs="宋体"/>
          <w:b/>
          <w:bCs/>
          <w:snapToGrid w:val="0"/>
          <w:sz w:val="30"/>
          <w:szCs w:val="30"/>
        </w:rPr>
        <w:t>六、结论</w:t>
      </w:r>
      <w:bookmarkEnd w:id="14"/>
    </w:p>
    <w:tbl>
      <w:tblPr>
        <w:tblStyle w:val="3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483" w:type="dxa"/>
          </w:tcPr>
          <w:p>
            <w:pPr>
              <w:ind w:firstLine="480"/>
              <w:rPr>
                <w:szCs w:val="24"/>
              </w:rPr>
            </w:pPr>
            <w:r>
              <w:rPr>
                <w:rFonts w:hint="eastAsia"/>
                <w:szCs w:val="21"/>
              </w:rPr>
              <w:t>四川省巴中水文水资源勘测中心水质分析实验室建设项目</w:t>
            </w:r>
            <w:r>
              <w:rPr>
                <w:szCs w:val="24"/>
              </w:rPr>
              <w:t>符合国家现行产业政策</w:t>
            </w:r>
            <w:r>
              <w:rPr>
                <w:rFonts w:hint="eastAsia"/>
                <w:szCs w:val="24"/>
              </w:rPr>
              <w:t>、</w:t>
            </w:r>
            <w:r>
              <w:rPr>
                <w:szCs w:val="24"/>
              </w:rPr>
              <w:t>符合</w:t>
            </w:r>
            <w:r>
              <w:rPr>
                <w:rFonts w:hint="eastAsia"/>
                <w:szCs w:val="24"/>
              </w:rPr>
              <w:t>巴中市</w:t>
            </w:r>
            <w:r>
              <w:rPr>
                <w:szCs w:val="24"/>
              </w:rPr>
              <w:t>“三线一单”文件要求、符合</w:t>
            </w:r>
            <w:r>
              <w:rPr>
                <w:rFonts w:hint="eastAsia"/>
                <w:bCs/>
              </w:rPr>
              <w:t>四川巴中经济开发区控制性详细规划修编</w:t>
            </w:r>
            <w:r>
              <w:rPr>
                <w:rFonts w:hint="eastAsia"/>
                <w:szCs w:val="24"/>
              </w:rPr>
              <w:t>要求</w:t>
            </w:r>
            <w:r>
              <w:rPr>
                <w:szCs w:val="24"/>
              </w:rPr>
              <w:t>；项目采取的污染治理措施成熟可靠且技术经济可行，排放污染物能够达到国家和行业规定的标准，对评价区域环境质量不会造成明显影响。项目环境风险影响处于可接受水平，风险防范措施及应急预案切实可行。只要严格落实环境影响报告</w:t>
            </w:r>
            <w:r>
              <w:rPr>
                <w:rFonts w:hint="eastAsia"/>
                <w:szCs w:val="24"/>
              </w:rPr>
              <w:t>表</w:t>
            </w:r>
            <w:r>
              <w:rPr>
                <w:szCs w:val="24"/>
              </w:rPr>
              <w:t>提出的环保对策及措施，严格执行</w:t>
            </w:r>
            <w:r>
              <w:rPr>
                <w:bCs/>
                <w:szCs w:val="24"/>
              </w:rPr>
              <w:t>“</w:t>
            </w:r>
            <w:r>
              <w:rPr>
                <w:szCs w:val="24"/>
              </w:rPr>
              <w:t>三同时</w:t>
            </w:r>
            <w:r>
              <w:rPr>
                <w:bCs/>
                <w:szCs w:val="24"/>
              </w:rPr>
              <w:t>”</w:t>
            </w:r>
            <w:r>
              <w:rPr>
                <w:szCs w:val="24"/>
              </w:rPr>
              <w:t>制度，确保项目污染物达标排放，认真落实环境风险的防范措施及应急预案，本项目的建设从环保角度可行。</w:t>
            </w:r>
          </w:p>
        </w:tc>
      </w:tr>
    </w:tbl>
    <w:p>
      <w:pPr>
        <w:ind w:firstLine="480"/>
        <w:sectPr>
          <w:pgSz w:w="11906" w:h="16838"/>
          <w:pgMar w:top="1418" w:right="1841" w:bottom="1701" w:left="1701" w:header="851" w:footer="851" w:gutter="0"/>
          <w:pgNumType w:fmt="numberInDash"/>
          <w:cols w:space="720" w:num="1"/>
          <w:docGrid w:linePitch="312" w:charSpace="0"/>
        </w:sectPr>
      </w:pPr>
    </w:p>
    <w:p>
      <w:pPr>
        <w:pStyle w:val="29"/>
        <w:spacing w:before="0" w:beforeAutospacing="0" w:after="0" w:afterAutospacing="0" w:line="240" w:lineRule="auto"/>
        <w:ind w:firstLine="0" w:firstLineChars="0"/>
        <w:outlineLvl w:val="0"/>
        <w:rPr>
          <w:rFonts w:cs="宋体"/>
          <w:b/>
          <w:bCs/>
          <w:snapToGrid w:val="0"/>
          <w:sz w:val="30"/>
          <w:szCs w:val="30"/>
        </w:rPr>
      </w:pPr>
      <w:bookmarkStart w:id="15" w:name="_Toc108119962"/>
      <w:r>
        <w:rPr>
          <w:rFonts w:cs="宋体"/>
          <w:b/>
          <w:bCs/>
          <w:snapToGrid w:val="0"/>
          <w:sz w:val="30"/>
          <w:szCs w:val="30"/>
        </w:rPr>
        <w:t>附表  建设项目污染物排放量汇总表</w:t>
      </w:r>
      <w:bookmarkEnd w:id="15"/>
    </w:p>
    <w:tbl>
      <w:tblPr>
        <w:tblStyle w:val="34"/>
        <w:tblW w:w="1416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2268"/>
        <w:gridCol w:w="1560"/>
        <w:gridCol w:w="1030"/>
        <w:gridCol w:w="1701"/>
        <w:gridCol w:w="1559"/>
        <w:gridCol w:w="1761"/>
        <w:gridCol w:w="1745"/>
        <w:gridCol w:w="14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trPr>
        <w:tc>
          <w:tcPr>
            <w:tcW w:w="1124" w:type="dxa"/>
            <w:tcBorders>
              <w:tl2br w:val="single" w:color="auto" w:sz="4" w:space="0"/>
            </w:tcBorders>
            <w:tcMar>
              <w:left w:w="28" w:type="dxa"/>
              <w:right w:w="28" w:type="dxa"/>
            </w:tcMar>
            <w:vAlign w:val="center"/>
          </w:tcPr>
          <w:p>
            <w:pPr>
              <w:pStyle w:val="92"/>
              <w:spacing w:line="360" w:lineRule="exact"/>
              <w:jc w:val="right"/>
              <w:rPr>
                <w:color w:val="auto"/>
                <w:sz w:val="21"/>
                <w:szCs w:val="21"/>
              </w:rPr>
            </w:pPr>
            <w:r>
              <w:rPr>
                <w:color w:val="auto"/>
                <w:sz w:val="21"/>
                <w:szCs w:val="21"/>
              </w:rPr>
              <w:t>项目</w:t>
            </w:r>
          </w:p>
          <w:p>
            <w:pPr>
              <w:pStyle w:val="92"/>
              <w:spacing w:line="360" w:lineRule="exact"/>
              <w:jc w:val="left"/>
              <w:rPr>
                <w:color w:val="auto"/>
                <w:sz w:val="21"/>
                <w:szCs w:val="21"/>
              </w:rPr>
            </w:pPr>
            <w:r>
              <w:rPr>
                <w:color w:val="auto"/>
                <w:sz w:val="21"/>
                <w:szCs w:val="21"/>
              </w:rPr>
              <w:t>分类</w:t>
            </w:r>
          </w:p>
        </w:tc>
        <w:tc>
          <w:tcPr>
            <w:tcW w:w="2268" w:type="dxa"/>
            <w:tcMar>
              <w:left w:w="28" w:type="dxa"/>
              <w:right w:w="28" w:type="dxa"/>
            </w:tcMar>
            <w:vAlign w:val="center"/>
          </w:tcPr>
          <w:p>
            <w:pPr>
              <w:pStyle w:val="92"/>
              <w:spacing w:line="360" w:lineRule="exact"/>
              <w:rPr>
                <w:color w:val="auto"/>
                <w:sz w:val="21"/>
                <w:szCs w:val="21"/>
              </w:rPr>
            </w:pPr>
            <w:r>
              <w:rPr>
                <w:color w:val="auto"/>
                <w:sz w:val="21"/>
                <w:szCs w:val="21"/>
              </w:rPr>
              <w:t>污染物名称</w:t>
            </w:r>
          </w:p>
        </w:tc>
        <w:tc>
          <w:tcPr>
            <w:tcW w:w="1560" w:type="dxa"/>
            <w:tcMar>
              <w:left w:w="28" w:type="dxa"/>
              <w:right w:w="28" w:type="dxa"/>
            </w:tcMar>
            <w:vAlign w:val="center"/>
          </w:tcPr>
          <w:p>
            <w:pPr>
              <w:pStyle w:val="92"/>
              <w:spacing w:line="360" w:lineRule="exact"/>
              <w:rPr>
                <w:color w:val="auto"/>
                <w:sz w:val="21"/>
                <w:szCs w:val="21"/>
              </w:rPr>
            </w:pPr>
            <w:r>
              <w:rPr>
                <w:color w:val="auto"/>
                <w:sz w:val="21"/>
                <w:szCs w:val="21"/>
              </w:rPr>
              <w:t>现有工程排放量（固体废物产生量）</w:t>
            </w:r>
            <w:r>
              <w:rPr>
                <w:color w:val="auto"/>
                <w:sz w:val="21"/>
                <w:szCs w:val="21"/>
              </w:rPr>
              <w:fldChar w:fldCharType="begin"/>
            </w:r>
            <w:r>
              <w:rPr>
                <w:color w:val="auto"/>
                <w:sz w:val="21"/>
                <w:szCs w:val="21"/>
              </w:rPr>
              <w:instrText xml:space="preserve"> = 1 \* GB3 \* MERGEFORMAT </w:instrText>
            </w:r>
            <w:r>
              <w:rPr>
                <w:color w:val="auto"/>
                <w:sz w:val="21"/>
                <w:szCs w:val="21"/>
              </w:rPr>
              <w:fldChar w:fldCharType="separate"/>
            </w:r>
            <w:r>
              <w:rPr>
                <w:rFonts w:hint="eastAsia" w:ascii="宋体" w:hAnsi="宋体" w:cs="宋体"/>
                <w:color w:val="auto"/>
                <w:sz w:val="21"/>
                <w:szCs w:val="21"/>
              </w:rPr>
              <w:t>①</w:t>
            </w:r>
            <w:r>
              <w:rPr>
                <w:color w:val="auto"/>
                <w:sz w:val="21"/>
                <w:szCs w:val="21"/>
              </w:rPr>
              <w:fldChar w:fldCharType="end"/>
            </w:r>
          </w:p>
        </w:tc>
        <w:tc>
          <w:tcPr>
            <w:tcW w:w="1030" w:type="dxa"/>
            <w:tcMar>
              <w:left w:w="28" w:type="dxa"/>
              <w:right w:w="28" w:type="dxa"/>
            </w:tcMar>
            <w:vAlign w:val="center"/>
          </w:tcPr>
          <w:p>
            <w:pPr>
              <w:pStyle w:val="92"/>
              <w:spacing w:line="360" w:lineRule="exact"/>
              <w:rPr>
                <w:color w:val="auto"/>
                <w:sz w:val="21"/>
                <w:szCs w:val="21"/>
              </w:rPr>
            </w:pPr>
            <w:r>
              <w:rPr>
                <w:color w:val="auto"/>
                <w:sz w:val="21"/>
                <w:szCs w:val="21"/>
              </w:rPr>
              <w:t>现有工程许可排放量</w:t>
            </w:r>
            <w:r>
              <w:rPr>
                <w:color w:val="auto"/>
                <w:sz w:val="21"/>
                <w:szCs w:val="21"/>
              </w:rPr>
              <w:fldChar w:fldCharType="begin"/>
            </w:r>
            <w:r>
              <w:rPr>
                <w:color w:val="auto"/>
                <w:sz w:val="21"/>
                <w:szCs w:val="21"/>
              </w:rPr>
              <w:instrText xml:space="preserve"> = 2 \* GB3 \* MERGEFORMAT </w:instrText>
            </w:r>
            <w:r>
              <w:rPr>
                <w:color w:val="auto"/>
                <w:sz w:val="21"/>
                <w:szCs w:val="21"/>
              </w:rPr>
              <w:fldChar w:fldCharType="separate"/>
            </w:r>
            <w:r>
              <w:rPr>
                <w:rFonts w:hint="eastAsia" w:ascii="宋体" w:hAnsi="宋体" w:cs="宋体"/>
                <w:color w:val="auto"/>
                <w:sz w:val="21"/>
                <w:szCs w:val="21"/>
              </w:rPr>
              <w:t>②</w:t>
            </w:r>
            <w:r>
              <w:rPr>
                <w:color w:val="auto"/>
                <w:sz w:val="21"/>
                <w:szCs w:val="21"/>
              </w:rPr>
              <w:fldChar w:fldCharType="end"/>
            </w:r>
          </w:p>
        </w:tc>
        <w:tc>
          <w:tcPr>
            <w:tcW w:w="1701" w:type="dxa"/>
            <w:tcMar>
              <w:left w:w="28" w:type="dxa"/>
              <w:right w:w="28" w:type="dxa"/>
            </w:tcMar>
            <w:vAlign w:val="center"/>
          </w:tcPr>
          <w:p>
            <w:pPr>
              <w:pStyle w:val="92"/>
              <w:spacing w:line="360" w:lineRule="exact"/>
              <w:rPr>
                <w:color w:val="auto"/>
                <w:sz w:val="21"/>
                <w:szCs w:val="21"/>
              </w:rPr>
            </w:pPr>
            <w:r>
              <w:rPr>
                <w:color w:val="auto"/>
                <w:sz w:val="21"/>
                <w:szCs w:val="21"/>
              </w:rPr>
              <w:t>在建工程排放量（固体废物产生量）</w:t>
            </w:r>
            <w:r>
              <w:rPr>
                <w:color w:val="auto"/>
                <w:sz w:val="21"/>
                <w:szCs w:val="21"/>
              </w:rPr>
              <w:fldChar w:fldCharType="begin"/>
            </w:r>
            <w:r>
              <w:rPr>
                <w:color w:val="auto"/>
                <w:sz w:val="21"/>
                <w:szCs w:val="21"/>
              </w:rPr>
              <w:instrText xml:space="preserve"> = 3 \* GB3 \* MERGEFORMAT </w:instrText>
            </w:r>
            <w:r>
              <w:rPr>
                <w:color w:val="auto"/>
                <w:sz w:val="21"/>
                <w:szCs w:val="21"/>
              </w:rPr>
              <w:fldChar w:fldCharType="separate"/>
            </w:r>
            <w:r>
              <w:rPr>
                <w:rFonts w:hint="eastAsia" w:ascii="宋体" w:hAnsi="宋体" w:cs="宋体"/>
                <w:color w:val="auto"/>
                <w:sz w:val="21"/>
                <w:szCs w:val="21"/>
              </w:rPr>
              <w:t>③</w:t>
            </w:r>
            <w:r>
              <w:rPr>
                <w:color w:val="auto"/>
                <w:sz w:val="21"/>
                <w:szCs w:val="21"/>
              </w:rPr>
              <w:fldChar w:fldCharType="end"/>
            </w:r>
          </w:p>
        </w:tc>
        <w:tc>
          <w:tcPr>
            <w:tcW w:w="1559" w:type="dxa"/>
            <w:tcMar>
              <w:left w:w="28" w:type="dxa"/>
              <w:right w:w="28" w:type="dxa"/>
            </w:tcMar>
            <w:vAlign w:val="center"/>
          </w:tcPr>
          <w:p>
            <w:pPr>
              <w:pStyle w:val="92"/>
              <w:spacing w:line="360" w:lineRule="exact"/>
              <w:rPr>
                <w:color w:val="auto"/>
                <w:sz w:val="21"/>
                <w:szCs w:val="21"/>
              </w:rPr>
            </w:pPr>
            <w:r>
              <w:rPr>
                <w:color w:val="auto"/>
                <w:sz w:val="21"/>
                <w:szCs w:val="21"/>
              </w:rPr>
              <w:t>本项目排放量（固体废物产生量）</w:t>
            </w:r>
            <w:r>
              <w:rPr>
                <w:color w:val="auto"/>
                <w:sz w:val="21"/>
                <w:szCs w:val="21"/>
              </w:rPr>
              <w:fldChar w:fldCharType="begin"/>
            </w:r>
            <w:r>
              <w:rPr>
                <w:color w:val="auto"/>
                <w:sz w:val="21"/>
                <w:szCs w:val="21"/>
              </w:rPr>
              <w:instrText xml:space="preserve"> = 4 \* GB3 \* MERGEFORMAT </w:instrText>
            </w:r>
            <w:r>
              <w:rPr>
                <w:color w:val="auto"/>
                <w:sz w:val="21"/>
                <w:szCs w:val="21"/>
              </w:rPr>
              <w:fldChar w:fldCharType="separate"/>
            </w:r>
            <w:r>
              <w:rPr>
                <w:rFonts w:hint="eastAsia" w:ascii="宋体" w:hAnsi="宋体" w:cs="宋体"/>
                <w:color w:val="auto"/>
                <w:sz w:val="21"/>
                <w:szCs w:val="21"/>
              </w:rPr>
              <w:t>④</w:t>
            </w:r>
            <w:r>
              <w:rPr>
                <w:color w:val="auto"/>
                <w:sz w:val="21"/>
                <w:szCs w:val="21"/>
              </w:rPr>
              <w:fldChar w:fldCharType="end"/>
            </w:r>
          </w:p>
        </w:tc>
        <w:tc>
          <w:tcPr>
            <w:tcW w:w="1761" w:type="dxa"/>
            <w:tcMar>
              <w:left w:w="28" w:type="dxa"/>
              <w:right w:w="28" w:type="dxa"/>
            </w:tcMar>
            <w:vAlign w:val="center"/>
          </w:tcPr>
          <w:p>
            <w:pPr>
              <w:pStyle w:val="92"/>
              <w:spacing w:line="360" w:lineRule="exact"/>
              <w:rPr>
                <w:color w:val="auto"/>
                <w:sz w:val="21"/>
                <w:szCs w:val="21"/>
              </w:rPr>
            </w:pPr>
            <w:r>
              <w:rPr>
                <w:color w:val="auto"/>
                <w:sz w:val="21"/>
                <w:szCs w:val="21"/>
              </w:rPr>
              <w:t>以新带老削减量（新建项目不填）</w:t>
            </w:r>
            <w:r>
              <w:rPr>
                <w:color w:val="auto"/>
                <w:sz w:val="21"/>
                <w:szCs w:val="21"/>
              </w:rPr>
              <w:fldChar w:fldCharType="begin"/>
            </w:r>
            <w:r>
              <w:rPr>
                <w:color w:val="auto"/>
                <w:sz w:val="21"/>
                <w:szCs w:val="21"/>
              </w:rPr>
              <w:instrText xml:space="preserve"> = 5 \* GB3 \* MERGEFORMAT </w:instrText>
            </w:r>
            <w:r>
              <w:rPr>
                <w:color w:val="auto"/>
                <w:sz w:val="21"/>
                <w:szCs w:val="21"/>
              </w:rPr>
              <w:fldChar w:fldCharType="separate"/>
            </w:r>
            <w:r>
              <w:rPr>
                <w:rFonts w:hint="eastAsia" w:ascii="宋体" w:hAnsi="宋体" w:cs="宋体"/>
                <w:color w:val="auto"/>
                <w:sz w:val="21"/>
                <w:szCs w:val="21"/>
              </w:rPr>
              <w:t>⑤</w:t>
            </w:r>
            <w:r>
              <w:rPr>
                <w:color w:val="auto"/>
                <w:sz w:val="21"/>
                <w:szCs w:val="21"/>
              </w:rPr>
              <w:fldChar w:fldCharType="end"/>
            </w:r>
          </w:p>
        </w:tc>
        <w:tc>
          <w:tcPr>
            <w:tcW w:w="1745" w:type="dxa"/>
            <w:tcMar>
              <w:left w:w="28" w:type="dxa"/>
              <w:right w:w="28" w:type="dxa"/>
            </w:tcMar>
            <w:vAlign w:val="center"/>
          </w:tcPr>
          <w:p>
            <w:pPr>
              <w:pStyle w:val="92"/>
              <w:spacing w:line="360" w:lineRule="exact"/>
              <w:rPr>
                <w:color w:val="auto"/>
                <w:sz w:val="21"/>
                <w:szCs w:val="21"/>
              </w:rPr>
            </w:pPr>
            <w:r>
              <w:rPr>
                <w:color w:val="auto"/>
                <w:sz w:val="21"/>
                <w:szCs w:val="21"/>
              </w:rPr>
              <w:t>本项目建成后全厂排放量（固体废物产生量）</w:t>
            </w:r>
            <w:r>
              <w:rPr>
                <w:color w:val="auto"/>
                <w:sz w:val="21"/>
                <w:szCs w:val="21"/>
              </w:rPr>
              <w:fldChar w:fldCharType="begin"/>
            </w:r>
            <w:r>
              <w:rPr>
                <w:color w:val="auto"/>
                <w:sz w:val="21"/>
                <w:szCs w:val="21"/>
              </w:rPr>
              <w:instrText xml:space="preserve"> = 6 \* GB3 \* MERGEFORMAT </w:instrText>
            </w:r>
            <w:r>
              <w:rPr>
                <w:color w:val="auto"/>
                <w:sz w:val="21"/>
                <w:szCs w:val="21"/>
              </w:rPr>
              <w:fldChar w:fldCharType="separate"/>
            </w:r>
            <w:r>
              <w:rPr>
                <w:rFonts w:hint="eastAsia" w:ascii="宋体" w:hAnsi="宋体" w:cs="宋体"/>
                <w:color w:val="auto"/>
                <w:sz w:val="21"/>
                <w:szCs w:val="21"/>
              </w:rPr>
              <w:t>⑥</w:t>
            </w:r>
            <w:r>
              <w:rPr>
                <w:color w:val="auto"/>
                <w:sz w:val="21"/>
                <w:szCs w:val="21"/>
              </w:rPr>
              <w:fldChar w:fldCharType="end"/>
            </w:r>
          </w:p>
        </w:tc>
        <w:tc>
          <w:tcPr>
            <w:tcW w:w="1417" w:type="dxa"/>
            <w:tcMar>
              <w:left w:w="28" w:type="dxa"/>
              <w:right w:w="28" w:type="dxa"/>
            </w:tcMar>
            <w:vAlign w:val="center"/>
          </w:tcPr>
          <w:p>
            <w:pPr>
              <w:pStyle w:val="92"/>
              <w:spacing w:line="360" w:lineRule="exact"/>
              <w:rPr>
                <w:color w:val="auto"/>
                <w:sz w:val="21"/>
                <w:szCs w:val="21"/>
              </w:rPr>
            </w:pPr>
            <w:r>
              <w:rPr>
                <w:color w:val="auto"/>
                <w:sz w:val="21"/>
                <w:szCs w:val="21"/>
              </w:rPr>
              <w:t>变化量</w:t>
            </w:r>
            <w:r>
              <w:rPr>
                <w:color w:val="auto"/>
                <w:sz w:val="21"/>
                <w:szCs w:val="21"/>
              </w:rPr>
              <w:fldChar w:fldCharType="begin"/>
            </w:r>
            <w:r>
              <w:rPr>
                <w:color w:val="auto"/>
                <w:sz w:val="21"/>
                <w:szCs w:val="21"/>
              </w:rPr>
              <w:instrText xml:space="preserve"> = 7 \* GB3 \* MERGEFORMAT </w:instrText>
            </w:r>
            <w:r>
              <w:rPr>
                <w:color w:val="auto"/>
                <w:sz w:val="21"/>
                <w:szCs w:val="21"/>
              </w:rPr>
              <w:fldChar w:fldCharType="separate"/>
            </w:r>
            <w:r>
              <w:rPr>
                <w:rFonts w:hint="eastAsia" w:ascii="宋体" w:hAnsi="宋体" w:cs="宋体"/>
                <w:color w:val="auto"/>
                <w:sz w:val="21"/>
                <w:szCs w:val="21"/>
              </w:rPr>
              <w:t>⑦</w:t>
            </w:r>
            <w:r>
              <w:rPr>
                <w:color w:val="auto"/>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24" w:type="dxa"/>
            <w:vMerge w:val="restart"/>
            <w:vAlign w:val="center"/>
          </w:tcPr>
          <w:p>
            <w:pPr>
              <w:pStyle w:val="92"/>
              <w:spacing w:line="360" w:lineRule="exact"/>
              <w:rPr>
                <w:color w:val="auto"/>
                <w:sz w:val="21"/>
                <w:szCs w:val="21"/>
              </w:rPr>
            </w:pPr>
            <w:r>
              <w:rPr>
                <w:color w:val="auto"/>
                <w:sz w:val="21"/>
                <w:szCs w:val="21"/>
              </w:rPr>
              <w:t>废气</w:t>
            </w:r>
          </w:p>
        </w:tc>
        <w:tc>
          <w:tcPr>
            <w:tcW w:w="2268" w:type="dxa"/>
            <w:vAlign w:val="center"/>
          </w:tcPr>
          <w:p>
            <w:pPr>
              <w:pStyle w:val="92"/>
              <w:spacing w:line="360" w:lineRule="exact"/>
              <w:rPr>
                <w:color w:val="auto"/>
                <w:sz w:val="21"/>
                <w:szCs w:val="21"/>
              </w:rPr>
            </w:pPr>
            <w:r>
              <w:rPr>
                <w:rFonts w:hint="eastAsia"/>
                <w:color w:val="auto"/>
                <w:sz w:val="21"/>
                <w:szCs w:val="21"/>
              </w:rPr>
              <w:t>VOCs</w:t>
            </w:r>
          </w:p>
        </w:tc>
        <w:tc>
          <w:tcPr>
            <w:tcW w:w="1560" w:type="dxa"/>
            <w:vAlign w:val="center"/>
          </w:tcPr>
          <w:p>
            <w:pPr>
              <w:pStyle w:val="92"/>
              <w:spacing w:line="360" w:lineRule="exact"/>
              <w:rPr>
                <w:color w:val="auto"/>
                <w:sz w:val="21"/>
                <w:szCs w:val="21"/>
              </w:rPr>
            </w:pPr>
            <w:r>
              <w:rPr>
                <w:rFonts w:hint="eastAsia"/>
                <w:color w:val="auto"/>
                <w:sz w:val="21"/>
                <w:szCs w:val="21"/>
              </w:rPr>
              <w:t>0</w:t>
            </w:r>
          </w:p>
        </w:tc>
        <w:tc>
          <w:tcPr>
            <w:tcW w:w="1030" w:type="dxa"/>
            <w:vAlign w:val="center"/>
          </w:tcPr>
          <w:p>
            <w:pPr>
              <w:pStyle w:val="92"/>
              <w:spacing w:line="360" w:lineRule="exact"/>
              <w:rPr>
                <w:color w:val="auto"/>
                <w:sz w:val="21"/>
                <w:szCs w:val="21"/>
              </w:rPr>
            </w:pPr>
            <w:r>
              <w:rPr>
                <w:rFonts w:hint="eastAsia"/>
                <w:color w:val="auto"/>
                <w:sz w:val="21"/>
                <w:szCs w:val="21"/>
              </w:rPr>
              <w:t>0</w:t>
            </w:r>
          </w:p>
        </w:tc>
        <w:tc>
          <w:tcPr>
            <w:tcW w:w="1701" w:type="dxa"/>
            <w:vAlign w:val="center"/>
          </w:tcPr>
          <w:p>
            <w:pPr>
              <w:pStyle w:val="92"/>
              <w:spacing w:line="360" w:lineRule="exact"/>
              <w:rPr>
                <w:color w:val="auto"/>
                <w:sz w:val="21"/>
                <w:szCs w:val="21"/>
              </w:rPr>
            </w:pPr>
            <w:r>
              <w:rPr>
                <w:rFonts w:hint="eastAsia"/>
                <w:color w:val="auto"/>
                <w:sz w:val="21"/>
                <w:szCs w:val="21"/>
              </w:rPr>
              <w:t>0</w:t>
            </w:r>
          </w:p>
        </w:tc>
        <w:tc>
          <w:tcPr>
            <w:tcW w:w="1559" w:type="dxa"/>
            <w:vAlign w:val="center"/>
          </w:tcPr>
          <w:p>
            <w:pPr>
              <w:pStyle w:val="92"/>
              <w:spacing w:line="360" w:lineRule="exact"/>
              <w:rPr>
                <w:color w:val="auto"/>
                <w:sz w:val="21"/>
                <w:szCs w:val="21"/>
              </w:rPr>
            </w:pPr>
            <w:r>
              <w:rPr>
                <w:color w:val="auto"/>
                <w:sz w:val="21"/>
                <w:szCs w:val="21"/>
              </w:rPr>
              <w:t>1.423</w:t>
            </w:r>
            <w:r>
              <w:rPr>
                <w:rFonts w:hint="eastAsia"/>
                <w:color w:val="auto"/>
                <w:sz w:val="21"/>
                <w:szCs w:val="21"/>
              </w:rPr>
              <w:t>kg</w:t>
            </w:r>
            <w:r>
              <w:rPr>
                <w:color w:val="auto"/>
                <w:sz w:val="21"/>
                <w:szCs w:val="21"/>
              </w:rPr>
              <w:t>/</w:t>
            </w:r>
            <w:r>
              <w:rPr>
                <w:rFonts w:hint="eastAsia"/>
                <w:color w:val="auto"/>
                <w:sz w:val="21"/>
                <w:szCs w:val="21"/>
              </w:rPr>
              <w:t>a</w:t>
            </w:r>
          </w:p>
        </w:tc>
        <w:tc>
          <w:tcPr>
            <w:tcW w:w="1761" w:type="dxa"/>
            <w:vAlign w:val="center"/>
          </w:tcPr>
          <w:p>
            <w:pPr>
              <w:pStyle w:val="92"/>
              <w:spacing w:line="360" w:lineRule="exact"/>
              <w:rPr>
                <w:color w:val="auto"/>
                <w:sz w:val="21"/>
                <w:szCs w:val="21"/>
              </w:rPr>
            </w:pPr>
            <w:r>
              <w:rPr>
                <w:rFonts w:hint="eastAsia"/>
                <w:color w:val="auto"/>
                <w:sz w:val="21"/>
                <w:szCs w:val="21"/>
              </w:rPr>
              <w:t>0</w:t>
            </w:r>
          </w:p>
        </w:tc>
        <w:tc>
          <w:tcPr>
            <w:tcW w:w="1745" w:type="dxa"/>
            <w:vAlign w:val="center"/>
          </w:tcPr>
          <w:p>
            <w:pPr>
              <w:pStyle w:val="92"/>
              <w:spacing w:line="360" w:lineRule="exact"/>
              <w:rPr>
                <w:color w:val="auto"/>
                <w:sz w:val="21"/>
                <w:szCs w:val="21"/>
              </w:rPr>
            </w:pPr>
            <w:r>
              <w:rPr>
                <w:color w:val="auto"/>
                <w:sz w:val="21"/>
                <w:szCs w:val="21"/>
              </w:rPr>
              <w:t>1.423</w:t>
            </w:r>
            <w:r>
              <w:rPr>
                <w:rFonts w:hint="eastAsia"/>
                <w:color w:val="auto"/>
                <w:sz w:val="21"/>
                <w:szCs w:val="21"/>
              </w:rPr>
              <w:t>kg</w:t>
            </w:r>
            <w:r>
              <w:rPr>
                <w:color w:val="auto"/>
                <w:sz w:val="21"/>
                <w:szCs w:val="21"/>
              </w:rPr>
              <w:t>/</w:t>
            </w:r>
            <w:r>
              <w:rPr>
                <w:rFonts w:hint="eastAsia"/>
                <w:color w:val="auto"/>
                <w:sz w:val="21"/>
                <w:szCs w:val="21"/>
              </w:rPr>
              <w:t>a</w:t>
            </w:r>
          </w:p>
        </w:tc>
        <w:tc>
          <w:tcPr>
            <w:tcW w:w="1417" w:type="dxa"/>
            <w:vAlign w:val="center"/>
          </w:tcPr>
          <w:p>
            <w:pPr>
              <w:pStyle w:val="92"/>
              <w:spacing w:line="360" w:lineRule="exact"/>
              <w:rPr>
                <w:color w:val="auto"/>
                <w:sz w:val="21"/>
                <w:szCs w:val="21"/>
              </w:rPr>
            </w:pPr>
            <w:r>
              <w:rPr>
                <w:color w:val="auto"/>
                <w:sz w:val="21"/>
                <w:szCs w:val="21"/>
              </w:rPr>
              <w:t>+1.423</w:t>
            </w:r>
            <w:r>
              <w:rPr>
                <w:rFonts w:hint="eastAsia"/>
                <w:color w:val="auto"/>
                <w:sz w:val="21"/>
                <w:szCs w:val="21"/>
              </w:rPr>
              <w:t>kg</w:t>
            </w:r>
            <w:r>
              <w:rPr>
                <w:color w:val="auto"/>
                <w:sz w:val="21"/>
                <w:szCs w:val="21"/>
              </w:rPr>
              <w:t>/</w:t>
            </w:r>
            <w:r>
              <w:rPr>
                <w:rFonts w:hint="eastAsia"/>
                <w:color w:val="auto"/>
                <w:sz w:val="21"/>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24" w:type="dxa"/>
            <w:vMerge w:val="continue"/>
            <w:vAlign w:val="center"/>
          </w:tcPr>
          <w:p>
            <w:pPr>
              <w:pStyle w:val="92"/>
              <w:spacing w:line="360" w:lineRule="exact"/>
              <w:rPr>
                <w:color w:val="auto"/>
                <w:sz w:val="21"/>
                <w:szCs w:val="21"/>
              </w:rPr>
            </w:pPr>
          </w:p>
        </w:tc>
        <w:tc>
          <w:tcPr>
            <w:tcW w:w="2268" w:type="dxa"/>
            <w:vAlign w:val="center"/>
          </w:tcPr>
          <w:p>
            <w:pPr>
              <w:pStyle w:val="92"/>
              <w:spacing w:line="360" w:lineRule="exact"/>
              <w:rPr>
                <w:color w:val="auto"/>
                <w:sz w:val="21"/>
                <w:szCs w:val="21"/>
              </w:rPr>
            </w:pPr>
            <w:r>
              <w:rPr>
                <w:rFonts w:hint="eastAsia"/>
                <w:color w:val="auto"/>
                <w:sz w:val="21"/>
                <w:szCs w:val="21"/>
              </w:rPr>
              <w:t>硫酸雾</w:t>
            </w:r>
          </w:p>
        </w:tc>
        <w:tc>
          <w:tcPr>
            <w:tcW w:w="1560" w:type="dxa"/>
            <w:vAlign w:val="center"/>
          </w:tcPr>
          <w:p>
            <w:pPr>
              <w:pStyle w:val="92"/>
              <w:spacing w:line="360" w:lineRule="exact"/>
              <w:rPr>
                <w:color w:val="auto"/>
                <w:sz w:val="21"/>
                <w:szCs w:val="21"/>
              </w:rPr>
            </w:pPr>
            <w:r>
              <w:rPr>
                <w:rFonts w:hint="eastAsia"/>
                <w:color w:val="auto"/>
                <w:sz w:val="21"/>
                <w:szCs w:val="21"/>
              </w:rPr>
              <w:t>0</w:t>
            </w:r>
          </w:p>
        </w:tc>
        <w:tc>
          <w:tcPr>
            <w:tcW w:w="1030" w:type="dxa"/>
            <w:vAlign w:val="center"/>
          </w:tcPr>
          <w:p>
            <w:pPr>
              <w:pStyle w:val="92"/>
              <w:spacing w:line="360" w:lineRule="exact"/>
              <w:rPr>
                <w:color w:val="auto"/>
                <w:sz w:val="21"/>
                <w:szCs w:val="21"/>
              </w:rPr>
            </w:pPr>
            <w:r>
              <w:rPr>
                <w:rFonts w:hint="eastAsia"/>
                <w:color w:val="auto"/>
                <w:sz w:val="21"/>
                <w:szCs w:val="21"/>
              </w:rPr>
              <w:t>0</w:t>
            </w:r>
          </w:p>
        </w:tc>
        <w:tc>
          <w:tcPr>
            <w:tcW w:w="1701" w:type="dxa"/>
            <w:vAlign w:val="center"/>
          </w:tcPr>
          <w:p>
            <w:pPr>
              <w:pStyle w:val="92"/>
              <w:spacing w:line="360" w:lineRule="exact"/>
              <w:rPr>
                <w:color w:val="auto"/>
                <w:sz w:val="21"/>
                <w:szCs w:val="21"/>
              </w:rPr>
            </w:pPr>
            <w:r>
              <w:rPr>
                <w:rFonts w:hint="eastAsia"/>
                <w:color w:val="auto"/>
                <w:sz w:val="21"/>
                <w:szCs w:val="21"/>
              </w:rPr>
              <w:t>0</w:t>
            </w:r>
          </w:p>
        </w:tc>
        <w:tc>
          <w:tcPr>
            <w:tcW w:w="1559" w:type="dxa"/>
            <w:vAlign w:val="center"/>
          </w:tcPr>
          <w:p>
            <w:pPr>
              <w:pStyle w:val="92"/>
              <w:spacing w:line="360" w:lineRule="exact"/>
              <w:rPr>
                <w:color w:val="auto"/>
                <w:sz w:val="21"/>
                <w:szCs w:val="21"/>
              </w:rPr>
            </w:pPr>
            <w:r>
              <w:rPr>
                <w:rFonts w:hint="eastAsia"/>
                <w:color w:val="auto"/>
                <w:sz w:val="21"/>
                <w:szCs w:val="21"/>
              </w:rPr>
              <w:t>1</w:t>
            </w:r>
            <w:r>
              <w:rPr>
                <w:color w:val="auto"/>
                <w:sz w:val="21"/>
                <w:szCs w:val="21"/>
              </w:rPr>
              <w:t>.623</w:t>
            </w:r>
            <w:r>
              <w:rPr>
                <w:rFonts w:hint="eastAsia"/>
                <w:color w:val="auto"/>
                <w:sz w:val="21"/>
                <w:szCs w:val="21"/>
              </w:rPr>
              <w:t xml:space="preserve"> kg</w:t>
            </w:r>
            <w:r>
              <w:rPr>
                <w:color w:val="auto"/>
                <w:sz w:val="21"/>
                <w:szCs w:val="21"/>
              </w:rPr>
              <w:t>/</w:t>
            </w:r>
            <w:r>
              <w:rPr>
                <w:rFonts w:hint="eastAsia"/>
                <w:color w:val="auto"/>
                <w:sz w:val="21"/>
                <w:szCs w:val="21"/>
              </w:rPr>
              <w:t>a</w:t>
            </w:r>
          </w:p>
        </w:tc>
        <w:tc>
          <w:tcPr>
            <w:tcW w:w="1761" w:type="dxa"/>
            <w:vAlign w:val="center"/>
          </w:tcPr>
          <w:p>
            <w:pPr>
              <w:pStyle w:val="92"/>
              <w:spacing w:line="360" w:lineRule="exact"/>
              <w:rPr>
                <w:color w:val="auto"/>
                <w:sz w:val="21"/>
                <w:szCs w:val="21"/>
              </w:rPr>
            </w:pPr>
            <w:r>
              <w:rPr>
                <w:rFonts w:hint="eastAsia"/>
                <w:color w:val="auto"/>
                <w:sz w:val="21"/>
                <w:szCs w:val="21"/>
              </w:rPr>
              <w:t>0</w:t>
            </w:r>
          </w:p>
        </w:tc>
        <w:tc>
          <w:tcPr>
            <w:tcW w:w="1745" w:type="dxa"/>
            <w:vAlign w:val="center"/>
          </w:tcPr>
          <w:p>
            <w:pPr>
              <w:pStyle w:val="92"/>
              <w:spacing w:line="360" w:lineRule="exact"/>
              <w:rPr>
                <w:color w:val="auto"/>
                <w:sz w:val="21"/>
                <w:szCs w:val="21"/>
              </w:rPr>
            </w:pPr>
            <w:r>
              <w:rPr>
                <w:rFonts w:hint="eastAsia"/>
                <w:color w:val="auto"/>
                <w:sz w:val="21"/>
                <w:szCs w:val="21"/>
              </w:rPr>
              <w:t>1</w:t>
            </w:r>
            <w:r>
              <w:rPr>
                <w:color w:val="auto"/>
                <w:sz w:val="21"/>
                <w:szCs w:val="21"/>
              </w:rPr>
              <w:t>.623</w:t>
            </w:r>
            <w:r>
              <w:rPr>
                <w:rFonts w:hint="eastAsia"/>
                <w:color w:val="auto"/>
                <w:sz w:val="21"/>
                <w:szCs w:val="21"/>
              </w:rPr>
              <w:t xml:space="preserve"> kg</w:t>
            </w:r>
            <w:r>
              <w:rPr>
                <w:color w:val="auto"/>
                <w:sz w:val="21"/>
                <w:szCs w:val="21"/>
              </w:rPr>
              <w:t>/</w:t>
            </w:r>
            <w:r>
              <w:rPr>
                <w:rFonts w:hint="eastAsia"/>
                <w:color w:val="auto"/>
                <w:sz w:val="21"/>
                <w:szCs w:val="21"/>
              </w:rPr>
              <w:t>a</w:t>
            </w:r>
          </w:p>
        </w:tc>
        <w:tc>
          <w:tcPr>
            <w:tcW w:w="1417" w:type="dxa"/>
            <w:vAlign w:val="center"/>
          </w:tcPr>
          <w:p>
            <w:pPr>
              <w:pStyle w:val="92"/>
              <w:spacing w:line="360" w:lineRule="exact"/>
              <w:rPr>
                <w:color w:val="auto"/>
                <w:sz w:val="21"/>
                <w:szCs w:val="21"/>
              </w:rPr>
            </w:pPr>
            <w:r>
              <w:rPr>
                <w:color w:val="auto"/>
                <w:sz w:val="21"/>
                <w:szCs w:val="21"/>
              </w:rPr>
              <w:t>+</w:t>
            </w:r>
            <w:r>
              <w:rPr>
                <w:rFonts w:hint="eastAsia"/>
                <w:color w:val="auto"/>
                <w:sz w:val="21"/>
                <w:szCs w:val="21"/>
              </w:rPr>
              <w:t>1</w:t>
            </w:r>
            <w:r>
              <w:rPr>
                <w:color w:val="auto"/>
                <w:sz w:val="21"/>
                <w:szCs w:val="21"/>
              </w:rPr>
              <w:t>.623</w:t>
            </w:r>
            <w:r>
              <w:rPr>
                <w:rFonts w:hint="eastAsia"/>
                <w:color w:val="auto"/>
                <w:sz w:val="21"/>
                <w:szCs w:val="21"/>
              </w:rPr>
              <w:t xml:space="preserve"> kg</w:t>
            </w:r>
            <w:r>
              <w:rPr>
                <w:color w:val="auto"/>
                <w:sz w:val="21"/>
                <w:szCs w:val="21"/>
              </w:rPr>
              <w:t>/</w:t>
            </w:r>
            <w:r>
              <w:rPr>
                <w:rFonts w:hint="eastAsia"/>
                <w:color w:val="auto"/>
                <w:sz w:val="21"/>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24" w:type="dxa"/>
            <w:vMerge w:val="continue"/>
            <w:vAlign w:val="center"/>
          </w:tcPr>
          <w:p>
            <w:pPr>
              <w:pStyle w:val="92"/>
              <w:spacing w:line="360" w:lineRule="exact"/>
              <w:rPr>
                <w:color w:val="auto"/>
                <w:sz w:val="21"/>
                <w:szCs w:val="21"/>
              </w:rPr>
            </w:pPr>
          </w:p>
        </w:tc>
        <w:tc>
          <w:tcPr>
            <w:tcW w:w="2268" w:type="dxa"/>
            <w:vAlign w:val="center"/>
          </w:tcPr>
          <w:p>
            <w:pPr>
              <w:pStyle w:val="92"/>
              <w:spacing w:line="360" w:lineRule="exact"/>
              <w:rPr>
                <w:color w:val="auto"/>
                <w:sz w:val="21"/>
                <w:szCs w:val="21"/>
              </w:rPr>
            </w:pPr>
            <w:r>
              <w:rPr>
                <w:rFonts w:hint="eastAsia"/>
                <w:color w:val="auto"/>
                <w:sz w:val="21"/>
                <w:szCs w:val="21"/>
              </w:rPr>
              <w:t>氯化氢</w:t>
            </w:r>
          </w:p>
        </w:tc>
        <w:tc>
          <w:tcPr>
            <w:tcW w:w="1560" w:type="dxa"/>
            <w:vAlign w:val="center"/>
          </w:tcPr>
          <w:p>
            <w:pPr>
              <w:pStyle w:val="92"/>
              <w:spacing w:line="360" w:lineRule="exact"/>
              <w:rPr>
                <w:color w:val="auto"/>
                <w:sz w:val="21"/>
                <w:szCs w:val="21"/>
              </w:rPr>
            </w:pPr>
            <w:r>
              <w:rPr>
                <w:rFonts w:hint="eastAsia"/>
                <w:color w:val="auto"/>
                <w:sz w:val="21"/>
                <w:szCs w:val="21"/>
              </w:rPr>
              <w:t>0</w:t>
            </w:r>
          </w:p>
        </w:tc>
        <w:tc>
          <w:tcPr>
            <w:tcW w:w="1030" w:type="dxa"/>
            <w:vAlign w:val="center"/>
          </w:tcPr>
          <w:p>
            <w:pPr>
              <w:pStyle w:val="92"/>
              <w:spacing w:line="360" w:lineRule="exact"/>
              <w:rPr>
                <w:color w:val="auto"/>
                <w:sz w:val="21"/>
                <w:szCs w:val="21"/>
              </w:rPr>
            </w:pPr>
            <w:r>
              <w:rPr>
                <w:rFonts w:hint="eastAsia"/>
                <w:color w:val="auto"/>
                <w:sz w:val="21"/>
                <w:szCs w:val="21"/>
              </w:rPr>
              <w:t>0</w:t>
            </w:r>
          </w:p>
        </w:tc>
        <w:tc>
          <w:tcPr>
            <w:tcW w:w="1701" w:type="dxa"/>
            <w:vAlign w:val="center"/>
          </w:tcPr>
          <w:p>
            <w:pPr>
              <w:pStyle w:val="92"/>
              <w:spacing w:line="360" w:lineRule="exact"/>
              <w:rPr>
                <w:color w:val="auto"/>
                <w:sz w:val="21"/>
                <w:szCs w:val="21"/>
              </w:rPr>
            </w:pPr>
            <w:r>
              <w:rPr>
                <w:rFonts w:hint="eastAsia"/>
                <w:color w:val="auto"/>
                <w:sz w:val="21"/>
                <w:szCs w:val="21"/>
              </w:rPr>
              <w:t>0</w:t>
            </w:r>
          </w:p>
        </w:tc>
        <w:tc>
          <w:tcPr>
            <w:tcW w:w="1559" w:type="dxa"/>
            <w:vAlign w:val="center"/>
          </w:tcPr>
          <w:p>
            <w:pPr>
              <w:pStyle w:val="92"/>
              <w:spacing w:line="360" w:lineRule="exact"/>
              <w:rPr>
                <w:color w:val="auto"/>
                <w:sz w:val="21"/>
                <w:szCs w:val="21"/>
              </w:rPr>
            </w:pPr>
            <w:r>
              <w:rPr>
                <w:rFonts w:hint="eastAsia"/>
                <w:color w:val="auto"/>
                <w:sz w:val="21"/>
                <w:szCs w:val="21"/>
              </w:rPr>
              <w:t>0</w:t>
            </w:r>
            <w:r>
              <w:rPr>
                <w:color w:val="auto"/>
                <w:sz w:val="21"/>
                <w:szCs w:val="21"/>
              </w:rPr>
              <w:t>.817</w:t>
            </w:r>
            <w:r>
              <w:rPr>
                <w:rFonts w:hint="eastAsia"/>
                <w:color w:val="auto"/>
                <w:sz w:val="21"/>
                <w:szCs w:val="21"/>
              </w:rPr>
              <w:t xml:space="preserve"> kg</w:t>
            </w:r>
            <w:r>
              <w:rPr>
                <w:color w:val="auto"/>
                <w:sz w:val="21"/>
                <w:szCs w:val="21"/>
              </w:rPr>
              <w:t>/</w:t>
            </w:r>
            <w:r>
              <w:rPr>
                <w:rFonts w:hint="eastAsia"/>
                <w:color w:val="auto"/>
                <w:sz w:val="21"/>
                <w:szCs w:val="21"/>
              </w:rPr>
              <w:t>a</w:t>
            </w:r>
          </w:p>
        </w:tc>
        <w:tc>
          <w:tcPr>
            <w:tcW w:w="1761" w:type="dxa"/>
            <w:vAlign w:val="center"/>
          </w:tcPr>
          <w:p>
            <w:pPr>
              <w:pStyle w:val="92"/>
              <w:spacing w:line="360" w:lineRule="exact"/>
              <w:rPr>
                <w:color w:val="auto"/>
                <w:sz w:val="21"/>
                <w:szCs w:val="21"/>
              </w:rPr>
            </w:pPr>
            <w:r>
              <w:rPr>
                <w:rFonts w:hint="eastAsia"/>
                <w:color w:val="auto"/>
                <w:sz w:val="21"/>
                <w:szCs w:val="21"/>
              </w:rPr>
              <w:t>0</w:t>
            </w:r>
          </w:p>
        </w:tc>
        <w:tc>
          <w:tcPr>
            <w:tcW w:w="1745" w:type="dxa"/>
            <w:vAlign w:val="center"/>
          </w:tcPr>
          <w:p>
            <w:pPr>
              <w:pStyle w:val="92"/>
              <w:spacing w:line="360" w:lineRule="exact"/>
              <w:rPr>
                <w:color w:val="auto"/>
                <w:sz w:val="21"/>
                <w:szCs w:val="21"/>
              </w:rPr>
            </w:pPr>
            <w:r>
              <w:rPr>
                <w:rFonts w:hint="eastAsia"/>
                <w:color w:val="auto"/>
                <w:sz w:val="21"/>
                <w:szCs w:val="21"/>
              </w:rPr>
              <w:t>0</w:t>
            </w:r>
            <w:r>
              <w:rPr>
                <w:color w:val="auto"/>
                <w:sz w:val="21"/>
                <w:szCs w:val="21"/>
              </w:rPr>
              <w:t>.817</w:t>
            </w:r>
            <w:r>
              <w:rPr>
                <w:rFonts w:hint="eastAsia"/>
                <w:color w:val="auto"/>
                <w:sz w:val="21"/>
                <w:szCs w:val="21"/>
              </w:rPr>
              <w:t xml:space="preserve"> kg</w:t>
            </w:r>
            <w:r>
              <w:rPr>
                <w:color w:val="auto"/>
                <w:sz w:val="21"/>
                <w:szCs w:val="21"/>
              </w:rPr>
              <w:t>/</w:t>
            </w:r>
            <w:r>
              <w:rPr>
                <w:rFonts w:hint="eastAsia"/>
                <w:color w:val="auto"/>
                <w:sz w:val="21"/>
                <w:szCs w:val="21"/>
              </w:rPr>
              <w:t>a</w:t>
            </w:r>
          </w:p>
        </w:tc>
        <w:tc>
          <w:tcPr>
            <w:tcW w:w="1417" w:type="dxa"/>
            <w:vAlign w:val="center"/>
          </w:tcPr>
          <w:p>
            <w:pPr>
              <w:pStyle w:val="92"/>
              <w:spacing w:line="360" w:lineRule="exact"/>
              <w:rPr>
                <w:color w:val="auto"/>
                <w:sz w:val="21"/>
                <w:szCs w:val="21"/>
              </w:rPr>
            </w:pPr>
            <w:r>
              <w:rPr>
                <w:color w:val="auto"/>
                <w:sz w:val="21"/>
                <w:szCs w:val="21"/>
              </w:rPr>
              <w:t>+</w:t>
            </w:r>
            <w:r>
              <w:rPr>
                <w:rFonts w:hint="eastAsia"/>
                <w:color w:val="auto"/>
                <w:sz w:val="21"/>
                <w:szCs w:val="21"/>
              </w:rPr>
              <w:t>0</w:t>
            </w:r>
            <w:r>
              <w:rPr>
                <w:color w:val="auto"/>
                <w:sz w:val="21"/>
                <w:szCs w:val="21"/>
              </w:rPr>
              <w:t>.817</w:t>
            </w:r>
            <w:r>
              <w:rPr>
                <w:rFonts w:hint="eastAsia"/>
                <w:color w:val="auto"/>
                <w:sz w:val="21"/>
                <w:szCs w:val="21"/>
              </w:rPr>
              <w:t xml:space="preserve"> kg</w:t>
            </w:r>
            <w:r>
              <w:rPr>
                <w:color w:val="auto"/>
                <w:sz w:val="21"/>
                <w:szCs w:val="21"/>
              </w:rPr>
              <w:t>/</w:t>
            </w:r>
            <w:r>
              <w:rPr>
                <w:rFonts w:hint="eastAsia"/>
                <w:color w:val="auto"/>
                <w:sz w:val="21"/>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24" w:type="dxa"/>
            <w:vMerge w:val="restart"/>
            <w:vAlign w:val="center"/>
          </w:tcPr>
          <w:p>
            <w:pPr>
              <w:pStyle w:val="92"/>
              <w:spacing w:line="360" w:lineRule="exact"/>
              <w:rPr>
                <w:color w:val="auto"/>
                <w:sz w:val="21"/>
                <w:szCs w:val="21"/>
              </w:rPr>
            </w:pPr>
            <w:r>
              <w:rPr>
                <w:color w:val="auto"/>
                <w:sz w:val="21"/>
                <w:szCs w:val="21"/>
              </w:rPr>
              <w:t>废水</w:t>
            </w:r>
          </w:p>
        </w:tc>
        <w:tc>
          <w:tcPr>
            <w:tcW w:w="2268" w:type="dxa"/>
            <w:vAlign w:val="center"/>
          </w:tcPr>
          <w:p>
            <w:pPr>
              <w:pStyle w:val="92"/>
              <w:spacing w:line="360" w:lineRule="exact"/>
              <w:rPr>
                <w:color w:val="auto"/>
                <w:sz w:val="21"/>
                <w:szCs w:val="21"/>
              </w:rPr>
            </w:pPr>
            <w:r>
              <w:rPr>
                <w:rFonts w:hint="eastAsia"/>
                <w:color w:val="auto"/>
                <w:sz w:val="21"/>
                <w:szCs w:val="21"/>
              </w:rPr>
              <w:t>废水量</w:t>
            </w:r>
          </w:p>
        </w:tc>
        <w:tc>
          <w:tcPr>
            <w:tcW w:w="1560" w:type="dxa"/>
            <w:vAlign w:val="center"/>
          </w:tcPr>
          <w:p>
            <w:pPr>
              <w:pStyle w:val="92"/>
              <w:spacing w:line="360" w:lineRule="exact"/>
              <w:rPr>
                <w:color w:val="auto"/>
                <w:sz w:val="21"/>
                <w:szCs w:val="21"/>
              </w:rPr>
            </w:pPr>
            <w:r>
              <w:rPr>
                <w:rFonts w:hint="eastAsia"/>
                <w:color w:val="auto"/>
                <w:sz w:val="21"/>
                <w:szCs w:val="21"/>
              </w:rPr>
              <w:t>0</w:t>
            </w:r>
          </w:p>
        </w:tc>
        <w:tc>
          <w:tcPr>
            <w:tcW w:w="1030" w:type="dxa"/>
            <w:vAlign w:val="center"/>
          </w:tcPr>
          <w:p>
            <w:pPr>
              <w:pStyle w:val="92"/>
              <w:spacing w:line="360" w:lineRule="exact"/>
              <w:rPr>
                <w:color w:val="auto"/>
                <w:sz w:val="21"/>
                <w:szCs w:val="21"/>
              </w:rPr>
            </w:pPr>
            <w:r>
              <w:rPr>
                <w:rFonts w:hint="eastAsia"/>
                <w:color w:val="auto"/>
                <w:sz w:val="21"/>
                <w:szCs w:val="21"/>
              </w:rPr>
              <w:t>0</w:t>
            </w:r>
          </w:p>
        </w:tc>
        <w:tc>
          <w:tcPr>
            <w:tcW w:w="1701" w:type="dxa"/>
            <w:vAlign w:val="center"/>
          </w:tcPr>
          <w:p>
            <w:pPr>
              <w:pStyle w:val="92"/>
              <w:spacing w:line="360" w:lineRule="exact"/>
              <w:rPr>
                <w:color w:val="auto"/>
                <w:sz w:val="21"/>
                <w:szCs w:val="21"/>
              </w:rPr>
            </w:pPr>
            <w:r>
              <w:rPr>
                <w:rFonts w:hint="eastAsia"/>
                <w:color w:val="auto"/>
                <w:sz w:val="21"/>
                <w:szCs w:val="21"/>
              </w:rPr>
              <w:t>0</w:t>
            </w:r>
          </w:p>
        </w:tc>
        <w:tc>
          <w:tcPr>
            <w:tcW w:w="1559" w:type="dxa"/>
            <w:vAlign w:val="center"/>
          </w:tcPr>
          <w:p>
            <w:pPr>
              <w:pStyle w:val="92"/>
              <w:spacing w:line="360" w:lineRule="exact"/>
              <w:rPr>
                <w:color w:val="auto"/>
                <w:sz w:val="21"/>
                <w:szCs w:val="21"/>
              </w:rPr>
            </w:pPr>
            <w:r>
              <w:rPr>
                <w:color w:val="auto"/>
                <w:sz w:val="21"/>
                <w:szCs w:val="21"/>
              </w:rPr>
              <w:t>203.32</w:t>
            </w:r>
            <w:r>
              <w:rPr>
                <w:rFonts w:hint="eastAsia"/>
                <w:color w:val="auto"/>
                <w:sz w:val="21"/>
                <w:szCs w:val="21"/>
              </w:rPr>
              <w:t>m</w:t>
            </w:r>
            <w:r>
              <w:rPr>
                <w:color w:val="auto"/>
                <w:sz w:val="21"/>
                <w:szCs w:val="21"/>
                <w:vertAlign w:val="superscript"/>
              </w:rPr>
              <w:t>3</w:t>
            </w:r>
            <w:r>
              <w:rPr>
                <w:color w:val="auto"/>
                <w:sz w:val="21"/>
                <w:szCs w:val="21"/>
              </w:rPr>
              <w:t>/</w:t>
            </w:r>
            <w:r>
              <w:rPr>
                <w:rFonts w:hint="eastAsia"/>
                <w:color w:val="auto"/>
                <w:sz w:val="21"/>
                <w:szCs w:val="21"/>
              </w:rPr>
              <w:t>a</w:t>
            </w:r>
          </w:p>
        </w:tc>
        <w:tc>
          <w:tcPr>
            <w:tcW w:w="1761" w:type="dxa"/>
            <w:vAlign w:val="center"/>
          </w:tcPr>
          <w:p>
            <w:pPr>
              <w:pStyle w:val="92"/>
              <w:spacing w:line="360" w:lineRule="exact"/>
              <w:rPr>
                <w:color w:val="auto"/>
                <w:sz w:val="21"/>
                <w:szCs w:val="21"/>
              </w:rPr>
            </w:pPr>
            <w:r>
              <w:rPr>
                <w:rFonts w:hint="eastAsia"/>
                <w:color w:val="auto"/>
                <w:sz w:val="21"/>
                <w:szCs w:val="21"/>
              </w:rPr>
              <w:t>0</w:t>
            </w:r>
          </w:p>
        </w:tc>
        <w:tc>
          <w:tcPr>
            <w:tcW w:w="1745" w:type="dxa"/>
            <w:vAlign w:val="center"/>
          </w:tcPr>
          <w:p>
            <w:pPr>
              <w:pStyle w:val="92"/>
              <w:spacing w:line="360" w:lineRule="exact"/>
              <w:rPr>
                <w:color w:val="auto"/>
                <w:sz w:val="21"/>
                <w:szCs w:val="21"/>
              </w:rPr>
            </w:pPr>
            <w:r>
              <w:rPr>
                <w:color w:val="auto"/>
                <w:sz w:val="21"/>
                <w:szCs w:val="21"/>
              </w:rPr>
              <w:t>203.32</w:t>
            </w:r>
            <w:r>
              <w:rPr>
                <w:rFonts w:hint="eastAsia"/>
                <w:color w:val="auto"/>
                <w:sz w:val="21"/>
                <w:szCs w:val="21"/>
              </w:rPr>
              <w:t>m</w:t>
            </w:r>
            <w:r>
              <w:rPr>
                <w:color w:val="auto"/>
                <w:sz w:val="21"/>
                <w:szCs w:val="21"/>
                <w:vertAlign w:val="superscript"/>
              </w:rPr>
              <w:t>3</w:t>
            </w:r>
            <w:r>
              <w:rPr>
                <w:color w:val="auto"/>
                <w:sz w:val="21"/>
                <w:szCs w:val="21"/>
              </w:rPr>
              <w:t>/</w:t>
            </w:r>
            <w:r>
              <w:rPr>
                <w:rFonts w:hint="eastAsia"/>
                <w:color w:val="auto"/>
                <w:sz w:val="21"/>
                <w:szCs w:val="21"/>
              </w:rPr>
              <w:t>a</w:t>
            </w:r>
          </w:p>
        </w:tc>
        <w:tc>
          <w:tcPr>
            <w:tcW w:w="1417" w:type="dxa"/>
            <w:vAlign w:val="center"/>
          </w:tcPr>
          <w:p>
            <w:pPr>
              <w:pStyle w:val="92"/>
              <w:spacing w:line="360" w:lineRule="exact"/>
              <w:jc w:val="both"/>
              <w:rPr>
                <w:color w:val="auto"/>
                <w:sz w:val="21"/>
                <w:szCs w:val="21"/>
              </w:rPr>
            </w:pPr>
            <w:r>
              <w:rPr>
                <w:color w:val="auto"/>
                <w:sz w:val="21"/>
                <w:szCs w:val="21"/>
              </w:rPr>
              <w:t>+203.32</w:t>
            </w:r>
            <w:r>
              <w:rPr>
                <w:rFonts w:hint="eastAsia"/>
                <w:color w:val="auto"/>
                <w:sz w:val="21"/>
                <w:szCs w:val="21"/>
              </w:rPr>
              <w:t>m</w:t>
            </w:r>
            <w:r>
              <w:rPr>
                <w:color w:val="auto"/>
                <w:sz w:val="21"/>
                <w:szCs w:val="21"/>
                <w:vertAlign w:val="superscript"/>
              </w:rPr>
              <w:t>3</w:t>
            </w:r>
            <w:r>
              <w:rPr>
                <w:color w:val="auto"/>
                <w:sz w:val="21"/>
                <w:szCs w:val="21"/>
              </w:rPr>
              <w:t>/</w:t>
            </w:r>
            <w:r>
              <w:rPr>
                <w:rFonts w:hint="eastAsia"/>
                <w:color w:val="auto"/>
                <w:sz w:val="21"/>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24" w:type="dxa"/>
            <w:vMerge w:val="continue"/>
            <w:vAlign w:val="center"/>
          </w:tcPr>
          <w:p>
            <w:pPr>
              <w:pStyle w:val="92"/>
              <w:spacing w:line="360" w:lineRule="exact"/>
              <w:rPr>
                <w:color w:val="auto"/>
                <w:sz w:val="21"/>
                <w:szCs w:val="21"/>
              </w:rPr>
            </w:pPr>
          </w:p>
        </w:tc>
        <w:tc>
          <w:tcPr>
            <w:tcW w:w="2268" w:type="dxa"/>
            <w:vAlign w:val="center"/>
          </w:tcPr>
          <w:p>
            <w:pPr>
              <w:pStyle w:val="92"/>
              <w:spacing w:line="360" w:lineRule="exact"/>
              <w:rPr>
                <w:color w:val="auto"/>
                <w:sz w:val="21"/>
                <w:szCs w:val="21"/>
              </w:rPr>
            </w:pPr>
            <w:r>
              <w:rPr>
                <w:rFonts w:hint="eastAsia"/>
                <w:color w:val="auto"/>
                <w:sz w:val="21"/>
                <w:szCs w:val="21"/>
              </w:rPr>
              <w:t>COD</w:t>
            </w:r>
            <w:r>
              <w:rPr>
                <w:rFonts w:hint="eastAsia"/>
                <w:color w:val="auto"/>
                <w:sz w:val="21"/>
                <w:szCs w:val="21"/>
                <w:vertAlign w:val="subscript"/>
              </w:rPr>
              <w:t>Cr</w:t>
            </w:r>
          </w:p>
        </w:tc>
        <w:tc>
          <w:tcPr>
            <w:tcW w:w="1560" w:type="dxa"/>
            <w:vAlign w:val="center"/>
          </w:tcPr>
          <w:p>
            <w:pPr>
              <w:pStyle w:val="92"/>
              <w:spacing w:line="360" w:lineRule="exact"/>
              <w:rPr>
                <w:color w:val="auto"/>
                <w:sz w:val="21"/>
                <w:szCs w:val="21"/>
              </w:rPr>
            </w:pPr>
            <w:r>
              <w:rPr>
                <w:rFonts w:hint="eastAsia"/>
                <w:color w:val="auto"/>
                <w:sz w:val="21"/>
                <w:szCs w:val="21"/>
              </w:rPr>
              <w:t>0</w:t>
            </w:r>
          </w:p>
        </w:tc>
        <w:tc>
          <w:tcPr>
            <w:tcW w:w="1030" w:type="dxa"/>
            <w:vAlign w:val="center"/>
          </w:tcPr>
          <w:p>
            <w:pPr>
              <w:pStyle w:val="92"/>
              <w:spacing w:line="360" w:lineRule="exact"/>
              <w:rPr>
                <w:color w:val="auto"/>
                <w:sz w:val="21"/>
                <w:szCs w:val="21"/>
              </w:rPr>
            </w:pPr>
            <w:r>
              <w:rPr>
                <w:rFonts w:hint="eastAsia"/>
                <w:color w:val="auto"/>
                <w:sz w:val="21"/>
                <w:szCs w:val="21"/>
              </w:rPr>
              <w:t>0</w:t>
            </w:r>
          </w:p>
        </w:tc>
        <w:tc>
          <w:tcPr>
            <w:tcW w:w="1701" w:type="dxa"/>
            <w:vAlign w:val="center"/>
          </w:tcPr>
          <w:p>
            <w:pPr>
              <w:pStyle w:val="92"/>
              <w:spacing w:line="360" w:lineRule="exact"/>
              <w:rPr>
                <w:color w:val="auto"/>
                <w:sz w:val="21"/>
                <w:szCs w:val="21"/>
              </w:rPr>
            </w:pPr>
            <w:r>
              <w:rPr>
                <w:rFonts w:hint="eastAsia"/>
                <w:color w:val="auto"/>
                <w:sz w:val="21"/>
                <w:szCs w:val="21"/>
              </w:rPr>
              <w:t>0</w:t>
            </w:r>
          </w:p>
        </w:tc>
        <w:tc>
          <w:tcPr>
            <w:tcW w:w="1559" w:type="dxa"/>
            <w:vAlign w:val="center"/>
          </w:tcPr>
          <w:p>
            <w:pPr>
              <w:pStyle w:val="92"/>
              <w:spacing w:line="360" w:lineRule="exact"/>
              <w:rPr>
                <w:color w:val="auto"/>
                <w:sz w:val="21"/>
                <w:szCs w:val="21"/>
              </w:rPr>
            </w:pPr>
            <w:r>
              <w:rPr>
                <w:rFonts w:hint="eastAsia"/>
                <w:color w:val="auto"/>
                <w:sz w:val="21"/>
                <w:szCs w:val="21"/>
              </w:rPr>
              <w:t>0</w:t>
            </w:r>
            <w:r>
              <w:rPr>
                <w:color w:val="auto"/>
                <w:sz w:val="21"/>
                <w:szCs w:val="21"/>
              </w:rPr>
              <w:t>.046</w:t>
            </w:r>
            <w:r>
              <w:rPr>
                <w:rFonts w:hint="eastAsia"/>
                <w:color w:val="auto"/>
                <w:sz w:val="21"/>
                <w:szCs w:val="21"/>
              </w:rPr>
              <w:t>t</w:t>
            </w:r>
            <w:r>
              <w:rPr>
                <w:color w:val="auto"/>
                <w:sz w:val="21"/>
                <w:szCs w:val="21"/>
              </w:rPr>
              <w:t>/</w:t>
            </w:r>
            <w:r>
              <w:rPr>
                <w:rFonts w:hint="eastAsia"/>
                <w:color w:val="auto"/>
                <w:sz w:val="21"/>
                <w:szCs w:val="21"/>
              </w:rPr>
              <w:t>a</w:t>
            </w:r>
          </w:p>
        </w:tc>
        <w:tc>
          <w:tcPr>
            <w:tcW w:w="1761" w:type="dxa"/>
            <w:vAlign w:val="center"/>
          </w:tcPr>
          <w:p>
            <w:pPr>
              <w:pStyle w:val="92"/>
              <w:spacing w:line="360" w:lineRule="exact"/>
              <w:rPr>
                <w:color w:val="auto"/>
                <w:sz w:val="21"/>
                <w:szCs w:val="21"/>
              </w:rPr>
            </w:pPr>
            <w:r>
              <w:rPr>
                <w:rFonts w:hint="eastAsia"/>
                <w:color w:val="auto"/>
                <w:sz w:val="21"/>
                <w:szCs w:val="21"/>
              </w:rPr>
              <w:t>0</w:t>
            </w:r>
          </w:p>
        </w:tc>
        <w:tc>
          <w:tcPr>
            <w:tcW w:w="1745" w:type="dxa"/>
            <w:vAlign w:val="center"/>
          </w:tcPr>
          <w:p>
            <w:pPr>
              <w:pStyle w:val="92"/>
              <w:spacing w:line="360" w:lineRule="exact"/>
              <w:rPr>
                <w:color w:val="auto"/>
                <w:sz w:val="21"/>
                <w:szCs w:val="21"/>
              </w:rPr>
            </w:pPr>
            <w:r>
              <w:rPr>
                <w:rFonts w:hint="eastAsia"/>
                <w:color w:val="auto"/>
                <w:sz w:val="21"/>
                <w:szCs w:val="21"/>
              </w:rPr>
              <w:t>0</w:t>
            </w:r>
            <w:r>
              <w:rPr>
                <w:color w:val="auto"/>
                <w:sz w:val="21"/>
                <w:szCs w:val="21"/>
              </w:rPr>
              <w:t>.046</w:t>
            </w:r>
            <w:r>
              <w:rPr>
                <w:rFonts w:hint="eastAsia"/>
                <w:color w:val="auto"/>
                <w:sz w:val="21"/>
                <w:szCs w:val="21"/>
              </w:rPr>
              <w:t>t</w:t>
            </w:r>
            <w:r>
              <w:rPr>
                <w:color w:val="auto"/>
                <w:sz w:val="21"/>
                <w:szCs w:val="21"/>
              </w:rPr>
              <w:t>/</w:t>
            </w:r>
            <w:r>
              <w:rPr>
                <w:rFonts w:hint="eastAsia"/>
                <w:color w:val="auto"/>
                <w:sz w:val="21"/>
                <w:szCs w:val="21"/>
              </w:rPr>
              <w:t>a</w:t>
            </w:r>
          </w:p>
        </w:tc>
        <w:tc>
          <w:tcPr>
            <w:tcW w:w="1417" w:type="dxa"/>
            <w:vAlign w:val="center"/>
          </w:tcPr>
          <w:p>
            <w:pPr>
              <w:pStyle w:val="92"/>
              <w:spacing w:line="360" w:lineRule="exact"/>
              <w:rPr>
                <w:color w:val="auto"/>
                <w:sz w:val="21"/>
                <w:szCs w:val="21"/>
              </w:rPr>
            </w:pPr>
            <w:r>
              <w:rPr>
                <w:color w:val="auto"/>
                <w:sz w:val="21"/>
                <w:szCs w:val="21"/>
              </w:rPr>
              <w:t>+</w:t>
            </w:r>
            <w:r>
              <w:rPr>
                <w:rFonts w:hint="eastAsia"/>
                <w:color w:val="auto"/>
                <w:sz w:val="21"/>
                <w:szCs w:val="21"/>
              </w:rPr>
              <w:t>0</w:t>
            </w:r>
            <w:r>
              <w:rPr>
                <w:color w:val="auto"/>
                <w:sz w:val="21"/>
                <w:szCs w:val="21"/>
              </w:rPr>
              <w:t>.046</w:t>
            </w:r>
            <w:r>
              <w:rPr>
                <w:rFonts w:hint="eastAsia"/>
                <w:color w:val="auto"/>
                <w:sz w:val="21"/>
                <w:szCs w:val="21"/>
              </w:rPr>
              <w:t>t</w:t>
            </w:r>
            <w:r>
              <w:rPr>
                <w:color w:val="auto"/>
                <w:sz w:val="21"/>
                <w:szCs w:val="21"/>
              </w:rPr>
              <w:t>/</w:t>
            </w:r>
            <w:r>
              <w:rPr>
                <w:rFonts w:hint="eastAsia"/>
                <w:color w:val="auto"/>
                <w:sz w:val="21"/>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24" w:type="dxa"/>
            <w:vMerge w:val="continue"/>
            <w:vAlign w:val="center"/>
          </w:tcPr>
          <w:p>
            <w:pPr>
              <w:pStyle w:val="92"/>
              <w:spacing w:line="360" w:lineRule="exact"/>
              <w:rPr>
                <w:color w:val="auto"/>
                <w:sz w:val="21"/>
                <w:szCs w:val="21"/>
              </w:rPr>
            </w:pPr>
          </w:p>
        </w:tc>
        <w:tc>
          <w:tcPr>
            <w:tcW w:w="2268" w:type="dxa"/>
            <w:vAlign w:val="center"/>
          </w:tcPr>
          <w:p>
            <w:pPr>
              <w:pStyle w:val="92"/>
              <w:spacing w:line="360" w:lineRule="exact"/>
              <w:rPr>
                <w:color w:val="auto"/>
                <w:sz w:val="21"/>
                <w:szCs w:val="21"/>
              </w:rPr>
            </w:pPr>
            <w:r>
              <w:rPr>
                <w:rFonts w:hint="eastAsia"/>
                <w:color w:val="auto"/>
                <w:sz w:val="21"/>
                <w:szCs w:val="21"/>
              </w:rPr>
              <w:t>BOD</w:t>
            </w:r>
            <w:r>
              <w:rPr>
                <w:rFonts w:hint="eastAsia"/>
                <w:color w:val="auto"/>
                <w:sz w:val="21"/>
                <w:szCs w:val="21"/>
                <w:vertAlign w:val="subscript"/>
              </w:rPr>
              <w:t>5</w:t>
            </w:r>
          </w:p>
        </w:tc>
        <w:tc>
          <w:tcPr>
            <w:tcW w:w="1560" w:type="dxa"/>
            <w:vAlign w:val="center"/>
          </w:tcPr>
          <w:p>
            <w:pPr>
              <w:pStyle w:val="92"/>
              <w:spacing w:line="360" w:lineRule="exact"/>
              <w:rPr>
                <w:color w:val="auto"/>
                <w:sz w:val="21"/>
                <w:szCs w:val="21"/>
              </w:rPr>
            </w:pPr>
            <w:r>
              <w:rPr>
                <w:rFonts w:hint="eastAsia"/>
                <w:color w:val="auto"/>
                <w:sz w:val="21"/>
                <w:szCs w:val="21"/>
              </w:rPr>
              <w:t>0</w:t>
            </w:r>
          </w:p>
        </w:tc>
        <w:tc>
          <w:tcPr>
            <w:tcW w:w="1030" w:type="dxa"/>
            <w:vAlign w:val="center"/>
          </w:tcPr>
          <w:p>
            <w:pPr>
              <w:pStyle w:val="92"/>
              <w:spacing w:line="360" w:lineRule="exact"/>
              <w:rPr>
                <w:color w:val="auto"/>
                <w:sz w:val="21"/>
                <w:szCs w:val="21"/>
              </w:rPr>
            </w:pPr>
            <w:r>
              <w:rPr>
                <w:rFonts w:hint="eastAsia"/>
                <w:color w:val="auto"/>
                <w:sz w:val="21"/>
                <w:szCs w:val="21"/>
              </w:rPr>
              <w:t>0</w:t>
            </w:r>
          </w:p>
        </w:tc>
        <w:tc>
          <w:tcPr>
            <w:tcW w:w="1701" w:type="dxa"/>
            <w:vAlign w:val="center"/>
          </w:tcPr>
          <w:p>
            <w:pPr>
              <w:pStyle w:val="92"/>
              <w:spacing w:line="360" w:lineRule="exact"/>
              <w:rPr>
                <w:color w:val="auto"/>
                <w:sz w:val="21"/>
                <w:szCs w:val="21"/>
              </w:rPr>
            </w:pPr>
            <w:r>
              <w:rPr>
                <w:rFonts w:hint="eastAsia"/>
                <w:color w:val="auto"/>
                <w:sz w:val="21"/>
                <w:szCs w:val="21"/>
              </w:rPr>
              <w:t>0</w:t>
            </w:r>
          </w:p>
        </w:tc>
        <w:tc>
          <w:tcPr>
            <w:tcW w:w="1559" w:type="dxa"/>
            <w:vAlign w:val="center"/>
          </w:tcPr>
          <w:p>
            <w:pPr>
              <w:pStyle w:val="92"/>
              <w:spacing w:line="360" w:lineRule="exact"/>
              <w:rPr>
                <w:color w:val="auto"/>
                <w:sz w:val="21"/>
                <w:szCs w:val="21"/>
              </w:rPr>
            </w:pPr>
            <w:r>
              <w:rPr>
                <w:rFonts w:hint="eastAsia"/>
                <w:color w:val="auto"/>
                <w:sz w:val="21"/>
                <w:szCs w:val="21"/>
              </w:rPr>
              <w:t>0</w:t>
            </w:r>
            <w:r>
              <w:rPr>
                <w:color w:val="auto"/>
                <w:sz w:val="21"/>
                <w:szCs w:val="21"/>
              </w:rPr>
              <w:t>.024</w:t>
            </w:r>
            <w:r>
              <w:rPr>
                <w:rFonts w:hint="eastAsia"/>
                <w:color w:val="auto"/>
                <w:sz w:val="21"/>
                <w:szCs w:val="21"/>
              </w:rPr>
              <w:t xml:space="preserve"> t</w:t>
            </w:r>
            <w:r>
              <w:rPr>
                <w:color w:val="auto"/>
                <w:sz w:val="21"/>
                <w:szCs w:val="21"/>
              </w:rPr>
              <w:t>/</w:t>
            </w:r>
            <w:r>
              <w:rPr>
                <w:rFonts w:hint="eastAsia"/>
                <w:color w:val="auto"/>
                <w:sz w:val="21"/>
                <w:szCs w:val="21"/>
              </w:rPr>
              <w:t>a</w:t>
            </w:r>
          </w:p>
        </w:tc>
        <w:tc>
          <w:tcPr>
            <w:tcW w:w="1761" w:type="dxa"/>
            <w:vAlign w:val="center"/>
          </w:tcPr>
          <w:p>
            <w:pPr>
              <w:pStyle w:val="92"/>
              <w:spacing w:line="360" w:lineRule="exact"/>
              <w:rPr>
                <w:color w:val="auto"/>
                <w:sz w:val="21"/>
                <w:szCs w:val="21"/>
              </w:rPr>
            </w:pPr>
            <w:r>
              <w:rPr>
                <w:rFonts w:hint="eastAsia"/>
                <w:color w:val="auto"/>
                <w:sz w:val="21"/>
                <w:szCs w:val="21"/>
              </w:rPr>
              <w:t>0</w:t>
            </w:r>
          </w:p>
        </w:tc>
        <w:tc>
          <w:tcPr>
            <w:tcW w:w="1745" w:type="dxa"/>
            <w:vAlign w:val="center"/>
          </w:tcPr>
          <w:p>
            <w:pPr>
              <w:pStyle w:val="92"/>
              <w:spacing w:line="360" w:lineRule="exact"/>
              <w:rPr>
                <w:color w:val="auto"/>
                <w:sz w:val="21"/>
                <w:szCs w:val="21"/>
              </w:rPr>
            </w:pPr>
            <w:r>
              <w:rPr>
                <w:rFonts w:hint="eastAsia"/>
                <w:color w:val="auto"/>
                <w:sz w:val="21"/>
                <w:szCs w:val="21"/>
              </w:rPr>
              <w:t>0</w:t>
            </w:r>
            <w:r>
              <w:rPr>
                <w:color w:val="auto"/>
                <w:sz w:val="21"/>
                <w:szCs w:val="21"/>
              </w:rPr>
              <w:t>.024</w:t>
            </w:r>
            <w:r>
              <w:rPr>
                <w:rFonts w:hint="eastAsia"/>
                <w:color w:val="auto"/>
                <w:sz w:val="21"/>
                <w:szCs w:val="21"/>
              </w:rPr>
              <w:t xml:space="preserve"> t</w:t>
            </w:r>
            <w:r>
              <w:rPr>
                <w:color w:val="auto"/>
                <w:sz w:val="21"/>
                <w:szCs w:val="21"/>
              </w:rPr>
              <w:t>/</w:t>
            </w:r>
            <w:r>
              <w:rPr>
                <w:rFonts w:hint="eastAsia"/>
                <w:color w:val="auto"/>
                <w:sz w:val="21"/>
                <w:szCs w:val="21"/>
              </w:rPr>
              <w:t>a</w:t>
            </w:r>
          </w:p>
        </w:tc>
        <w:tc>
          <w:tcPr>
            <w:tcW w:w="1417" w:type="dxa"/>
            <w:vAlign w:val="center"/>
          </w:tcPr>
          <w:p>
            <w:pPr>
              <w:pStyle w:val="92"/>
              <w:spacing w:line="360" w:lineRule="exact"/>
              <w:rPr>
                <w:color w:val="auto"/>
                <w:sz w:val="21"/>
                <w:szCs w:val="21"/>
              </w:rPr>
            </w:pPr>
            <w:r>
              <w:rPr>
                <w:color w:val="auto"/>
                <w:sz w:val="21"/>
                <w:szCs w:val="21"/>
              </w:rPr>
              <w:t>+</w:t>
            </w:r>
            <w:r>
              <w:rPr>
                <w:rFonts w:hint="eastAsia"/>
                <w:color w:val="auto"/>
                <w:sz w:val="21"/>
                <w:szCs w:val="21"/>
              </w:rPr>
              <w:t>0</w:t>
            </w:r>
            <w:r>
              <w:rPr>
                <w:color w:val="auto"/>
                <w:sz w:val="21"/>
                <w:szCs w:val="21"/>
              </w:rPr>
              <w:t>.024</w:t>
            </w:r>
            <w:r>
              <w:rPr>
                <w:rFonts w:hint="eastAsia"/>
                <w:color w:val="auto"/>
                <w:sz w:val="21"/>
                <w:szCs w:val="21"/>
              </w:rPr>
              <w:t xml:space="preserve"> t</w:t>
            </w:r>
            <w:r>
              <w:rPr>
                <w:color w:val="auto"/>
                <w:sz w:val="21"/>
                <w:szCs w:val="21"/>
              </w:rPr>
              <w:t>/</w:t>
            </w:r>
            <w:r>
              <w:rPr>
                <w:rFonts w:hint="eastAsia"/>
                <w:color w:val="auto"/>
                <w:sz w:val="21"/>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24" w:type="dxa"/>
            <w:vMerge w:val="continue"/>
            <w:vAlign w:val="center"/>
          </w:tcPr>
          <w:p>
            <w:pPr>
              <w:pStyle w:val="92"/>
              <w:spacing w:line="360" w:lineRule="exact"/>
              <w:rPr>
                <w:color w:val="auto"/>
                <w:sz w:val="21"/>
                <w:szCs w:val="21"/>
              </w:rPr>
            </w:pPr>
          </w:p>
        </w:tc>
        <w:tc>
          <w:tcPr>
            <w:tcW w:w="2268" w:type="dxa"/>
            <w:vAlign w:val="center"/>
          </w:tcPr>
          <w:p>
            <w:pPr>
              <w:pStyle w:val="92"/>
              <w:spacing w:line="360" w:lineRule="exact"/>
              <w:rPr>
                <w:color w:val="auto"/>
                <w:sz w:val="21"/>
                <w:szCs w:val="21"/>
              </w:rPr>
            </w:pPr>
            <w:r>
              <w:rPr>
                <w:rFonts w:hint="eastAsia"/>
                <w:color w:val="auto"/>
                <w:sz w:val="21"/>
                <w:szCs w:val="21"/>
              </w:rPr>
              <w:t>氨氮</w:t>
            </w:r>
          </w:p>
        </w:tc>
        <w:tc>
          <w:tcPr>
            <w:tcW w:w="1560" w:type="dxa"/>
            <w:vAlign w:val="center"/>
          </w:tcPr>
          <w:p>
            <w:pPr>
              <w:pStyle w:val="92"/>
              <w:spacing w:line="360" w:lineRule="exact"/>
              <w:rPr>
                <w:color w:val="auto"/>
                <w:sz w:val="21"/>
                <w:szCs w:val="21"/>
              </w:rPr>
            </w:pPr>
            <w:r>
              <w:rPr>
                <w:rFonts w:hint="eastAsia"/>
                <w:color w:val="auto"/>
                <w:sz w:val="21"/>
                <w:szCs w:val="21"/>
              </w:rPr>
              <w:t>0</w:t>
            </w:r>
          </w:p>
        </w:tc>
        <w:tc>
          <w:tcPr>
            <w:tcW w:w="1030" w:type="dxa"/>
            <w:vAlign w:val="center"/>
          </w:tcPr>
          <w:p>
            <w:pPr>
              <w:pStyle w:val="92"/>
              <w:spacing w:line="360" w:lineRule="exact"/>
              <w:rPr>
                <w:color w:val="auto"/>
                <w:sz w:val="21"/>
                <w:szCs w:val="21"/>
              </w:rPr>
            </w:pPr>
            <w:r>
              <w:rPr>
                <w:rFonts w:hint="eastAsia"/>
                <w:color w:val="auto"/>
                <w:sz w:val="21"/>
                <w:szCs w:val="21"/>
              </w:rPr>
              <w:t>0</w:t>
            </w:r>
          </w:p>
        </w:tc>
        <w:tc>
          <w:tcPr>
            <w:tcW w:w="1701" w:type="dxa"/>
            <w:vAlign w:val="center"/>
          </w:tcPr>
          <w:p>
            <w:pPr>
              <w:pStyle w:val="92"/>
              <w:spacing w:line="360" w:lineRule="exact"/>
              <w:rPr>
                <w:color w:val="auto"/>
                <w:sz w:val="21"/>
                <w:szCs w:val="21"/>
              </w:rPr>
            </w:pPr>
            <w:r>
              <w:rPr>
                <w:rFonts w:hint="eastAsia"/>
                <w:color w:val="auto"/>
                <w:sz w:val="21"/>
                <w:szCs w:val="21"/>
              </w:rPr>
              <w:t>0</w:t>
            </w:r>
          </w:p>
        </w:tc>
        <w:tc>
          <w:tcPr>
            <w:tcW w:w="1559" w:type="dxa"/>
            <w:vAlign w:val="center"/>
          </w:tcPr>
          <w:p>
            <w:pPr>
              <w:pStyle w:val="92"/>
              <w:spacing w:line="360" w:lineRule="exact"/>
              <w:rPr>
                <w:color w:val="auto"/>
                <w:sz w:val="21"/>
                <w:szCs w:val="21"/>
              </w:rPr>
            </w:pPr>
            <w:r>
              <w:rPr>
                <w:rFonts w:hint="eastAsia"/>
                <w:color w:val="auto"/>
                <w:sz w:val="21"/>
                <w:szCs w:val="21"/>
              </w:rPr>
              <w:t>0</w:t>
            </w:r>
            <w:r>
              <w:rPr>
                <w:color w:val="auto"/>
                <w:sz w:val="21"/>
                <w:szCs w:val="21"/>
              </w:rPr>
              <w:t>.004</w:t>
            </w:r>
            <w:r>
              <w:rPr>
                <w:rFonts w:hint="eastAsia"/>
                <w:color w:val="auto"/>
                <w:sz w:val="21"/>
                <w:szCs w:val="21"/>
              </w:rPr>
              <w:t xml:space="preserve"> t</w:t>
            </w:r>
            <w:r>
              <w:rPr>
                <w:color w:val="auto"/>
                <w:sz w:val="21"/>
                <w:szCs w:val="21"/>
              </w:rPr>
              <w:t>/</w:t>
            </w:r>
            <w:r>
              <w:rPr>
                <w:rFonts w:hint="eastAsia"/>
                <w:color w:val="auto"/>
                <w:sz w:val="21"/>
                <w:szCs w:val="21"/>
              </w:rPr>
              <w:t>a</w:t>
            </w:r>
          </w:p>
        </w:tc>
        <w:tc>
          <w:tcPr>
            <w:tcW w:w="1761" w:type="dxa"/>
            <w:vAlign w:val="center"/>
          </w:tcPr>
          <w:p>
            <w:pPr>
              <w:pStyle w:val="92"/>
              <w:spacing w:line="360" w:lineRule="exact"/>
              <w:rPr>
                <w:color w:val="auto"/>
                <w:sz w:val="21"/>
                <w:szCs w:val="21"/>
              </w:rPr>
            </w:pPr>
            <w:r>
              <w:rPr>
                <w:rFonts w:hint="eastAsia"/>
                <w:color w:val="auto"/>
                <w:sz w:val="21"/>
                <w:szCs w:val="21"/>
              </w:rPr>
              <w:t>0</w:t>
            </w:r>
          </w:p>
        </w:tc>
        <w:tc>
          <w:tcPr>
            <w:tcW w:w="1745" w:type="dxa"/>
            <w:vAlign w:val="center"/>
          </w:tcPr>
          <w:p>
            <w:pPr>
              <w:pStyle w:val="92"/>
              <w:spacing w:line="360" w:lineRule="exact"/>
              <w:rPr>
                <w:color w:val="auto"/>
                <w:sz w:val="21"/>
                <w:szCs w:val="21"/>
              </w:rPr>
            </w:pPr>
            <w:r>
              <w:rPr>
                <w:rFonts w:hint="eastAsia"/>
                <w:color w:val="auto"/>
                <w:sz w:val="21"/>
                <w:szCs w:val="21"/>
              </w:rPr>
              <w:t>0</w:t>
            </w:r>
            <w:r>
              <w:rPr>
                <w:color w:val="auto"/>
                <w:sz w:val="21"/>
                <w:szCs w:val="21"/>
              </w:rPr>
              <w:t>.004</w:t>
            </w:r>
            <w:r>
              <w:rPr>
                <w:rFonts w:hint="eastAsia"/>
                <w:color w:val="auto"/>
                <w:sz w:val="21"/>
                <w:szCs w:val="21"/>
              </w:rPr>
              <w:t xml:space="preserve"> t</w:t>
            </w:r>
            <w:r>
              <w:rPr>
                <w:color w:val="auto"/>
                <w:sz w:val="21"/>
                <w:szCs w:val="21"/>
              </w:rPr>
              <w:t>/</w:t>
            </w:r>
            <w:r>
              <w:rPr>
                <w:rFonts w:hint="eastAsia"/>
                <w:color w:val="auto"/>
                <w:sz w:val="21"/>
                <w:szCs w:val="21"/>
              </w:rPr>
              <w:t>a</w:t>
            </w:r>
          </w:p>
        </w:tc>
        <w:tc>
          <w:tcPr>
            <w:tcW w:w="1417" w:type="dxa"/>
            <w:vAlign w:val="center"/>
          </w:tcPr>
          <w:p>
            <w:pPr>
              <w:pStyle w:val="92"/>
              <w:spacing w:line="360" w:lineRule="exact"/>
              <w:rPr>
                <w:color w:val="auto"/>
                <w:sz w:val="21"/>
                <w:szCs w:val="21"/>
              </w:rPr>
            </w:pPr>
            <w:r>
              <w:rPr>
                <w:color w:val="auto"/>
                <w:sz w:val="21"/>
                <w:szCs w:val="21"/>
              </w:rPr>
              <w:t>+</w:t>
            </w:r>
            <w:r>
              <w:rPr>
                <w:rFonts w:hint="eastAsia"/>
                <w:color w:val="auto"/>
                <w:sz w:val="21"/>
                <w:szCs w:val="21"/>
              </w:rPr>
              <w:t>0</w:t>
            </w:r>
            <w:r>
              <w:rPr>
                <w:color w:val="auto"/>
                <w:sz w:val="21"/>
                <w:szCs w:val="21"/>
              </w:rPr>
              <w:t>.004</w:t>
            </w:r>
            <w:r>
              <w:rPr>
                <w:rFonts w:hint="eastAsia"/>
                <w:color w:val="auto"/>
                <w:sz w:val="21"/>
                <w:szCs w:val="21"/>
              </w:rPr>
              <w:t xml:space="preserve"> t</w:t>
            </w:r>
            <w:r>
              <w:rPr>
                <w:color w:val="auto"/>
                <w:sz w:val="21"/>
                <w:szCs w:val="21"/>
              </w:rPr>
              <w:t>/</w:t>
            </w:r>
            <w:r>
              <w:rPr>
                <w:rFonts w:hint="eastAsia"/>
                <w:color w:val="auto"/>
                <w:sz w:val="21"/>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24" w:type="dxa"/>
            <w:vMerge w:val="continue"/>
            <w:vAlign w:val="center"/>
          </w:tcPr>
          <w:p>
            <w:pPr>
              <w:pStyle w:val="92"/>
              <w:spacing w:line="360" w:lineRule="exact"/>
              <w:rPr>
                <w:color w:val="auto"/>
                <w:sz w:val="21"/>
                <w:szCs w:val="21"/>
              </w:rPr>
            </w:pPr>
          </w:p>
        </w:tc>
        <w:tc>
          <w:tcPr>
            <w:tcW w:w="2268" w:type="dxa"/>
            <w:vAlign w:val="center"/>
          </w:tcPr>
          <w:p>
            <w:pPr>
              <w:pStyle w:val="92"/>
              <w:spacing w:line="360" w:lineRule="exact"/>
              <w:rPr>
                <w:color w:val="auto"/>
                <w:sz w:val="21"/>
                <w:szCs w:val="21"/>
              </w:rPr>
            </w:pPr>
            <w:r>
              <w:rPr>
                <w:rFonts w:hint="eastAsia"/>
                <w:color w:val="auto"/>
                <w:sz w:val="21"/>
                <w:szCs w:val="21"/>
              </w:rPr>
              <w:t>SS</w:t>
            </w:r>
          </w:p>
        </w:tc>
        <w:tc>
          <w:tcPr>
            <w:tcW w:w="1560" w:type="dxa"/>
            <w:vAlign w:val="center"/>
          </w:tcPr>
          <w:p>
            <w:pPr>
              <w:pStyle w:val="92"/>
              <w:spacing w:line="360" w:lineRule="exact"/>
              <w:rPr>
                <w:color w:val="auto"/>
                <w:sz w:val="21"/>
                <w:szCs w:val="21"/>
              </w:rPr>
            </w:pPr>
            <w:r>
              <w:rPr>
                <w:rFonts w:hint="eastAsia"/>
                <w:color w:val="auto"/>
                <w:sz w:val="21"/>
                <w:szCs w:val="21"/>
              </w:rPr>
              <w:t>0</w:t>
            </w:r>
          </w:p>
        </w:tc>
        <w:tc>
          <w:tcPr>
            <w:tcW w:w="1030" w:type="dxa"/>
            <w:vAlign w:val="center"/>
          </w:tcPr>
          <w:p>
            <w:pPr>
              <w:pStyle w:val="92"/>
              <w:spacing w:line="360" w:lineRule="exact"/>
              <w:rPr>
                <w:color w:val="auto"/>
                <w:sz w:val="21"/>
                <w:szCs w:val="21"/>
              </w:rPr>
            </w:pPr>
            <w:r>
              <w:rPr>
                <w:rFonts w:hint="eastAsia"/>
                <w:color w:val="auto"/>
                <w:sz w:val="21"/>
                <w:szCs w:val="21"/>
              </w:rPr>
              <w:t>0</w:t>
            </w:r>
          </w:p>
        </w:tc>
        <w:tc>
          <w:tcPr>
            <w:tcW w:w="1701" w:type="dxa"/>
            <w:vAlign w:val="center"/>
          </w:tcPr>
          <w:p>
            <w:pPr>
              <w:pStyle w:val="92"/>
              <w:spacing w:line="360" w:lineRule="exact"/>
              <w:rPr>
                <w:color w:val="auto"/>
                <w:sz w:val="21"/>
                <w:szCs w:val="21"/>
              </w:rPr>
            </w:pPr>
            <w:r>
              <w:rPr>
                <w:rFonts w:hint="eastAsia"/>
                <w:color w:val="auto"/>
                <w:sz w:val="21"/>
                <w:szCs w:val="21"/>
              </w:rPr>
              <w:t>0</w:t>
            </w:r>
          </w:p>
        </w:tc>
        <w:tc>
          <w:tcPr>
            <w:tcW w:w="1559" w:type="dxa"/>
            <w:vAlign w:val="center"/>
          </w:tcPr>
          <w:p>
            <w:pPr>
              <w:pStyle w:val="92"/>
              <w:spacing w:line="360" w:lineRule="exact"/>
              <w:rPr>
                <w:color w:val="auto"/>
                <w:sz w:val="21"/>
                <w:szCs w:val="21"/>
              </w:rPr>
            </w:pPr>
            <w:r>
              <w:rPr>
                <w:rFonts w:hint="eastAsia"/>
                <w:color w:val="auto"/>
                <w:sz w:val="21"/>
                <w:szCs w:val="21"/>
              </w:rPr>
              <w:t>0</w:t>
            </w:r>
            <w:r>
              <w:rPr>
                <w:color w:val="auto"/>
                <w:sz w:val="21"/>
                <w:szCs w:val="21"/>
              </w:rPr>
              <w:t>.025</w:t>
            </w:r>
            <w:r>
              <w:rPr>
                <w:rFonts w:hint="eastAsia"/>
                <w:color w:val="auto"/>
                <w:sz w:val="21"/>
                <w:szCs w:val="21"/>
              </w:rPr>
              <w:t xml:space="preserve"> t</w:t>
            </w:r>
            <w:r>
              <w:rPr>
                <w:color w:val="auto"/>
                <w:sz w:val="21"/>
                <w:szCs w:val="21"/>
              </w:rPr>
              <w:t>/</w:t>
            </w:r>
            <w:r>
              <w:rPr>
                <w:rFonts w:hint="eastAsia"/>
                <w:color w:val="auto"/>
                <w:sz w:val="21"/>
                <w:szCs w:val="21"/>
              </w:rPr>
              <w:t>a</w:t>
            </w:r>
          </w:p>
        </w:tc>
        <w:tc>
          <w:tcPr>
            <w:tcW w:w="1761" w:type="dxa"/>
            <w:vAlign w:val="center"/>
          </w:tcPr>
          <w:p>
            <w:pPr>
              <w:pStyle w:val="92"/>
              <w:spacing w:line="360" w:lineRule="exact"/>
              <w:rPr>
                <w:color w:val="auto"/>
                <w:sz w:val="21"/>
                <w:szCs w:val="21"/>
              </w:rPr>
            </w:pPr>
            <w:r>
              <w:rPr>
                <w:rFonts w:hint="eastAsia"/>
                <w:color w:val="auto"/>
                <w:sz w:val="21"/>
                <w:szCs w:val="21"/>
              </w:rPr>
              <w:t>0</w:t>
            </w:r>
          </w:p>
        </w:tc>
        <w:tc>
          <w:tcPr>
            <w:tcW w:w="1745" w:type="dxa"/>
            <w:vAlign w:val="center"/>
          </w:tcPr>
          <w:p>
            <w:pPr>
              <w:pStyle w:val="92"/>
              <w:spacing w:line="360" w:lineRule="exact"/>
              <w:rPr>
                <w:color w:val="auto"/>
                <w:sz w:val="21"/>
                <w:szCs w:val="21"/>
              </w:rPr>
            </w:pPr>
            <w:r>
              <w:rPr>
                <w:rFonts w:hint="eastAsia"/>
                <w:color w:val="auto"/>
                <w:sz w:val="21"/>
                <w:szCs w:val="21"/>
              </w:rPr>
              <w:t>0</w:t>
            </w:r>
            <w:r>
              <w:rPr>
                <w:color w:val="auto"/>
                <w:sz w:val="21"/>
                <w:szCs w:val="21"/>
              </w:rPr>
              <w:t>.025</w:t>
            </w:r>
            <w:r>
              <w:rPr>
                <w:rFonts w:hint="eastAsia"/>
                <w:color w:val="auto"/>
                <w:sz w:val="21"/>
                <w:szCs w:val="21"/>
              </w:rPr>
              <w:t xml:space="preserve"> t</w:t>
            </w:r>
            <w:r>
              <w:rPr>
                <w:color w:val="auto"/>
                <w:sz w:val="21"/>
                <w:szCs w:val="21"/>
              </w:rPr>
              <w:t>/</w:t>
            </w:r>
            <w:r>
              <w:rPr>
                <w:rFonts w:hint="eastAsia"/>
                <w:color w:val="auto"/>
                <w:sz w:val="21"/>
                <w:szCs w:val="21"/>
              </w:rPr>
              <w:t>a</w:t>
            </w:r>
          </w:p>
        </w:tc>
        <w:tc>
          <w:tcPr>
            <w:tcW w:w="1417" w:type="dxa"/>
            <w:vAlign w:val="center"/>
          </w:tcPr>
          <w:p>
            <w:pPr>
              <w:pStyle w:val="92"/>
              <w:spacing w:line="360" w:lineRule="exact"/>
              <w:rPr>
                <w:color w:val="auto"/>
                <w:sz w:val="21"/>
                <w:szCs w:val="21"/>
              </w:rPr>
            </w:pPr>
            <w:r>
              <w:rPr>
                <w:color w:val="auto"/>
                <w:sz w:val="21"/>
                <w:szCs w:val="21"/>
              </w:rPr>
              <w:t>+</w:t>
            </w:r>
            <w:r>
              <w:rPr>
                <w:rFonts w:hint="eastAsia"/>
                <w:color w:val="auto"/>
                <w:sz w:val="21"/>
                <w:szCs w:val="21"/>
              </w:rPr>
              <w:t>0</w:t>
            </w:r>
            <w:r>
              <w:rPr>
                <w:color w:val="auto"/>
                <w:sz w:val="21"/>
                <w:szCs w:val="21"/>
              </w:rPr>
              <w:t>.025</w:t>
            </w:r>
            <w:r>
              <w:rPr>
                <w:rFonts w:hint="eastAsia"/>
                <w:color w:val="auto"/>
                <w:sz w:val="21"/>
                <w:szCs w:val="21"/>
              </w:rPr>
              <w:t xml:space="preserve"> t</w:t>
            </w:r>
            <w:r>
              <w:rPr>
                <w:color w:val="auto"/>
                <w:sz w:val="21"/>
                <w:szCs w:val="21"/>
              </w:rPr>
              <w:t>/</w:t>
            </w:r>
            <w:r>
              <w:rPr>
                <w:rFonts w:hint="eastAsia"/>
                <w:color w:val="auto"/>
                <w:sz w:val="21"/>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24" w:type="dxa"/>
            <w:vMerge w:val="continue"/>
            <w:vAlign w:val="center"/>
          </w:tcPr>
          <w:p>
            <w:pPr>
              <w:pStyle w:val="92"/>
              <w:spacing w:line="360" w:lineRule="exact"/>
              <w:rPr>
                <w:color w:val="auto"/>
                <w:sz w:val="21"/>
                <w:szCs w:val="21"/>
              </w:rPr>
            </w:pPr>
          </w:p>
        </w:tc>
        <w:tc>
          <w:tcPr>
            <w:tcW w:w="2268" w:type="dxa"/>
            <w:vAlign w:val="center"/>
          </w:tcPr>
          <w:p>
            <w:pPr>
              <w:pStyle w:val="92"/>
              <w:spacing w:line="360" w:lineRule="exact"/>
              <w:rPr>
                <w:color w:val="auto"/>
                <w:sz w:val="21"/>
                <w:szCs w:val="21"/>
              </w:rPr>
            </w:pPr>
            <w:r>
              <w:rPr>
                <w:rFonts w:hint="eastAsia"/>
                <w:color w:val="auto"/>
                <w:sz w:val="21"/>
                <w:szCs w:val="21"/>
              </w:rPr>
              <w:t>TP</w:t>
            </w:r>
          </w:p>
        </w:tc>
        <w:tc>
          <w:tcPr>
            <w:tcW w:w="1560" w:type="dxa"/>
            <w:vAlign w:val="center"/>
          </w:tcPr>
          <w:p>
            <w:pPr>
              <w:pStyle w:val="92"/>
              <w:spacing w:line="360" w:lineRule="exact"/>
              <w:rPr>
                <w:color w:val="auto"/>
                <w:sz w:val="21"/>
                <w:szCs w:val="21"/>
              </w:rPr>
            </w:pPr>
            <w:r>
              <w:rPr>
                <w:rFonts w:hint="eastAsia"/>
                <w:color w:val="auto"/>
                <w:sz w:val="21"/>
                <w:szCs w:val="21"/>
              </w:rPr>
              <w:t>0</w:t>
            </w:r>
          </w:p>
        </w:tc>
        <w:tc>
          <w:tcPr>
            <w:tcW w:w="1030" w:type="dxa"/>
            <w:vAlign w:val="center"/>
          </w:tcPr>
          <w:p>
            <w:pPr>
              <w:pStyle w:val="92"/>
              <w:spacing w:line="360" w:lineRule="exact"/>
              <w:rPr>
                <w:color w:val="auto"/>
                <w:sz w:val="21"/>
                <w:szCs w:val="21"/>
              </w:rPr>
            </w:pPr>
            <w:r>
              <w:rPr>
                <w:rFonts w:hint="eastAsia"/>
                <w:color w:val="auto"/>
                <w:sz w:val="21"/>
                <w:szCs w:val="21"/>
              </w:rPr>
              <w:t>0</w:t>
            </w:r>
          </w:p>
        </w:tc>
        <w:tc>
          <w:tcPr>
            <w:tcW w:w="1701" w:type="dxa"/>
            <w:vAlign w:val="center"/>
          </w:tcPr>
          <w:p>
            <w:pPr>
              <w:pStyle w:val="92"/>
              <w:spacing w:line="360" w:lineRule="exact"/>
              <w:rPr>
                <w:color w:val="auto"/>
                <w:sz w:val="21"/>
                <w:szCs w:val="21"/>
              </w:rPr>
            </w:pPr>
            <w:r>
              <w:rPr>
                <w:rFonts w:hint="eastAsia"/>
                <w:color w:val="auto"/>
                <w:sz w:val="21"/>
                <w:szCs w:val="21"/>
              </w:rPr>
              <w:t>0</w:t>
            </w:r>
          </w:p>
        </w:tc>
        <w:tc>
          <w:tcPr>
            <w:tcW w:w="1559" w:type="dxa"/>
            <w:vAlign w:val="center"/>
          </w:tcPr>
          <w:p>
            <w:pPr>
              <w:pStyle w:val="92"/>
              <w:spacing w:line="360" w:lineRule="exact"/>
              <w:rPr>
                <w:color w:val="auto"/>
                <w:sz w:val="21"/>
                <w:szCs w:val="21"/>
              </w:rPr>
            </w:pPr>
            <w:r>
              <w:rPr>
                <w:rFonts w:hint="eastAsia"/>
                <w:color w:val="auto"/>
                <w:sz w:val="21"/>
                <w:szCs w:val="21"/>
              </w:rPr>
              <w:t>0</w:t>
            </w:r>
            <w:r>
              <w:rPr>
                <w:color w:val="auto"/>
                <w:sz w:val="21"/>
                <w:szCs w:val="21"/>
              </w:rPr>
              <w:t>.001</w:t>
            </w:r>
            <w:r>
              <w:rPr>
                <w:rFonts w:hint="eastAsia"/>
                <w:color w:val="auto"/>
                <w:sz w:val="21"/>
                <w:szCs w:val="21"/>
              </w:rPr>
              <w:t xml:space="preserve"> t</w:t>
            </w:r>
            <w:r>
              <w:rPr>
                <w:color w:val="auto"/>
                <w:sz w:val="21"/>
                <w:szCs w:val="21"/>
              </w:rPr>
              <w:t>/</w:t>
            </w:r>
            <w:r>
              <w:rPr>
                <w:rFonts w:hint="eastAsia"/>
                <w:color w:val="auto"/>
                <w:sz w:val="21"/>
                <w:szCs w:val="21"/>
              </w:rPr>
              <w:t>a</w:t>
            </w:r>
          </w:p>
        </w:tc>
        <w:tc>
          <w:tcPr>
            <w:tcW w:w="1761" w:type="dxa"/>
            <w:vAlign w:val="center"/>
          </w:tcPr>
          <w:p>
            <w:pPr>
              <w:pStyle w:val="92"/>
              <w:spacing w:line="360" w:lineRule="exact"/>
              <w:rPr>
                <w:color w:val="auto"/>
                <w:sz w:val="21"/>
                <w:szCs w:val="21"/>
              </w:rPr>
            </w:pPr>
            <w:r>
              <w:rPr>
                <w:rFonts w:hint="eastAsia"/>
                <w:color w:val="auto"/>
                <w:sz w:val="21"/>
                <w:szCs w:val="21"/>
              </w:rPr>
              <w:t>0</w:t>
            </w:r>
          </w:p>
        </w:tc>
        <w:tc>
          <w:tcPr>
            <w:tcW w:w="1745" w:type="dxa"/>
            <w:vAlign w:val="center"/>
          </w:tcPr>
          <w:p>
            <w:pPr>
              <w:pStyle w:val="92"/>
              <w:spacing w:line="360" w:lineRule="exact"/>
              <w:rPr>
                <w:color w:val="auto"/>
                <w:sz w:val="21"/>
                <w:szCs w:val="21"/>
              </w:rPr>
            </w:pPr>
            <w:r>
              <w:rPr>
                <w:rFonts w:hint="eastAsia"/>
                <w:color w:val="auto"/>
                <w:sz w:val="21"/>
                <w:szCs w:val="21"/>
              </w:rPr>
              <w:t>0</w:t>
            </w:r>
            <w:r>
              <w:rPr>
                <w:color w:val="auto"/>
                <w:sz w:val="21"/>
                <w:szCs w:val="21"/>
              </w:rPr>
              <w:t>.001</w:t>
            </w:r>
            <w:r>
              <w:rPr>
                <w:rFonts w:hint="eastAsia"/>
                <w:color w:val="auto"/>
                <w:sz w:val="21"/>
                <w:szCs w:val="21"/>
              </w:rPr>
              <w:t xml:space="preserve"> t</w:t>
            </w:r>
            <w:r>
              <w:rPr>
                <w:color w:val="auto"/>
                <w:sz w:val="21"/>
                <w:szCs w:val="21"/>
              </w:rPr>
              <w:t>/</w:t>
            </w:r>
            <w:r>
              <w:rPr>
                <w:rFonts w:hint="eastAsia"/>
                <w:color w:val="auto"/>
                <w:sz w:val="21"/>
                <w:szCs w:val="21"/>
              </w:rPr>
              <w:t>a</w:t>
            </w:r>
          </w:p>
        </w:tc>
        <w:tc>
          <w:tcPr>
            <w:tcW w:w="1417" w:type="dxa"/>
            <w:vAlign w:val="center"/>
          </w:tcPr>
          <w:p>
            <w:pPr>
              <w:pStyle w:val="92"/>
              <w:spacing w:line="360" w:lineRule="exact"/>
              <w:rPr>
                <w:color w:val="auto"/>
                <w:sz w:val="21"/>
                <w:szCs w:val="21"/>
              </w:rPr>
            </w:pPr>
            <w:r>
              <w:rPr>
                <w:color w:val="auto"/>
                <w:sz w:val="21"/>
                <w:szCs w:val="21"/>
              </w:rPr>
              <w:t>+</w:t>
            </w:r>
            <w:r>
              <w:rPr>
                <w:rFonts w:hint="eastAsia"/>
                <w:color w:val="auto"/>
                <w:sz w:val="21"/>
                <w:szCs w:val="21"/>
              </w:rPr>
              <w:t>0</w:t>
            </w:r>
            <w:r>
              <w:rPr>
                <w:color w:val="auto"/>
                <w:sz w:val="21"/>
                <w:szCs w:val="21"/>
              </w:rPr>
              <w:t>.001</w:t>
            </w:r>
            <w:r>
              <w:rPr>
                <w:rFonts w:hint="eastAsia"/>
                <w:color w:val="auto"/>
                <w:sz w:val="21"/>
                <w:szCs w:val="21"/>
              </w:rPr>
              <w:t xml:space="preserve"> t</w:t>
            </w:r>
            <w:r>
              <w:rPr>
                <w:color w:val="auto"/>
                <w:sz w:val="21"/>
                <w:szCs w:val="21"/>
              </w:rPr>
              <w:t>/</w:t>
            </w:r>
            <w:r>
              <w:rPr>
                <w:rFonts w:hint="eastAsia"/>
                <w:color w:val="auto"/>
                <w:sz w:val="21"/>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24" w:type="dxa"/>
            <w:vMerge w:val="restart"/>
            <w:vAlign w:val="center"/>
          </w:tcPr>
          <w:p>
            <w:pPr>
              <w:pStyle w:val="92"/>
              <w:spacing w:line="360" w:lineRule="exact"/>
              <w:rPr>
                <w:color w:val="auto"/>
                <w:sz w:val="21"/>
                <w:szCs w:val="21"/>
              </w:rPr>
            </w:pPr>
            <w:r>
              <w:rPr>
                <w:color w:val="auto"/>
                <w:sz w:val="21"/>
                <w:szCs w:val="21"/>
              </w:rPr>
              <w:t>一般工业固体废物</w:t>
            </w:r>
          </w:p>
        </w:tc>
        <w:tc>
          <w:tcPr>
            <w:tcW w:w="2268" w:type="dxa"/>
            <w:vAlign w:val="center"/>
          </w:tcPr>
          <w:p>
            <w:pPr>
              <w:pStyle w:val="92"/>
              <w:spacing w:line="360" w:lineRule="exact"/>
              <w:rPr>
                <w:color w:val="auto"/>
                <w:sz w:val="21"/>
                <w:szCs w:val="21"/>
              </w:rPr>
            </w:pPr>
            <w:r>
              <w:rPr>
                <w:rFonts w:hint="eastAsia"/>
              </w:rPr>
              <w:t>未沾染化学品</w:t>
            </w:r>
            <w:r>
              <w:t>废包材</w:t>
            </w:r>
          </w:p>
        </w:tc>
        <w:tc>
          <w:tcPr>
            <w:tcW w:w="1560" w:type="dxa"/>
            <w:vAlign w:val="center"/>
          </w:tcPr>
          <w:p>
            <w:pPr>
              <w:pStyle w:val="92"/>
              <w:spacing w:line="360" w:lineRule="exact"/>
              <w:rPr>
                <w:color w:val="auto"/>
                <w:sz w:val="21"/>
                <w:szCs w:val="21"/>
              </w:rPr>
            </w:pPr>
            <w:r>
              <w:rPr>
                <w:rFonts w:hint="eastAsia"/>
                <w:color w:val="auto"/>
                <w:sz w:val="21"/>
                <w:szCs w:val="21"/>
              </w:rPr>
              <w:t>0</w:t>
            </w:r>
          </w:p>
        </w:tc>
        <w:tc>
          <w:tcPr>
            <w:tcW w:w="1030" w:type="dxa"/>
            <w:vAlign w:val="center"/>
          </w:tcPr>
          <w:p>
            <w:pPr>
              <w:pStyle w:val="92"/>
              <w:spacing w:line="360" w:lineRule="exact"/>
              <w:rPr>
                <w:color w:val="auto"/>
                <w:sz w:val="21"/>
                <w:szCs w:val="21"/>
              </w:rPr>
            </w:pPr>
            <w:r>
              <w:rPr>
                <w:rFonts w:hint="eastAsia"/>
                <w:color w:val="auto"/>
                <w:sz w:val="21"/>
                <w:szCs w:val="21"/>
              </w:rPr>
              <w:t>0</w:t>
            </w:r>
          </w:p>
        </w:tc>
        <w:tc>
          <w:tcPr>
            <w:tcW w:w="1701" w:type="dxa"/>
            <w:vAlign w:val="center"/>
          </w:tcPr>
          <w:p>
            <w:pPr>
              <w:pStyle w:val="92"/>
              <w:spacing w:line="360" w:lineRule="exact"/>
              <w:rPr>
                <w:color w:val="auto"/>
                <w:sz w:val="21"/>
                <w:szCs w:val="21"/>
              </w:rPr>
            </w:pPr>
            <w:r>
              <w:rPr>
                <w:rFonts w:hint="eastAsia"/>
                <w:color w:val="auto"/>
                <w:sz w:val="21"/>
                <w:szCs w:val="21"/>
              </w:rPr>
              <w:t>0</w:t>
            </w:r>
          </w:p>
        </w:tc>
        <w:tc>
          <w:tcPr>
            <w:tcW w:w="1559" w:type="dxa"/>
            <w:vAlign w:val="center"/>
          </w:tcPr>
          <w:p>
            <w:pPr>
              <w:pStyle w:val="92"/>
              <w:spacing w:line="360" w:lineRule="exact"/>
              <w:rPr>
                <w:color w:val="auto"/>
                <w:sz w:val="21"/>
                <w:szCs w:val="21"/>
              </w:rPr>
            </w:pPr>
            <w:r>
              <w:rPr>
                <w:color w:val="auto"/>
                <w:sz w:val="21"/>
                <w:szCs w:val="21"/>
              </w:rPr>
              <w:t>1.3</w:t>
            </w:r>
            <w:r>
              <w:rPr>
                <w:rFonts w:hint="eastAsia"/>
                <w:color w:val="auto"/>
                <w:sz w:val="21"/>
                <w:szCs w:val="21"/>
              </w:rPr>
              <w:t>t</w:t>
            </w:r>
            <w:r>
              <w:rPr>
                <w:color w:val="auto"/>
                <w:sz w:val="21"/>
                <w:szCs w:val="21"/>
              </w:rPr>
              <w:t>/</w:t>
            </w:r>
            <w:r>
              <w:rPr>
                <w:rFonts w:hint="eastAsia"/>
                <w:color w:val="auto"/>
                <w:sz w:val="21"/>
                <w:szCs w:val="21"/>
              </w:rPr>
              <w:t>a</w:t>
            </w:r>
          </w:p>
        </w:tc>
        <w:tc>
          <w:tcPr>
            <w:tcW w:w="1761" w:type="dxa"/>
            <w:vAlign w:val="center"/>
          </w:tcPr>
          <w:p>
            <w:pPr>
              <w:pStyle w:val="92"/>
              <w:spacing w:line="360" w:lineRule="exact"/>
              <w:rPr>
                <w:color w:val="auto"/>
                <w:sz w:val="21"/>
                <w:szCs w:val="21"/>
              </w:rPr>
            </w:pPr>
            <w:r>
              <w:rPr>
                <w:rFonts w:hint="eastAsia"/>
                <w:color w:val="auto"/>
                <w:sz w:val="21"/>
                <w:szCs w:val="21"/>
              </w:rPr>
              <w:t>0</w:t>
            </w:r>
          </w:p>
        </w:tc>
        <w:tc>
          <w:tcPr>
            <w:tcW w:w="1745" w:type="dxa"/>
            <w:vAlign w:val="center"/>
          </w:tcPr>
          <w:p>
            <w:pPr>
              <w:pStyle w:val="92"/>
              <w:spacing w:line="360" w:lineRule="exact"/>
              <w:rPr>
                <w:color w:val="auto"/>
                <w:sz w:val="21"/>
                <w:szCs w:val="21"/>
              </w:rPr>
            </w:pPr>
            <w:r>
              <w:rPr>
                <w:color w:val="auto"/>
                <w:sz w:val="21"/>
                <w:szCs w:val="21"/>
              </w:rPr>
              <w:t>1.3</w:t>
            </w:r>
            <w:r>
              <w:rPr>
                <w:rFonts w:hint="eastAsia"/>
                <w:color w:val="auto"/>
                <w:sz w:val="21"/>
                <w:szCs w:val="21"/>
              </w:rPr>
              <w:t>t</w:t>
            </w:r>
            <w:r>
              <w:rPr>
                <w:color w:val="auto"/>
                <w:sz w:val="21"/>
                <w:szCs w:val="21"/>
              </w:rPr>
              <w:t>/</w:t>
            </w:r>
            <w:r>
              <w:rPr>
                <w:rFonts w:hint="eastAsia"/>
                <w:color w:val="auto"/>
                <w:sz w:val="21"/>
                <w:szCs w:val="21"/>
              </w:rPr>
              <w:t>a</w:t>
            </w:r>
          </w:p>
        </w:tc>
        <w:tc>
          <w:tcPr>
            <w:tcW w:w="1417" w:type="dxa"/>
            <w:vAlign w:val="center"/>
          </w:tcPr>
          <w:p>
            <w:pPr>
              <w:pStyle w:val="92"/>
              <w:spacing w:line="360" w:lineRule="exact"/>
              <w:rPr>
                <w:color w:val="auto"/>
                <w:sz w:val="21"/>
                <w:szCs w:val="21"/>
              </w:rPr>
            </w:pPr>
            <w:r>
              <w:rPr>
                <w:rFonts w:hint="eastAsia"/>
                <w:color w:val="auto"/>
                <w:sz w:val="21"/>
                <w:szCs w:val="21"/>
              </w:rPr>
              <w:t>+</w:t>
            </w:r>
            <w:r>
              <w:rPr>
                <w:color w:val="auto"/>
                <w:sz w:val="21"/>
                <w:szCs w:val="21"/>
              </w:rPr>
              <w:t>1.3</w:t>
            </w:r>
            <w:r>
              <w:rPr>
                <w:rFonts w:hint="eastAsia"/>
                <w:color w:val="auto"/>
                <w:sz w:val="21"/>
                <w:szCs w:val="21"/>
              </w:rPr>
              <w:t>t</w:t>
            </w:r>
            <w:r>
              <w:rPr>
                <w:color w:val="auto"/>
                <w:sz w:val="21"/>
                <w:szCs w:val="21"/>
              </w:rPr>
              <w:t>/</w:t>
            </w:r>
            <w:r>
              <w:rPr>
                <w:rFonts w:hint="eastAsia"/>
                <w:color w:val="auto"/>
                <w:sz w:val="21"/>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24" w:type="dxa"/>
            <w:vMerge w:val="continue"/>
            <w:vAlign w:val="center"/>
          </w:tcPr>
          <w:p>
            <w:pPr>
              <w:pStyle w:val="92"/>
              <w:spacing w:line="360" w:lineRule="exact"/>
              <w:rPr>
                <w:color w:val="auto"/>
                <w:sz w:val="21"/>
                <w:szCs w:val="21"/>
              </w:rPr>
            </w:pPr>
          </w:p>
        </w:tc>
        <w:tc>
          <w:tcPr>
            <w:tcW w:w="2268" w:type="dxa"/>
            <w:vAlign w:val="center"/>
          </w:tcPr>
          <w:p>
            <w:pPr>
              <w:pStyle w:val="92"/>
              <w:spacing w:line="360" w:lineRule="exact"/>
            </w:pPr>
            <w:r>
              <w:rPr>
                <w:rFonts w:hint="eastAsia"/>
                <w:color w:val="auto"/>
                <w:sz w:val="21"/>
                <w:szCs w:val="21"/>
              </w:rPr>
              <w:t>纯水机废滤芯</w:t>
            </w:r>
          </w:p>
        </w:tc>
        <w:tc>
          <w:tcPr>
            <w:tcW w:w="1560" w:type="dxa"/>
            <w:vAlign w:val="center"/>
          </w:tcPr>
          <w:p>
            <w:pPr>
              <w:pStyle w:val="92"/>
              <w:spacing w:line="360" w:lineRule="exact"/>
              <w:rPr>
                <w:color w:val="auto"/>
                <w:sz w:val="21"/>
                <w:szCs w:val="21"/>
              </w:rPr>
            </w:pPr>
            <w:r>
              <w:rPr>
                <w:rFonts w:hint="eastAsia"/>
                <w:color w:val="auto"/>
                <w:sz w:val="21"/>
                <w:szCs w:val="21"/>
              </w:rPr>
              <w:t>0</w:t>
            </w:r>
          </w:p>
        </w:tc>
        <w:tc>
          <w:tcPr>
            <w:tcW w:w="1030" w:type="dxa"/>
            <w:vAlign w:val="center"/>
          </w:tcPr>
          <w:p>
            <w:pPr>
              <w:pStyle w:val="92"/>
              <w:spacing w:line="360" w:lineRule="exact"/>
              <w:rPr>
                <w:color w:val="auto"/>
                <w:sz w:val="21"/>
                <w:szCs w:val="21"/>
              </w:rPr>
            </w:pPr>
            <w:r>
              <w:rPr>
                <w:rFonts w:hint="eastAsia"/>
                <w:color w:val="auto"/>
                <w:sz w:val="21"/>
                <w:szCs w:val="21"/>
              </w:rPr>
              <w:t>0</w:t>
            </w:r>
          </w:p>
        </w:tc>
        <w:tc>
          <w:tcPr>
            <w:tcW w:w="1701" w:type="dxa"/>
            <w:vAlign w:val="center"/>
          </w:tcPr>
          <w:p>
            <w:pPr>
              <w:pStyle w:val="92"/>
              <w:spacing w:line="360" w:lineRule="exact"/>
              <w:rPr>
                <w:color w:val="auto"/>
                <w:sz w:val="21"/>
                <w:szCs w:val="21"/>
              </w:rPr>
            </w:pPr>
            <w:r>
              <w:rPr>
                <w:rFonts w:hint="eastAsia"/>
                <w:color w:val="auto"/>
                <w:sz w:val="21"/>
                <w:szCs w:val="21"/>
              </w:rPr>
              <w:t>0</w:t>
            </w:r>
          </w:p>
        </w:tc>
        <w:tc>
          <w:tcPr>
            <w:tcW w:w="1559" w:type="dxa"/>
            <w:vAlign w:val="center"/>
          </w:tcPr>
          <w:p>
            <w:pPr>
              <w:pStyle w:val="92"/>
              <w:spacing w:line="360" w:lineRule="exact"/>
              <w:rPr>
                <w:color w:val="auto"/>
                <w:sz w:val="21"/>
                <w:szCs w:val="21"/>
              </w:rPr>
            </w:pPr>
            <w:r>
              <w:rPr>
                <w:color w:val="auto"/>
                <w:sz w:val="21"/>
                <w:szCs w:val="21"/>
              </w:rPr>
              <w:t>0.01</w:t>
            </w:r>
            <w:r>
              <w:rPr>
                <w:rFonts w:hint="eastAsia"/>
                <w:color w:val="auto"/>
                <w:sz w:val="21"/>
                <w:szCs w:val="21"/>
              </w:rPr>
              <w:t>t</w:t>
            </w:r>
            <w:r>
              <w:rPr>
                <w:color w:val="auto"/>
                <w:sz w:val="21"/>
                <w:szCs w:val="21"/>
              </w:rPr>
              <w:t>/</w:t>
            </w:r>
            <w:r>
              <w:rPr>
                <w:rFonts w:hint="eastAsia"/>
                <w:color w:val="auto"/>
                <w:sz w:val="21"/>
                <w:szCs w:val="21"/>
              </w:rPr>
              <w:t>a</w:t>
            </w:r>
          </w:p>
        </w:tc>
        <w:tc>
          <w:tcPr>
            <w:tcW w:w="1761" w:type="dxa"/>
            <w:vAlign w:val="center"/>
          </w:tcPr>
          <w:p>
            <w:pPr>
              <w:pStyle w:val="92"/>
              <w:spacing w:line="360" w:lineRule="exact"/>
              <w:rPr>
                <w:color w:val="auto"/>
                <w:sz w:val="21"/>
                <w:szCs w:val="21"/>
              </w:rPr>
            </w:pPr>
            <w:r>
              <w:rPr>
                <w:rFonts w:hint="eastAsia"/>
                <w:color w:val="auto"/>
                <w:sz w:val="21"/>
                <w:szCs w:val="21"/>
              </w:rPr>
              <w:t>0</w:t>
            </w:r>
          </w:p>
        </w:tc>
        <w:tc>
          <w:tcPr>
            <w:tcW w:w="1745" w:type="dxa"/>
            <w:vAlign w:val="center"/>
          </w:tcPr>
          <w:p>
            <w:pPr>
              <w:pStyle w:val="92"/>
              <w:spacing w:line="360" w:lineRule="exact"/>
              <w:rPr>
                <w:color w:val="auto"/>
                <w:sz w:val="21"/>
                <w:szCs w:val="21"/>
              </w:rPr>
            </w:pPr>
            <w:r>
              <w:rPr>
                <w:color w:val="auto"/>
                <w:sz w:val="21"/>
                <w:szCs w:val="21"/>
              </w:rPr>
              <w:t>5.46</w:t>
            </w:r>
            <w:r>
              <w:rPr>
                <w:rFonts w:hint="eastAsia"/>
                <w:color w:val="auto"/>
                <w:sz w:val="21"/>
                <w:szCs w:val="21"/>
              </w:rPr>
              <w:t>t</w:t>
            </w:r>
            <w:r>
              <w:rPr>
                <w:color w:val="auto"/>
                <w:sz w:val="21"/>
                <w:szCs w:val="21"/>
              </w:rPr>
              <w:t>/</w:t>
            </w:r>
            <w:r>
              <w:rPr>
                <w:rFonts w:hint="eastAsia"/>
                <w:color w:val="auto"/>
                <w:sz w:val="21"/>
                <w:szCs w:val="21"/>
              </w:rPr>
              <w:t>a</w:t>
            </w:r>
          </w:p>
        </w:tc>
        <w:tc>
          <w:tcPr>
            <w:tcW w:w="1417" w:type="dxa"/>
            <w:vAlign w:val="center"/>
          </w:tcPr>
          <w:p>
            <w:pPr>
              <w:pStyle w:val="92"/>
              <w:spacing w:line="360" w:lineRule="exact"/>
              <w:rPr>
                <w:color w:val="auto"/>
                <w:sz w:val="21"/>
                <w:szCs w:val="21"/>
              </w:rPr>
            </w:pPr>
            <w:r>
              <w:rPr>
                <w:color w:val="auto"/>
                <w:sz w:val="21"/>
                <w:szCs w:val="21"/>
              </w:rPr>
              <w:t>+5.46</w:t>
            </w:r>
            <w:r>
              <w:rPr>
                <w:rFonts w:hint="eastAsia"/>
                <w:color w:val="auto"/>
                <w:sz w:val="21"/>
                <w:szCs w:val="21"/>
              </w:rPr>
              <w:t>t</w:t>
            </w:r>
            <w:r>
              <w:rPr>
                <w:color w:val="auto"/>
                <w:sz w:val="21"/>
                <w:szCs w:val="21"/>
              </w:rPr>
              <w:t>/</w:t>
            </w:r>
            <w:r>
              <w:rPr>
                <w:rFonts w:hint="eastAsia"/>
                <w:color w:val="auto"/>
                <w:sz w:val="21"/>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24" w:type="dxa"/>
            <w:vMerge w:val="continue"/>
            <w:vAlign w:val="center"/>
          </w:tcPr>
          <w:p>
            <w:pPr>
              <w:pStyle w:val="92"/>
              <w:spacing w:line="360" w:lineRule="exact"/>
              <w:rPr>
                <w:color w:val="auto"/>
                <w:sz w:val="21"/>
                <w:szCs w:val="21"/>
              </w:rPr>
            </w:pPr>
          </w:p>
        </w:tc>
        <w:tc>
          <w:tcPr>
            <w:tcW w:w="2268" w:type="dxa"/>
            <w:vAlign w:val="center"/>
          </w:tcPr>
          <w:p>
            <w:pPr>
              <w:pStyle w:val="92"/>
              <w:spacing w:line="360" w:lineRule="exact"/>
              <w:rPr>
                <w:color w:val="auto"/>
                <w:sz w:val="21"/>
                <w:szCs w:val="21"/>
              </w:rPr>
            </w:pPr>
            <w:r>
              <w:rPr>
                <w:rFonts w:hint="eastAsia"/>
                <w:color w:val="auto"/>
                <w:sz w:val="21"/>
                <w:szCs w:val="21"/>
              </w:rPr>
              <w:t>过期样品</w:t>
            </w:r>
          </w:p>
        </w:tc>
        <w:tc>
          <w:tcPr>
            <w:tcW w:w="1560" w:type="dxa"/>
            <w:vAlign w:val="center"/>
          </w:tcPr>
          <w:p>
            <w:pPr>
              <w:pStyle w:val="92"/>
              <w:spacing w:line="360" w:lineRule="exact"/>
              <w:rPr>
                <w:color w:val="auto"/>
                <w:sz w:val="21"/>
                <w:szCs w:val="21"/>
              </w:rPr>
            </w:pPr>
            <w:r>
              <w:rPr>
                <w:rFonts w:hint="eastAsia"/>
                <w:color w:val="auto"/>
                <w:sz w:val="21"/>
                <w:szCs w:val="21"/>
              </w:rPr>
              <w:t>0</w:t>
            </w:r>
          </w:p>
        </w:tc>
        <w:tc>
          <w:tcPr>
            <w:tcW w:w="1030" w:type="dxa"/>
            <w:vAlign w:val="center"/>
          </w:tcPr>
          <w:p>
            <w:pPr>
              <w:pStyle w:val="92"/>
              <w:spacing w:line="360" w:lineRule="exact"/>
              <w:rPr>
                <w:color w:val="auto"/>
                <w:sz w:val="21"/>
                <w:szCs w:val="21"/>
              </w:rPr>
            </w:pPr>
            <w:r>
              <w:rPr>
                <w:rFonts w:hint="eastAsia"/>
                <w:color w:val="auto"/>
                <w:sz w:val="21"/>
                <w:szCs w:val="21"/>
              </w:rPr>
              <w:t>0</w:t>
            </w:r>
          </w:p>
        </w:tc>
        <w:tc>
          <w:tcPr>
            <w:tcW w:w="1701" w:type="dxa"/>
            <w:vAlign w:val="center"/>
          </w:tcPr>
          <w:p>
            <w:pPr>
              <w:pStyle w:val="92"/>
              <w:spacing w:line="360" w:lineRule="exact"/>
              <w:rPr>
                <w:color w:val="auto"/>
                <w:sz w:val="21"/>
                <w:szCs w:val="21"/>
              </w:rPr>
            </w:pPr>
            <w:r>
              <w:rPr>
                <w:rFonts w:hint="eastAsia"/>
                <w:color w:val="auto"/>
                <w:sz w:val="21"/>
                <w:szCs w:val="21"/>
              </w:rPr>
              <w:t>0</w:t>
            </w:r>
          </w:p>
        </w:tc>
        <w:tc>
          <w:tcPr>
            <w:tcW w:w="1559" w:type="dxa"/>
            <w:vAlign w:val="center"/>
          </w:tcPr>
          <w:p>
            <w:pPr>
              <w:pStyle w:val="92"/>
              <w:spacing w:line="360" w:lineRule="exact"/>
              <w:rPr>
                <w:color w:val="auto"/>
                <w:sz w:val="21"/>
                <w:szCs w:val="21"/>
              </w:rPr>
            </w:pPr>
            <w:r>
              <w:rPr>
                <w:rFonts w:hint="eastAsia"/>
                <w:color w:val="auto"/>
                <w:sz w:val="21"/>
                <w:szCs w:val="21"/>
              </w:rPr>
              <w:t>0</w:t>
            </w:r>
            <w:r>
              <w:rPr>
                <w:color w:val="auto"/>
                <w:sz w:val="21"/>
                <w:szCs w:val="21"/>
              </w:rPr>
              <w:t>.25</w:t>
            </w:r>
            <w:r>
              <w:rPr>
                <w:rFonts w:hint="eastAsia"/>
                <w:color w:val="auto"/>
                <w:sz w:val="21"/>
                <w:szCs w:val="21"/>
              </w:rPr>
              <w:t>t</w:t>
            </w:r>
            <w:r>
              <w:rPr>
                <w:color w:val="auto"/>
                <w:sz w:val="21"/>
                <w:szCs w:val="21"/>
              </w:rPr>
              <w:t>/</w:t>
            </w:r>
            <w:r>
              <w:rPr>
                <w:rFonts w:hint="eastAsia"/>
                <w:color w:val="auto"/>
                <w:sz w:val="21"/>
                <w:szCs w:val="21"/>
              </w:rPr>
              <w:t>a</w:t>
            </w:r>
          </w:p>
        </w:tc>
        <w:tc>
          <w:tcPr>
            <w:tcW w:w="1761" w:type="dxa"/>
            <w:vAlign w:val="center"/>
          </w:tcPr>
          <w:p>
            <w:pPr>
              <w:pStyle w:val="92"/>
              <w:spacing w:line="360" w:lineRule="exact"/>
              <w:rPr>
                <w:color w:val="auto"/>
                <w:sz w:val="21"/>
                <w:szCs w:val="21"/>
              </w:rPr>
            </w:pPr>
            <w:r>
              <w:rPr>
                <w:rFonts w:hint="eastAsia"/>
                <w:color w:val="auto"/>
                <w:sz w:val="21"/>
                <w:szCs w:val="21"/>
              </w:rPr>
              <w:t>0</w:t>
            </w:r>
          </w:p>
        </w:tc>
        <w:tc>
          <w:tcPr>
            <w:tcW w:w="1745" w:type="dxa"/>
            <w:vAlign w:val="center"/>
          </w:tcPr>
          <w:p>
            <w:pPr>
              <w:pStyle w:val="92"/>
              <w:spacing w:line="360" w:lineRule="exact"/>
              <w:rPr>
                <w:color w:val="auto"/>
                <w:sz w:val="21"/>
                <w:szCs w:val="21"/>
              </w:rPr>
            </w:pPr>
            <w:r>
              <w:rPr>
                <w:rFonts w:hint="eastAsia"/>
                <w:color w:val="auto"/>
                <w:sz w:val="21"/>
                <w:szCs w:val="21"/>
              </w:rPr>
              <w:t>0</w:t>
            </w:r>
            <w:r>
              <w:rPr>
                <w:color w:val="auto"/>
                <w:sz w:val="21"/>
                <w:szCs w:val="21"/>
              </w:rPr>
              <w:t>.25</w:t>
            </w:r>
            <w:r>
              <w:rPr>
                <w:rFonts w:hint="eastAsia"/>
                <w:color w:val="auto"/>
                <w:sz w:val="21"/>
                <w:szCs w:val="21"/>
              </w:rPr>
              <w:t>t</w:t>
            </w:r>
            <w:r>
              <w:rPr>
                <w:color w:val="auto"/>
                <w:sz w:val="21"/>
                <w:szCs w:val="21"/>
              </w:rPr>
              <w:t>/</w:t>
            </w:r>
            <w:r>
              <w:rPr>
                <w:rFonts w:hint="eastAsia"/>
                <w:color w:val="auto"/>
                <w:sz w:val="21"/>
                <w:szCs w:val="21"/>
              </w:rPr>
              <w:t>a</w:t>
            </w:r>
          </w:p>
        </w:tc>
        <w:tc>
          <w:tcPr>
            <w:tcW w:w="1417" w:type="dxa"/>
            <w:vAlign w:val="center"/>
          </w:tcPr>
          <w:p>
            <w:pPr>
              <w:pStyle w:val="92"/>
              <w:spacing w:line="360" w:lineRule="exact"/>
              <w:rPr>
                <w:color w:val="auto"/>
                <w:sz w:val="21"/>
                <w:szCs w:val="21"/>
              </w:rPr>
            </w:pPr>
            <w:r>
              <w:rPr>
                <w:color w:val="auto"/>
                <w:sz w:val="21"/>
                <w:szCs w:val="21"/>
              </w:rPr>
              <w:t>+</w:t>
            </w:r>
            <w:r>
              <w:rPr>
                <w:rFonts w:hint="eastAsia"/>
                <w:color w:val="auto"/>
                <w:sz w:val="21"/>
                <w:szCs w:val="21"/>
              </w:rPr>
              <w:t>0</w:t>
            </w:r>
            <w:r>
              <w:rPr>
                <w:color w:val="auto"/>
                <w:sz w:val="21"/>
                <w:szCs w:val="21"/>
              </w:rPr>
              <w:t>.25</w:t>
            </w:r>
            <w:r>
              <w:rPr>
                <w:rFonts w:hint="eastAsia"/>
                <w:color w:val="auto"/>
                <w:sz w:val="21"/>
                <w:szCs w:val="21"/>
              </w:rPr>
              <w:t>t</w:t>
            </w:r>
            <w:r>
              <w:rPr>
                <w:color w:val="auto"/>
                <w:sz w:val="21"/>
                <w:szCs w:val="21"/>
              </w:rPr>
              <w:t>/</w:t>
            </w:r>
            <w:r>
              <w:rPr>
                <w:rFonts w:hint="eastAsia"/>
                <w:color w:val="auto"/>
                <w:sz w:val="21"/>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24" w:type="dxa"/>
            <w:vMerge w:val="restart"/>
            <w:vAlign w:val="center"/>
          </w:tcPr>
          <w:p>
            <w:pPr>
              <w:pStyle w:val="92"/>
              <w:spacing w:line="360" w:lineRule="exact"/>
              <w:rPr>
                <w:color w:val="auto"/>
                <w:sz w:val="21"/>
                <w:szCs w:val="21"/>
              </w:rPr>
            </w:pPr>
            <w:r>
              <w:rPr>
                <w:color w:val="auto"/>
                <w:sz w:val="21"/>
                <w:szCs w:val="21"/>
              </w:rPr>
              <w:t>危险废物</w:t>
            </w:r>
          </w:p>
        </w:tc>
        <w:tc>
          <w:tcPr>
            <w:tcW w:w="2268" w:type="dxa"/>
            <w:vAlign w:val="center"/>
          </w:tcPr>
          <w:p>
            <w:pPr>
              <w:pStyle w:val="92"/>
              <w:spacing w:line="360" w:lineRule="exact"/>
              <w:rPr>
                <w:color w:val="auto"/>
                <w:sz w:val="21"/>
                <w:szCs w:val="21"/>
              </w:rPr>
            </w:pPr>
            <w:r>
              <w:rPr>
                <w:rFonts w:hint="eastAsia"/>
                <w:color w:val="auto"/>
                <w:sz w:val="21"/>
                <w:szCs w:val="21"/>
              </w:rPr>
              <w:t>实验固废</w:t>
            </w:r>
          </w:p>
        </w:tc>
        <w:tc>
          <w:tcPr>
            <w:tcW w:w="1560" w:type="dxa"/>
            <w:vAlign w:val="center"/>
          </w:tcPr>
          <w:p>
            <w:pPr>
              <w:pStyle w:val="92"/>
              <w:spacing w:line="360" w:lineRule="exact"/>
              <w:rPr>
                <w:color w:val="auto"/>
                <w:sz w:val="21"/>
                <w:szCs w:val="21"/>
              </w:rPr>
            </w:pPr>
            <w:r>
              <w:rPr>
                <w:rFonts w:hint="eastAsia"/>
                <w:color w:val="auto"/>
                <w:sz w:val="21"/>
                <w:szCs w:val="21"/>
              </w:rPr>
              <w:t>0</w:t>
            </w:r>
          </w:p>
        </w:tc>
        <w:tc>
          <w:tcPr>
            <w:tcW w:w="1030" w:type="dxa"/>
            <w:vAlign w:val="center"/>
          </w:tcPr>
          <w:p>
            <w:pPr>
              <w:pStyle w:val="92"/>
              <w:spacing w:line="360" w:lineRule="exact"/>
              <w:rPr>
                <w:color w:val="auto"/>
                <w:sz w:val="21"/>
                <w:szCs w:val="21"/>
              </w:rPr>
            </w:pPr>
            <w:r>
              <w:rPr>
                <w:rFonts w:hint="eastAsia"/>
                <w:color w:val="auto"/>
                <w:sz w:val="21"/>
                <w:szCs w:val="21"/>
              </w:rPr>
              <w:t>0</w:t>
            </w:r>
          </w:p>
        </w:tc>
        <w:tc>
          <w:tcPr>
            <w:tcW w:w="1701" w:type="dxa"/>
            <w:vAlign w:val="center"/>
          </w:tcPr>
          <w:p>
            <w:pPr>
              <w:pStyle w:val="92"/>
              <w:spacing w:line="360" w:lineRule="exact"/>
              <w:rPr>
                <w:color w:val="auto"/>
                <w:sz w:val="21"/>
                <w:szCs w:val="21"/>
              </w:rPr>
            </w:pPr>
            <w:r>
              <w:rPr>
                <w:rFonts w:hint="eastAsia"/>
                <w:color w:val="auto"/>
                <w:sz w:val="21"/>
                <w:szCs w:val="21"/>
              </w:rPr>
              <w:t>0</w:t>
            </w:r>
          </w:p>
        </w:tc>
        <w:tc>
          <w:tcPr>
            <w:tcW w:w="1559" w:type="dxa"/>
            <w:vAlign w:val="center"/>
          </w:tcPr>
          <w:p>
            <w:pPr>
              <w:pStyle w:val="92"/>
              <w:spacing w:line="360" w:lineRule="exact"/>
              <w:rPr>
                <w:color w:val="auto"/>
                <w:sz w:val="21"/>
                <w:szCs w:val="21"/>
              </w:rPr>
            </w:pPr>
            <w:r>
              <w:rPr>
                <w:color w:val="auto"/>
                <w:sz w:val="21"/>
                <w:szCs w:val="21"/>
              </w:rPr>
              <w:t>0.05</w:t>
            </w:r>
            <w:r>
              <w:rPr>
                <w:rFonts w:hint="eastAsia"/>
                <w:color w:val="auto"/>
                <w:sz w:val="21"/>
                <w:szCs w:val="21"/>
              </w:rPr>
              <w:t>t</w:t>
            </w:r>
            <w:r>
              <w:rPr>
                <w:color w:val="auto"/>
                <w:sz w:val="21"/>
                <w:szCs w:val="21"/>
              </w:rPr>
              <w:t>/</w:t>
            </w:r>
            <w:r>
              <w:rPr>
                <w:rFonts w:hint="eastAsia"/>
                <w:color w:val="auto"/>
                <w:sz w:val="21"/>
                <w:szCs w:val="21"/>
              </w:rPr>
              <w:t>a</w:t>
            </w:r>
          </w:p>
        </w:tc>
        <w:tc>
          <w:tcPr>
            <w:tcW w:w="1761" w:type="dxa"/>
            <w:vAlign w:val="center"/>
          </w:tcPr>
          <w:p>
            <w:pPr>
              <w:pStyle w:val="92"/>
              <w:spacing w:line="360" w:lineRule="exact"/>
              <w:rPr>
                <w:color w:val="auto"/>
                <w:sz w:val="21"/>
                <w:szCs w:val="21"/>
              </w:rPr>
            </w:pPr>
            <w:r>
              <w:rPr>
                <w:rFonts w:hint="eastAsia"/>
                <w:color w:val="auto"/>
                <w:sz w:val="21"/>
                <w:szCs w:val="21"/>
              </w:rPr>
              <w:t>0</w:t>
            </w:r>
          </w:p>
        </w:tc>
        <w:tc>
          <w:tcPr>
            <w:tcW w:w="1745" w:type="dxa"/>
            <w:vAlign w:val="center"/>
          </w:tcPr>
          <w:p>
            <w:pPr>
              <w:pStyle w:val="92"/>
              <w:spacing w:line="360" w:lineRule="exact"/>
              <w:rPr>
                <w:color w:val="auto"/>
                <w:sz w:val="21"/>
                <w:szCs w:val="21"/>
              </w:rPr>
            </w:pPr>
            <w:r>
              <w:rPr>
                <w:color w:val="auto"/>
                <w:sz w:val="21"/>
                <w:szCs w:val="21"/>
              </w:rPr>
              <w:t>0.05</w:t>
            </w:r>
            <w:r>
              <w:rPr>
                <w:rFonts w:hint="eastAsia"/>
                <w:color w:val="auto"/>
                <w:sz w:val="21"/>
                <w:szCs w:val="21"/>
              </w:rPr>
              <w:t>t</w:t>
            </w:r>
            <w:r>
              <w:rPr>
                <w:color w:val="auto"/>
                <w:sz w:val="21"/>
                <w:szCs w:val="21"/>
              </w:rPr>
              <w:t>/</w:t>
            </w:r>
            <w:r>
              <w:rPr>
                <w:rFonts w:hint="eastAsia"/>
                <w:color w:val="auto"/>
                <w:sz w:val="21"/>
                <w:szCs w:val="21"/>
              </w:rPr>
              <w:t>a</w:t>
            </w:r>
          </w:p>
        </w:tc>
        <w:tc>
          <w:tcPr>
            <w:tcW w:w="1417" w:type="dxa"/>
            <w:vAlign w:val="center"/>
          </w:tcPr>
          <w:p>
            <w:pPr>
              <w:pStyle w:val="92"/>
              <w:spacing w:line="360" w:lineRule="exact"/>
              <w:rPr>
                <w:color w:val="auto"/>
                <w:sz w:val="21"/>
                <w:szCs w:val="21"/>
              </w:rPr>
            </w:pPr>
            <w:r>
              <w:rPr>
                <w:color w:val="auto"/>
                <w:sz w:val="21"/>
                <w:szCs w:val="21"/>
              </w:rPr>
              <w:t>+0.05</w:t>
            </w:r>
            <w:r>
              <w:rPr>
                <w:rFonts w:hint="eastAsia"/>
                <w:color w:val="auto"/>
                <w:sz w:val="21"/>
                <w:szCs w:val="21"/>
              </w:rPr>
              <w:t>t</w:t>
            </w:r>
            <w:r>
              <w:rPr>
                <w:color w:val="auto"/>
                <w:sz w:val="21"/>
                <w:szCs w:val="21"/>
              </w:rPr>
              <w:t>/</w:t>
            </w:r>
            <w:r>
              <w:rPr>
                <w:rFonts w:hint="eastAsia"/>
                <w:color w:val="auto"/>
                <w:sz w:val="21"/>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24" w:type="dxa"/>
            <w:vMerge w:val="continue"/>
            <w:vAlign w:val="center"/>
          </w:tcPr>
          <w:p>
            <w:pPr>
              <w:pStyle w:val="92"/>
              <w:spacing w:line="360" w:lineRule="exact"/>
              <w:rPr>
                <w:color w:val="auto"/>
                <w:sz w:val="21"/>
                <w:szCs w:val="21"/>
              </w:rPr>
            </w:pPr>
          </w:p>
        </w:tc>
        <w:tc>
          <w:tcPr>
            <w:tcW w:w="2268" w:type="dxa"/>
            <w:vAlign w:val="center"/>
          </w:tcPr>
          <w:p>
            <w:pPr>
              <w:pStyle w:val="92"/>
              <w:spacing w:line="360" w:lineRule="exact"/>
              <w:rPr>
                <w:color w:val="auto"/>
                <w:sz w:val="21"/>
                <w:szCs w:val="21"/>
              </w:rPr>
            </w:pPr>
            <w:r>
              <w:rPr>
                <w:rFonts w:hint="eastAsia"/>
              </w:rPr>
              <w:t>实验废液</w:t>
            </w:r>
          </w:p>
        </w:tc>
        <w:tc>
          <w:tcPr>
            <w:tcW w:w="1560" w:type="dxa"/>
            <w:vAlign w:val="center"/>
          </w:tcPr>
          <w:p>
            <w:pPr>
              <w:pStyle w:val="92"/>
              <w:spacing w:line="360" w:lineRule="exact"/>
              <w:rPr>
                <w:color w:val="auto"/>
                <w:sz w:val="21"/>
                <w:szCs w:val="21"/>
              </w:rPr>
            </w:pPr>
            <w:r>
              <w:rPr>
                <w:rFonts w:hint="eastAsia"/>
                <w:color w:val="auto"/>
                <w:sz w:val="21"/>
                <w:szCs w:val="21"/>
              </w:rPr>
              <w:t>0</w:t>
            </w:r>
          </w:p>
        </w:tc>
        <w:tc>
          <w:tcPr>
            <w:tcW w:w="1030" w:type="dxa"/>
            <w:vAlign w:val="center"/>
          </w:tcPr>
          <w:p>
            <w:pPr>
              <w:pStyle w:val="92"/>
              <w:spacing w:line="360" w:lineRule="exact"/>
              <w:rPr>
                <w:color w:val="auto"/>
                <w:sz w:val="21"/>
                <w:szCs w:val="21"/>
              </w:rPr>
            </w:pPr>
            <w:r>
              <w:rPr>
                <w:rFonts w:hint="eastAsia"/>
                <w:color w:val="auto"/>
                <w:sz w:val="21"/>
                <w:szCs w:val="21"/>
              </w:rPr>
              <w:t>0</w:t>
            </w:r>
          </w:p>
        </w:tc>
        <w:tc>
          <w:tcPr>
            <w:tcW w:w="1701" w:type="dxa"/>
            <w:vAlign w:val="center"/>
          </w:tcPr>
          <w:p>
            <w:pPr>
              <w:pStyle w:val="92"/>
              <w:spacing w:line="360" w:lineRule="exact"/>
              <w:rPr>
                <w:color w:val="auto"/>
                <w:sz w:val="21"/>
                <w:szCs w:val="21"/>
              </w:rPr>
            </w:pPr>
            <w:r>
              <w:rPr>
                <w:rFonts w:hint="eastAsia"/>
                <w:color w:val="auto"/>
                <w:sz w:val="21"/>
                <w:szCs w:val="21"/>
              </w:rPr>
              <w:t>0</w:t>
            </w:r>
          </w:p>
        </w:tc>
        <w:tc>
          <w:tcPr>
            <w:tcW w:w="1559" w:type="dxa"/>
            <w:vAlign w:val="center"/>
          </w:tcPr>
          <w:p>
            <w:pPr>
              <w:pStyle w:val="92"/>
              <w:spacing w:line="360" w:lineRule="exact"/>
              <w:rPr>
                <w:color w:val="auto"/>
                <w:sz w:val="21"/>
                <w:szCs w:val="21"/>
              </w:rPr>
            </w:pPr>
            <w:r>
              <w:rPr>
                <w:rFonts w:hint="eastAsia"/>
              </w:rPr>
              <w:t>0</w:t>
            </w:r>
            <w:r>
              <w:t>.8</w:t>
            </w:r>
            <w:r>
              <w:rPr>
                <w:rFonts w:hint="eastAsia"/>
                <w:color w:val="auto"/>
                <w:sz w:val="21"/>
                <w:szCs w:val="21"/>
              </w:rPr>
              <w:t xml:space="preserve"> t</w:t>
            </w:r>
            <w:r>
              <w:rPr>
                <w:color w:val="auto"/>
                <w:sz w:val="21"/>
                <w:szCs w:val="21"/>
              </w:rPr>
              <w:t>/</w:t>
            </w:r>
            <w:r>
              <w:rPr>
                <w:rFonts w:hint="eastAsia"/>
                <w:color w:val="auto"/>
                <w:sz w:val="21"/>
                <w:szCs w:val="21"/>
              </w:rPr>
              <w:t>a</w:t>
            </w:r>
          </w:p>
        </w:tc>
        <w:tc>
          <w:tcPr>
            <w:tcW w:w="1761" w:type="dxa"/>
            <w:vAlign w:val="center"/>
          </w:tcPr>
          <w:p>
            <w:pPr>
              <w:pStyle w:val="92"/>
              <w:spacing w:line="360" w:lineRule="exact"/>
              <w:rPr>
                <w:color w:val="auto"/>
                <w:sz w:val="21"/>
                <w:szCs w:val="21"/>
              </w:rPr>
            </w:pPr>
            <w:r>
              <w:rPr>
                <w:rFonts w:hint="eastAsia"/>
                <w:color w:val="auto"/>
                <w:sz w:val="21"/>
                <w:szCs w:val="21"/>
              </w:rPr>
              <w:t>0</w:t>
            </w:r>
          </w:p>
        </w:tc>
        <w:tc>
          <w:tcPr>
            <w:tcW w:w="1745" w:type="dxa"/>
            <w:vAlign w:val="center"/>
          </w:tcPr>
          <w:p>
            <w:pPr>
              <w:pStyle w:val="92"/>
              <w:spacing w:line="360" w:lineRule="exact"/>
              <w:rPr>
                <w:color w:val="auto"/>
                <w:sz w:val="21"/>
                <w:szCs w:val="21"/>
              </w:rPr>
            </w:pPr>
            <w:r>
              <w:rPr>
                <w:rFonts w:hint="eastAsia"/>
              </w:rPr>
              <w:t>0</w:t>
            </w:r>
            <w:r>
              <w:t>.8</w:t>
            </w:r>
            <w:r>
              <w:rPr>
                <w:rFonts w:hint="eastAsia"/>
                <w:color w:val="auto"/>
                <w:sz w:val="21"/>
                <w:szCs w:val="21"/>
              </w:rPr>
              <w:t xml:space="preserve"> t</w:t>
            </w:r>
            <w:r>
              <w:rPr>
                <w:color w:val="auto"/>
                <w:sz w:val="21"/>
                <w:szCs w:val="21"/>
              </w:rPr>
              <w:t>/</w:t>
            </w:r>
            <w:r>
              <w:rPr>
                <w:rFonts w:hint="eastAsia"/>
                <w:color w:val="auto"/>
                <w:sz w:val="21"/>
                <w:szCs w:val="21"/>
              </w:rPr>
              <w:t>a</w:t>
            </w:r>
          </w:p>
        </w:tc>
        <w:tc>
          <w:tcPr>
            <w:tcW w:w="1417" w:type="dxa"/>
            <w:vAlign w:val="center"/>
          </w:tcPr>
          <w:p>
            <w:pPr>
              <w:pStyle w:val="92"/>
              <w:spacing w:line="360" w:lineRule="exact"/>
              <w:rPr>
                <w:color w:val="auto"/>
                <w:sz w:val="21"/>
                <w:szCs w:val="21"/>
              </w:rPr>
            </w:pPr>
            <w:r>
              <w:rPr>
                <w:color w:val="auto"/>
                <w:sz w:val="21"/>
                <w:szCs w:val="21"/>
              </w:rPr>
              <w:t>+</w:t>
            </w:r>
            <w:r>
              <w:rPr>
                <w:rFonts w:hint="eastAsia"/>
              </w:rPr>
              <w:t>0</w:t>
            </w:r>
            <w:r>
              <w:t>.8</w:t>
            </w:r>
            <w:r>
              <w:rPr>
                <w:rFonts w:hint="eastAsia"/>
                <w:color w:val="auto"/>
                <w:sz w:val="21"/>
                <w:szCs w:val="21"/>
              </w:rPr>
              <w:t xml:space="preserve"> t</w:t>
            </w:r>
            <w:r>
              <w:rPr>
                <w:color w:val="auto"/>
                <w:sz w:val="21"/>
                <w:szCs w:val="21"/>
              </w:rPr>
              <w:t>/</w:t>
            </w:r>
            <w:r>
              <w:rPr>
                <w:rFonts w:hint="eastAsia"/>
                <w:color w:val="auto"/>
                <w:sz w:val="21"/>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24" w:type="dxa"/>
            <w:vMerge w:val="continue"/>
            <w:vAlign w:val="center"/>
          </w:tcPr>
          <w:p>
            <w:pPr>
              <w:pStyle w:val="92"/>
              <w:spacing w:line="360" w:lineRule="exact"/>
              <w:rPr>
                <w:color w:val="auto"/>
                <w:sz w:val="21"/>
                <w:szCs w:val="21"/>
              </w:rPr>
            </w:pPr>
          </w:p>
        </w:tc>
        <w:tc>
          <w:tcPr>
            <w:tcW w:w="2268" w:type="dxa"/>
            <w:vAlign w:val="center"/>
          </w:tcPr>
          <w:p>
            <w:pPr>
              <w:pStyle w:val="92"/>
              <w:spacing w:line="360" w:lineRule="exact"/>
              <w:rPr>
                <w:color w:val="auto"/>
                <w:sz w:val="21"/>
                <w:szCs w:val="21"/>
              </w:rPr>
            </w:pPr>
            <w:r>
              <w:rPr>
                <w:rFonts w:hint="eastAsia"/>
              </w:rPr>
              <w:t>废试剂瓶</w:t>
            </w:r>
          </w:p>
        </w:tc>
        <w:tc>
          <w:tcPr>
            <w:tcW w:w="1560" w:type="dxa"/>
            <w:vAlign w:val="center"/>
          </w:tcPr>
          <w:p>
            <w:pPr>
              <w:pStyle w:val="92"/>
              <w:spacing w:line="360" w:lineRule="exact"/>
              <w:rPr>
                <w:color w:val="auto"/>
                <w:sz w:val="21"/>
                <w:szCs w:val="21"/>
              </w:rPr>
            </w:pPr>
            <w:r>
              <w:rPr>
                <w:rFonts w:hint="eastAsia"/>
                <w:color w:val="auto"/>
                <w:sz w:val="21"/>
                <w:szCs w:val="21"/>
              </w:rPr>
              <w:t>0</w:t>
            </w:r>
          </w:p>
        </w:tc>
        <w:tc>
          <w:tcPr>
            <w:tcW w:w="1030" w:type="dxa"/>
            <w:vAlign w:val="center"/>
          </w:tcPr>
          <w:p>
            <w:pPr>
              <w:pStyle w:val="92"/>
              <w:spacing w:line="360" w:lineRule="exact"/>
              <w:rPr>
                <w:color w:val="auto"/>
                <w:sz w:val="21"/>
                <w:szCs w:val="21"/>
              </w:rPr>
            </w:pPr>
            <w:r>
              <w:rPr>
                <w:rFonts w:hint="eastAsia"/>
                <w:color w:val="auto"/>
                <w:sz w:val="21"/>
                <w:szCs w:val="21"/>
              </w:rPr>
              <w:t>0</w:t>
            </w:r>
          </w:p>
        </w:tc>
        <w:tc>
          <w:tcPr>
            <w:tcW w:w="1701" w:type="dxa"/>
            <w:vAlign w:val="center"/>
          </w:tcPr>
          <w:p>
            <w:pPr>
              <w:pStyle w:val="92"/>
              <w:spacing w:line="360" w:lineRule="exact"/>
              <w:rPr>
                <w:color w:val="auto"/>
                <w:sz w:val="21"/>
                <w:szCs w:val="21"/>
              </w:rPr>
            </w:pPr>
            <w:r>
              <w:rPr>
                <w:rFonts w:hint="eastAsia"/>
                <w:color w:val="auto"/>
                <w:sz w:val="21"/>
                <w:szCs w:val="21"/>
              </w:rPr>
              <w:t>0</w:t>
            </w:r>
          </w:p>
        </w:tc>
        <w:tc>
          <w:tcPr>
            <w:tcW w:w="1559" w:type="dxa"/>
            <w:vAlign w:val="center"/>
          </w:tcPr>
          <w:p>
            <w:pPr>
              <w:pStyle w:val="92"/>
              <w:spacing w:line="360" w:lineRule="exact"/>
              <w:rPr>
                <w:color w:val="auto"/>
                <w:sz w:val="21"/>
                <w:szCs w:val="21"/>
              </w:rPr>
            </w:pPr>
            <w:r>
              <w:rPr>
                <w:rFonts w:hint="eastAsia"/>
              </w:rPr>
              <w:t>0</w:t>
            </w:r>
            <w:r>
              <w:t>.05</w:t>
            </w:r>
            <w:r>
              <w:rPr>
                <w:rFonts w:hint="eastAsia"/>
                <w:color w:val="auto"/>
                <w:sz w:val="21"/>
                <w:szCs w:val="21"/>
              </w:rPr>
              <w:t xml:space="preserve"> t</w:t>
            </w:r>
            <w:r>
              <w:rPr>
                <w:color w:val="auto"/>
                <w:sz w:val="21"/>
                <w:szCs w:val="21"/>
              </w:rPr>
              <w:t>/</w:t>
            </w:r>
            <w:r>
              <w:rPr>
                <w:rFonts w:hint="eastAsia"/>
                <w:color w:val="auto"/>
                <w:sz w:val="21"/>
                <w:szCs w:val="21"/>
              </w:rPr>
              <w:t>a</w:t>
            </w:r>
          </w:p>
        </w:tc>
        <w:tc>
          <w:tcPr>
            <w:tcW w:w="1761" w:type="dxa"/>
            <w:vAlign w:val="center"/>
          </w:tcPr>
          <w:p>
            <w:pPr>
              <w:pStyle w:val="92"/>
              <w:spacing w:line="360" w:lineRule="exact"/>
              <w:rPr>
                <w:color w:val="auto"/>
                <w:sz w:val="21"/>
                <w:szCs w:val="21"/>
              </w:rPr>
            </w:pPr>
            <w:r>
              <w:rPr>
                <w:rFonts w:hint="eastAsia"/>
                <w:color w:val="auto"/>
                <w:sz w:val="21"/>
                <w:szCs w:val="21"/>
              </w:rPr>
              <w:t>0</w:t>
            </w:r>
          </w:p>
        </w:tc>
        <w:tc>
          <w:tcPr>
            <w:tcW w:w="1745" w:type="dxa"/>
            <w:vAlign w:val="center"/>
          </w:tcPr>
          <w:p>
            <w:pPr>
              <w:pStyle w:val="92"/>
              <w:spacing w:line="360" w:lineRule="exact"/>
              <w:rPr>
                <w:color w:val="auto"/>
                <w:sz w:val="21"/>
                <w:szCs w:val="21"/>
              </w:rPr>
            </w:pPr>
            <w:r>
              <w:rPr>
                <w:rFonts w:hint="eastAsia"/>
              </w:rPr>
              <w:t>0</w:t>
            </w:r>
            <w:r>
              <w:t>.05</w:t>
            </w:r>
            <w:r>
              <w:rPr>
                <w:rFonts w:hint="eastAsia"/>
                <w:color w:val="auto"/>
                <w:sz w:val="21"/>
                <w:szCs w:val="21"/>
              </w:rPr>
              <w:t xml:space="preserve"> t</w:t>
            </w:r>
            <w:r>
              <w:rPr>
                <w:color w:val="auto"/>
                <w:sz w:val="21"/>
                <w:szCs w:val="21"/>
              </w:rPr>
              <w:t>/</w:t>
            </w:r>
            <w:r>
              <w:rPr>
                <w:rFonts w:hint="eastAsia"/>
                <w:color w:val="auto"/>
                <w:sz w:val="21"/>
                <w:szCs w:val="21"/>
              </w:rPr>
              <w:t>a</w:t>
            </w:r>
          </w:p>
        </w:tc>
        <w:tc>
          <w:tcPr>
            <w:tcW w:w="1417" w:type="dxa"/>
            <w:vAlign w:val="center"/>
          </w:tcPr>
          <w:p>
            <w:pPr>
              <w:pStyle w:val="92"/>
              <w:spacing w:line="360" w:lineRule="exact"/>
              <w:rPr>
                <w:color w:val="auto"/>
                <w:sz w:val="21"/>
                <w:szCs w:val="21"/>
              </w:rPr>
            </w:pPr>
            <w:r>
              <w:rPr>
                <w:color w:val="auto"/>
                <w:sz w:val="21"/>
                <w:szCs w:val="21"/>
              </w:rPr>
              <w:t>+</w:t>
            </w:r>
            <w:r>
              <w:rPr>
                <w:rFonts w:hint="eastAsia"/>
              </w:rPr>
              <w:t>0</w:t>
            </w:r>
            <w:r>
              <w:t>.05</w:t>
            </w:r>
            <w:r>
              <w:rPr>
                <w:rFonts w:hint="eastAsia"/>
                <w:color w:val="auto"/>
                <w:sz w:val="21"/>
                <w:szCs w:val="21"/>
              </w:rPr>
              <w:t xml:space="preserve"> t</w:t>
            </w:r>
            <w:r>
              <w:rPr>
                <w:color w:val="auto"/>
                <w:sz w:val="21"/>
                <w:szCs w:val="21"/>
              </w:rPr>
              <w:t>/</w:t>
            </w:r>
            <w:r>
              <w:rPr>
                <w:rFonts w:hint="eastAsia"/>
                <w:color w:val="auto"/>
                <w:sz w:val="21"/>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24" w:type="dxa"/>
            <w:vMerge w:val="continue"/>
            <w:vAlign w:val="center"/>
          </w:tcPr>
          <w:p>
            <w:pPr>
              <w:pStyle w:val="92"/>
              <w:spacing w:line="360" w:lineRule="exact"/>
              <w:rPr>
                <w:color w:val="auto"/>
                <w:sz w:val="21"/>
                <w:szCs w:val="21"/>
              </w:rPr>
            </w:pPr>
          </w:p>
        </w:tc>
        <w:tc>
          <w:tcPr>
            <w:tcW w:w="2268" w:type="dxa"/>
            <w:vAlign w:val="center"/>
          </w:tcPr>
          <w:p>
            <w:pPr>
              <w:pStyle w:val="92"/>
              <w:spacing w:line="360" w:lineRule="exact"/>
              <w:rPr>
                <w:color w:val="auto"/>
                <w:sz w:val="21"/>
                <w:szCs w:val="21"/>
              </w:rPr>
            </w:pPr>
            <w:r>
              <w:rPr>
                <w:rFonts w:hint="eastAsia"/>
              </w:rPr>
              <w:t>仪器前三次清洗废水</w:t>
            </w:r>
          </w:p>
        </w:tc>
        <w:tc>
          <w:tcPr>
            <w:tcW w:w="1560" w:type="dxa"/>
            <w:vAlign w:val="center"/>
          </w:tcPr>
          <w:p>
            <w:pPr>
              <w:pStyle w:val="92"/>
              <w:spacing w:line="360" w:lineRule="exact"/>
              <w:rPr>
                <w:color w:val="auto"/>
                <w:sz w:val="21"/>
                <w:szCs w:val="21"/>
              </w:rPr>
            </w:pPr>
            <w:r>
              <w:rPr>
                <w:rFonts w:hint="eastAsia"/>
                <w:color w:val="auto"/>
                <w:sz w:val="21"/>
                <w:szCs w:val="21"/>
              </w:rPr>
              <w:t>0</w:t>
            </w:r>
          </w:p>
        </w:tc>
        <w:tc>
          <w:tcPr>
            <w:tcW w:w="1030" w:type="dxa"/>
            <w:vAlign w:val="center"/>
          </w:tcPr>
          <w:p>
            <w:pPr>
              <w:pStyle w:val="92"/>
              <w:spacing w:line="360" w:lineRule="exact"/>
              <w:rPr>
                <w:color w:val="auto"/>
                <w:sz w:val="21"/>
                <w:szCs w:val="21"/>
              </w:rPr>
            </w:pPr>
            <w:r>
              <w:rPr>
                <w:rFonts w:hint="eastAsia"/>
                <w:color w:val="auto"/>
                <w:sz w:val="21"/>
                <w:szCs w:val="21"/>
              </w:rPr>
              <w:t>0</w:t>
            </w:r>
          </w:p>
        </w:tc>
        <w:tc>
          <w:tcPr>
            <w:tcW w:w="1701" w:type="dxa"/>
            <w:vAlign w:val="center"/>
          </w:tcPr>
          <w:p>
            <w:pPr>
              <w:pStyle w:val="92"/>
              <w:spacing w:line="360" w:lineRule="exact"/>
              <w:rPr>
                <w:color w:val="auto"/>
                <w:sz w:val="21"/>
                <w:szCs w:val="21"/>
              </w:rPr>
            </w:pPr>
            <w:r>
              <w:rPr>
                <w:rFonts w:hint="eastAsia"/>
                <w:color w:val="auto"/>
                <w:sz w:val="21"/>
                <w:szCs w:val="21"/>
              </w:rPr>
              <w:t>0</w:t>
            </w:r>
          </w:p>
        </w:tc>
        <w:tc>
          <w:tcPr>
            <w:tcW w:w="1559" w:type="dxa"/>
            <w:vAlign w:val="center"/>
          </w:tcPr>
          <w:p>
            <w:pPr>
              <w:pStyle w:val="92"/>
              <w:spacing w:line="360" w:lineRule="exact"/>
              <w:rPr>
                <w:color w:val="auto"/>
                <w:sz w:val="21"/>
                <w:szCs w:val="21"/>
              </w:rPr>
            </w:pPr>
            <w:r>
              <w:rPr>
                <w:rFonts w:hint="eastAsia"/>
              </w:rPr>
              <w:t>6</w:t>
            </w:r>
            <w:r>
              <w:t>.2</w:t>
            </w:r>
            <w:r>
              <w:rPr>
                <w:rFonts w:hint="eastAsia"/>
                <w:color w:val="auto"/>
                <w:sz w:val="21"/>
                <w:szCs w:val="21"/>
              </w:rPr>
              <w:t xml:space="preserve"> t</w:t>
            </w:r>
            <w:r>
              <w:rPr>
                <w:color w:val="auto"/>
                <w:sz w:val="21"/>
                <w:szCs w:val="21"/>
              </w:rPr>
              <w:t>/</w:t>
            </w:r>
            <w:r>
              <w:rPr>
                <w:rFonts w:hint="eastAsia"/>
                <w:color w:val="auto"/>
                <w:sz w:val="21"/>
                <w:szCs w:val="21"/>
              </w:rPr>
              <w:t>a</w:t>
            </w:r>
          </w:p>
        </w:tc>
        <w:tc>
          <w:tcPr>
            <w:tcW w:w="1761" w:type="dxa"/>
            <w:vAlign w:val="center"/>
          </w:tcPr>
          <w:p>
            <w:pPr>
              <w:pStyle w:val="92"/>
              <w:spacing w:line="360" w:lineRule="exact"/>
              <w:rPr>
                <w:color w:val="auto"/>
                <w:sz w:val="21"/>
                <w:szCs w:val="21"/>
              </w:rPr>
            </w:pPr>
            <w:r>
              <w:rPr>
                <w:rFonts w:hint="eastAsia"/>
                <w:color w:val="auto"/>
                <w:sz w:val="21"/>
                <w:szCs w:val="21"/>
              </w:rPr>
              <w:t>0</w:t>
            </w:r>
          </w:p>
        </w:tc>
        <w:tc>
          <w:tcPr>
            <w:tcW w:w="1745" w:type="dxa"/>
            <w:vAlign w:val="center"/>
          </w:tcPr>
          <w:p>
            <w:pPr>
              <w:pStyle w:val="92"/>
              <w:spacing w:line="360" w:lineRule="exact"/>
              <w:rPr>
                <w:color w:val="auto"/>
                <w:sz w:val="21"/>
                <w:szCs w:val="21"/>
              </w:rPr>
            </w:pPr>
            <w:r>
              <w:rPr>
                <w:rFonts w:hint="eastAsia"/>
              </w:rPr>
              <w:t>6</w:t>
            </w:r>
            <w:r>
              <w:t>.2</w:t>
            </w:r>
            <w:r>
              <w:rPr>
                <w:rFonts w:hint="eastAsia"/>
                <w:color w:val="auto"/>
                <w:sz w:val="21"/>
                <w:szCs w:val="21"/>
              </w:rPr>
              <w:t xml:space="preserve"> t</w:t>
            </w:r>
            <w:r>
              <w:rPr>
                <w:color w:val="auto"/>
                <w:sz w:val="21"/>
                <w:szCs w:val="21"/>
              </w:rPr>
              <w:t>/</w:t>
            </w:r>
            <w:r>
              <w:rPr>
                <w:rFonts w:hint="eastAsia"/>
                <w:color w:val="auto"/>
                <w:sz w:val="21"/>
                <w:szCs w:val="21"/>
              </w:rPr>
              <w:t>a</w:t>
            </w:r>
          </w:p>
        </w:tc>
        <w:tc>
          <w:tcPr>
            <w:tcW w:w="1417" w:type="dxa"/>
            <w:vAlign w:val="center"/>
          </w:tcPr>
          <w:p>
            <w:pPr>
              <w:pStyle w:val="92"/>
              <w:spacing w:line="360" w:lineRule="exact"/>
              <w:rPr>
                <w:color w:val="auto"/>
                <w:sz w:val="21"/>
                <w:szCs w:val="21"/>
              </w:rPr>
            </w:pPr>
            <w:r>
              <w:rPr>
                <w:color w:val="auto"/>
                <w:sz w:val="21"/>
                <w:szCs w:val="21"/>
              </w:rPr>
              <w:t>+</w:t>
            </w:r>
            <w:r>
              <w:rPr>
                <w:rFonts w:hint="eastAsia"/>
              </w:rPr>
              <w:t>6</w:t>
            </w:r>
            <w:r>
              <w:t>.2</w:t>
            </w:r>
            <w:r>
              <w:rPr>
                <w:rFonts w:hint="eastAsia"/>
                <w:color w:val="auto"/>
                <w:sz w:val="21"/>
                <w:szCs w:val="21"/>
              </w:rPr>
              <w:t xml:space="preserve"> t</w:t>
            </w:r>
            <w:r>
              <w:rPr>
                <w:color w:val="auto"/>
                <w:sz w:val="21"/>
                <w:szCs w:val="21"/>
              </w:rPr>
              <w:t>/</w:t>
            </w:r>
            <w:r>
              <w:rPr>
                <w:rFonts w:hint="eastAsia"/>
                <w:color w:val="auto"/>
                <w:sz w:val="21"/>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24" w:type="dxa"/>
            <w:vMerge w:val="continue"/>
            <w:vAlign w:val="center"/>
          </w:tcPr>
          <w:p>
            <w:pPr>
              <w:pStyle w:val="92"/>
              <w:spacing w:line="360" w:lineRule="exact"/>
              <w:rPr>
                <w:color w:val="auto"/>
                <w:sz w:val="21"/>
                <w:szCs w:val="21"/>
              </w:rPr>
            </w:pPr>
          </w:p>
        </w:tc>
        <w:tc>
          <w:tcPr>
            <w:tcW w:w="2268" w:type="dxa"/>
            <w:vAlign w:val="center"/>
          </w:tcPr>
          <w:p>
            <w:pPr>
              <w:pStyle w:val="92"/>
              <w:spacing w:line="360" w:lineRule="exact"/>
              <w:rPr>
                <w:color w:val="auto"/>
                <w:sz w:val="21"/>
                <w:szCs w:val="21"/>
              </w:rPr>
            </w:pPr>
            <w:r>
              <w:rPr>
                <w:rFonts w:hint="eastAsia"/>
              </w:rPr>
              <w:t>废活性炭</w:t>
            </w:r>
          </w:p>
        </w:tc>
        <w:tc>
          <w:tcPr>
            <w:tcW w:w="1560" w:type="dxa"/>
            <w:vAlign w:val="center"/>
          </w:tcPr>
          <w:p>
            <w:pPr>
              <w:pStyle w:val="92"/>
              <w:spacing w:line="360" w:lineRule="exact"/>
              <w:rPr>
                <w:color w:val="auto"/>
                <w:sz w:val="21"/>
                <w:szCs w:val="21"/>
              </w:rPr>
            </w:pPr>
            <w:r>
              <w:rPr>
                <w:rFonts w:hint="eastAsia"/>
                <w:color w:val="auto"/>
                <w:sz w:val="21"/>
                <w:szCs w:val="21"/>
              </w:rPr>
              <w:t>0</w:t>
            </w:r>
          </w:p>
        </w:tc>
        <w:tc>
          <w:tcPr>
            <w:tcW w:w="1030" w:type="dxa"/>
            <w:vAlign w:val="center"/>
          </w:tcPr>
          <w:p>
            <w:pPr>
              <w:pStyle w:val="92"/>
              <w:spacing w:line="360" w:lineRule="exact"/>
              <w:rPr>
                <w:color w:val="auto"/>
                <w:sz w:val="21"/>
                <w:szCs w:val="21"/>
              </w:rPr>
            </w:pPr>
            <w:r>
              <w:rPr>
                <w:rFonts w:hint="eastAsia"/>
                <w:color w:val="auto"/>
                <w:sz w:val="21"/>
                <w:szCs w:val="21"/>
              </w:rPr>
              <w:t>0</w:t>
            </w:r>
          </w:p>
        </w:tc>
        <w:tc>
          <w:tcPr>
            <w:tcW w:w="1701" w:type="dxa"/>
            <w:vAlign w:val="center"/>
          </w:tcPr>
          <w:p>
            <w:pPr>
              <w:pStyle w:val="92"/>
              <w:spacing w:line="360" w:lineRule="exact"/>
              <w:rPr>
                <w:color w:val="auto"/>
                <w:sz w:val="21"/>
                <w:szCs w:val="21"/>
              </w:rPr>
            </w:pPr>
            <w:r>
              <w:rPr>
                <w:rFonts w:hint="eastAsia"/>
                <w:color w:val="auto"/>
                <w:sz w:val="21"/>
                <w:szCs w:val="21"/>
              </w:rPr>
              <w:t>0</w:t>
            </w:r>
          </w:p>
        </w:tc>
        <w:tc>
          <w:tcPr>
            <w:tcW w:w="1559" w:type="dxa"/>
            <w:vAlign w:val="center"/>
          </w:tcPr>
          <w:p>
            <w:pPr>
              <w:pStyle w:val="92"/>
              <w:spacing w:line="360" w:lineRule="exact"/>
              <w:rPr>
                <w:color w:val="auto"/>
                <w:sz w:val="21"/>
                <w:szCs w:val="21"/>
              </w:rPr>
            </w:pPr>
            <w:r>
              <w:rPr>
                <w:rFonts w:hint="eastAsia"/>
              </w:rPr>
              <w:t>0</w:t>
            </w:r>
            <w:r>
              <w:t>.8</w:t>
            </w:r>
            <w:r>
              <w:rPr>
                <w:rFonts w:hint="eastAsia"/>
                <w:color w:val="auto"/>
                <w:sz w:val="21"/>
                <w:szCs w:val="21"/>
              </w:rPr>
              <w:t xml:space="preserve"> t</w:t>
            </w:r>
            <w:r>
              <w:rPr>
                <w:color w:val="auto"/>
                <w:sz w:val="21"/>
                <w:szCs w:val="21"/>
              </w:rPr>
              <w:t>/</w:t>
            </w:r>
            <w:r>
              <w:rPr>
                <w:rFonts w:hint="eastAsia"/>
                <w:color w:val="auto"/>
                <w:sz w:val="21"/>
                <w:szCs w:val="21"/>
              </w:rPr>
              <w:t>a</w:t>
            </w:r>
          </w:p>
        </w:tc>
        <w:tc>
          <w:tcPr>
            <w:tcW w:w="1761" w:type="dxa"/>
            <w:vAlign w:val="center"/>
          </w:tcPr>
          <w:p>
            <w:pPr>
              <w:pStyle w:val="92"/>
              <w:spacing w:line="360" w:lineRule="exact"/>
              <w:rPr>
                <w:color w:val="auto"/>
                <w:sz w:val="21"/>
                <w:szCs w:val="21"/>
              </w:rPr>
            </w:pPr>
            <w:r>
              <w:rPr>
                <w:rFonts w:hint="eastAsia"/>
                <w:color w:val="auto"/>
                <w:sz w:val="21"/>
                <w:szCs w:val="21"/>
              </w:rPr>
              <w:t>0</w:t>
            </w:r>
          </w:p>
        </w:tc>
        <w:tc>
          <w:tcPr>
            <w:tcW w:w="1745" w:type="dxa"/>
            <w:vAlign w:val="center"/>
          </w:tcPr>
          <w:p>
            <w:pPr>
              <w:pStyle w:val="92"/>
              <w:spacing w:line="360" w:lineRule="exact"/>
              <w:rPr>
                <w:color w:val="auto"/>
                <w:sz w:val="21"/>
                <w:szCs w:val="21"/>
              </w:rPr>
            </w:pPr>
            <w:r>
              <w:rPr>
                <w:rFonts w:hint="eastAsia"/>
              </w:rPr>
              <w:t>0</w:t>
            </w:r>
            <w:r>
              <w:t>.8</w:t>
            </w:r>
            <w:r>
              <w:rPr>
                <w:rFonts w:hint="eastAsia"/>
                <w:color w:val="auto"/>
                <w:sz w:val="21"/>
                <w:szCs w:val="21"/>
              </w:rPr>
              <w:t xml:space="preserve"> t</w:t>
            </w:r>
            <w:r>
              <w:rPr>
                <w:color w:val="auto"/>
                <w:sz w:val="21"/>
                <w:szCs w:val="21"/>
              </w:rPr>
              <w:t>/</w:t>
            </w:r>
            <w:r>
              <w:rPr>
                <w:rFonts w:hint="eastAsia"/>
                <w:color w:val="auto"/>
                <w:sz w:val="21"/>
                <w:szCs w:val="21"/>
              </w:rPr>
              <w:t>a</w:t>
            </w:r>
          </w:p>
        </w:tc>
        <w:tc>
          <w:tcPr>
            <w:tcW w:w="1417" w:type="dxa"/>
            <w:vAlign w:val="center"/>
          </w:tcPr>
          <w:p>
            <w:pPr>
              <w:pStyle w:val="92"/>
              <w:spacing w:line="360" w:lineRule="exact"/>
              <w:rPr>
                <w:color w:val="auto"/>
                <w:sz w:val="21"/>
                <w:szCs w:val="21"/>
              </w:rPr>
            </w:pPr>
            <w:r>
              <w:rPr>
                <w:color w:val="auto"/>
                <w:sz w:val="21"/>
                <w:szCs w:val="21"/>
              </w:rPr>
              <w:t>+</w:t>
            </w:r>
            <w:r>
              <w:rPr>
                <w:rFonts w:hint="eastAsia"/>
              </w:rPr>
              <w:t>0</w:t>
            </w:r>
            <w:r>
              <w:t>.8</w:t>
            </w:r>
            <w:r>
              <w:rPr>
                <w:rFonts w:hint="eastAsia"/>
                <w:color w:val="auto"/>
                <w:sz w:val="21"/>
                <w:szCs w:val="21"/>
              </w:rPr>
              <w:t xml:space="preserve"> t</w:t>
            </w:r>
            <w:r>
              <w:rPr>
                <w:color w:val="auto"/>
                <w:sz w:val="21"/>
                <w:szCs w:val="21"/>
              </w:rPr>
              <w:t>/</w:t>
            </w:r>
            <w:r>
              <w:rPr>
                <w:rFonts w:hint="eastAsia"/>
                <w:color w:val="auto"/>
                <w:sz w:val="21"/>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24" w:type="dxa"/>
            <w:vMerge w:val="continue"/>
            <w:vAlign w:val="center"/>
          </w:tcPr>
          <w:p>
            <w:pPr>
              <w:pStyle w:val="92"/>
              <w:spacing w:line="360" w:lineRule="exact"/>
              <w:rPr>
                <w:color w:val="auto"/>
                <w:sz w:val="21"/>
                <w:szCs w:val="21"/>
              </w:rPr>
            </w:pPr>
          </w:p>
        </w:tc>
        <w:tc>
          <w:tcPr>
            <w:tcW w:w="2268" w:type="dxa"/>
            <w:vAlign w:val="center"/>
          </w:tcPr>
          <w:p>
            <w:pPr>
              <w:pStyle w:val="92"/>
              <w:spacing w:line="360" w:lineRule="exact"/>
              <w:rPr>
                <w:color w:val="auto"/>
                <w:sz w:val="21"/>
                <w:szCs w:val="21"/>
              </w:rPr>
            </w:pPr>
            <w:r>
              <w:rPr>
                <w:rFonts w:hint="eastAsia"/>
              </w:rPr>
              <w:t>废紫外灯管</w:t>
            </w:r>
          </w:p>
        </w:tc>
        <w:tc>
          <w:tcPr>
            <w:tcW w:w="1560" w:type="dxa"/>
            <w:vAlign w:val="center"/>
          </w:tcPr>
          <w:p>
            <w:pPr>
              <w:pStyle w:val="92"/>
              <w:spacing w:line="360" w:lineRule="exact"/>
              <w:rPr>
                <w:color w:val="auto"/>
                <w:sz w:val="21"/>
                <w:szCs w:val="21"/>
              </w:rPr>
            </w:pPr>
            <w:r>
              <w:rPr>
                <w:rFonts w:hint="eastAsia"/>
                <w:color w:val="auto"/>
                <w:sz w:val="21"/>
                <w:szCs w:val="21"/>
              </w:rPr>
              <w:t>0</w:t>
            </w:r>
          </w:p>
        </w:tc>
        <w:tc>
          <w:tcPr>
            <w:tcW w:w="1030" w:type="dxa"/>
            <w:vAlign w:val="center"/>
          </w:tcPr>
          <w:p>
            <w:pPr>
              <w:pStyle w:val="92"/>
              <w:spacing w:line="360" w:lineRule="exact"/>
              <w:rPr>
                <w:color w:val="auto"/>
                <w:sz w:val="21"/>
                <w:szCs w:val="21"/>
              </w:rPr>
            </w:pPr>
            <w:r>
              <w:rPr>
                <w:rFonts w:hint="eastAsia"/>
                <w:color w:val="auto"/>
                <w:sz w:val="21"/>
                <w:szCs w:val="21"/>
              </w:rPr>
              <w:t>0</w:t>
            </w:r>
          </w:p>
        </w:tc>
        <w:tc>
          <w:tcPr>
            <w:tcW w:w="1701" w:type="dxa"/>
            <w:vAlign w:val="center"/>
          </w:tcPr>
          <w:p>
            <w:pPr>
              <w:pStyle w:val="92"/>
              <w:spacing w:line="360" w:lineRule="exact"/>
              <w:rPr>
                <w:color w:val="auto"/>
                <w:sz w:val="21"/>
                <w:szCs w:val="21"/>
              </w:rPr>
            </w:pPr>
            <w:r>
              <w:rPr>
                <w:rFonts w:hint="eastAsia"/>
                <w:color w:val="auto"/>
                <w:sz w:val="21"/>
                <w:szCs w:val="21"/>
              </w:rPr>
              <w:t>0</w:t>
            </w:r>
          </w:p>
        </w:tc>
        <w:tc>
          <w:tcPr>
            <w:tcW w:w="1559" w:type="dxa"/>
            <w:vAlign w:val="center"/>
          </w:tcPr>
          <w:p>
            <w:pPr>
              <w:pStyle w:val="92"/>
              <w:spacing w:line="360" w:lineRule="exact"/>
              <w:rPr>
                <w:color w:val="auto"/>
                <w:sz w:val="21"/>
                <w:szCs w:val="21"/>
              </w:rPr>
            </w:pPr>
            <w:r>
              <w:t>0.005</w:t>
            </w:r>
            <w:r>
              <w:rPr>
                <w:rFonts w:hint="eastAsia"/>
                <w:color w:val="auto"/>
                <w:sz w:val="21"/>
                <w:szCs w:val="21"/>
              </w:rPr>
              <w:t xml:space="preserve"> t</w:t>
            </w:r>
            <w:r>
              <w:rPr>
                <w:color w:val="auto"/>
                <w:sz w:val="21"/>
                <w:szCs w:val="21"/>
              </w:rPr>
              <w:t>/</w:t>
            </w:r>
            <w:r>
              <w:rPr>
                <w:rFonts w:hint="eastAsia"/>
                <w:color w:val="auto"/>
                <w:sz w:val="21"/>
                <w:szCs w:val="21"/>
              </w:rPr>
              <w:t>a</w:t>
            </w:r>
          </w:p>
        </w:tc>
        <w:tc>
          <w:tcPr>
            <w:tcW w:w="1761" w:type="dxa"/>
            <w:vAlign w:val="center"/>
          </w:tcPr>
          <w:p>
            <w:pPr>
              <w:pStyle w:val="92"/>
              <w:spacing w:line="360" w:lineRule="exact"/>
              <w:rPr>
                <w:color w:val="auto"/>
                <w:sz w:val="21"/>
                <w:szCs w:val="21"/>
              </w:rPr>
            </w:pPr>
            <w:r>
              <w:rPr>
                <w:rFonts w:hint="eastAsia"/>
                <w:color w:val="auto"/>
                <w:sz w:val="21"/>
                <w:szCs w:val="21"/>
              </w:rPr>
              <w:t>0</w:t>
            </w:r>
          </w:p>
        </w:tc>
        <w:tc>
          <w:tcPr>
            <w:tcW w:w="1745" w:type="dxa"/>
            <w:vAlign w:val="center"/>
          </w:tcPr>
          <w:p>
            <w:pPr>
              <w:pStyle w:val="92"/>
              <w:spacing w:line="360" w:lineRule="exact"/>
              <w:rPr>
                <w:color w:val="auto"/>
                <w:sz w:val="21"/>
                <w:szCs w:val="21"/>
              </w:rPr>
            </w:pPr>
            <w:r>
              <w:t>0.005</w:t>
            </w:r>
            <w:r>
              <w:rPr>
                <w:rFonts w:hint="eastAsia"/>
                <w:color w:val="auto"/>
                <w:sz w:val="21"/>
                <w:szCs w:val="21"/>
              </w:rPr>
              <w:t xml:space="preserve"> t</w:t>
            </w:r>
            <w:r>
              <w:rPr>
                <w:color w:val="auto"/>
                <w:sz w:val="21"/>
                <w:szCs w:val="21"/>
              </w:rPr>
              <w:t>/</w:t>
            </w:r>
            <w:r>
              <w:rPr>
                <w:rFonts w:hint="eastAsia"/>
                <w:color w:val="auto"/>
                <w:sz w:val="21"/>
                <w:szCs w:val="21"/>
              </w:rPr>
              <w:t>a</w:t>
            </w:r>
          </w:p>
        </w:tc>
        <w:tc>
          <w:tcPr>
            <w:tcW w:w="1417" w:type="dxa"/>
            <w:vAlign w:val="center"/>
          </w:tcPr>
          <w:p>
            <w:pPr>
              <w:pStyle w:val="92"/>
              <w:spacing w:line="360" w:lineRule="exact"/>
              <w:rPr>
                <w:color w:val="auto"/>
                <w:sz w:val="21"/>
                <w:szCs w:val="21"/>
              </w:rPr>
            </w:pPr>
            <w:r>
              <w:rPr>
                <w:color w:val="auto"/>
                <w:sz w:val="21"/>
                <w:szCs w:val="21"/>
              </w:rPr>
              <w:t>+</w:t>
            </w:r>
            <w:r>
              <w:t>0.005</w:t>
            </w:r>
            <w:r>
              <w:rPr>
                <w:rFonts w:hint="eastAsia"/>
                <w:color w:val="auto"/>
                <w:sz w:val="21"/>
                <w:szCs w:val="21"/>
              </w:rPr>
              <w:t xml:space="preserve"> t</w:t>
            </w:r>
            <w:r>
              <w:rPr>
                <w:color w:val="auto"/>
                <w:sz w:val="21"/>
                <w:szCs w:val="21"/>
              </w:rPr>
              <w:t>/</w:t>
            </w:r>
            <w:r>
              <w:rPr>
                <w:rFonts w:hint="eastAsia"/>
                <w:color w:val="auto"/>
                <w:sz w:val="21"/>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24" w:type="dxa"/>
            <w:vMerge w:val="continue"/>
            <w:vAlign w:val="center"/>
          </w:tcPr>
          <w:p>
            <w:pPr>
              <w:pStyle w:val="92"/>
              <w:spacing w:line="360" w:lineRule="exact"/>
              <w:rPr>
                <w:color w:val="auto"/>
                <w:sz w:val="21"/>
                <w:szCs w:val="21"/>
              </w:rPr>
            </w:pPr>
          </w:p>
        </w:tc>
        <w:tc>
          <w:tcPr>
            <w:tcW w:w="2268" w:type="dxa"/>
            <w:vAlign w:val="center"/>
          </w:tcPr>
          <w:p>
            <w:pPr>
              <w:pStyle w:val="92"/>
              <w:spacing w:line="360" w:lineRule="exact"/>
              <w:rPr>
                <w:color w:val="auto"/>
                <w:sz w:val="21"/>
                <w:szCs w:val="21"/>
              </w:rPr>
            </w:pPr>
            <w:r>
              <w:rPr>
                <w:rFonts w:hint="eastAsia"/>
              </w:rPr>
              <w:t>废培养基</w:t>
            </w:r>
          </w:p>
        </w:tc>
        <w:tc>
          <w:tcPr>
            <w:tcW w:w="1560" w:type="dxa"/>
            <w:vAlign w:val="center"/>
          </w:tcPr>
          <w:p>
            <w:pPr>
              <w:pStyle w:val="92"/>
              <w:spacing w:line="360" w:lineRule="exact"/>
              <w:rPr>
                <w:color w:val="auto"/>
                <w:sz w:val="21"/>
                <w:szCs w:val="21"/>
              </w:rPr>
            </w:pPr>
            <w:r>
              <w:rPr>
                <w:rFonts w:hint="eastAsia"/>
                <w:color w:val="auto"/>
                <w:sz w:val="21"/>
                <w:szCs w:val="21"/>
              </w:rPr>
              <w:t>0</w:t>
            </w:r>
          </w:p>
        </w:tc>
        <w:tc>
          <w:tcPr>
            <w:tcW w:w="1030" w:type="dxa"/>
            <w:vAlign w:val="center"/>
          </w:tcPr>
          <w:p>
            <w:pPr>
              <w:pStyle w:val="92"/>
              <w:spacing w:line="360" w:lineRule="exact"/>
              <w:rPr>
                <w:color w:val="auto"/>
                <w:sz w:val="21"/>
                <w:szCs w:val="21"/>
              </w:rPr>
            </w:pPr>
            <w:r>
              <w:rPr>
                <w:rFonts w:hint="eastAsia"/>
                <w:color w:val="auto"/>
                <w:sz w:val="21"/>
                <w:szCs w:val="21"/>
              </w:rPr>
              <w:t>0</w:t>
            </w:r>
          </w:p>
        </w:tc>
        <w:tc>
          <w:tcPr>
            <w:tcW w:w="1701" w:type="dxa"/>
            <w:vAlign w:val="center"/>
          </w:tcPr>
          <w:p>
            <w:pPr>
              <w:pStyle w:val="92"/>
              <w:spacing w:line="360" w:lineRule="exact"/>
              <w:rPr>
                <w:color w:val="auto"/>
                <w:sz w:val="21"/>
                <w:szCs w:val="21"/>
              </w:rPr>
            </w:pPr>
            <w:r>
              <w:rPr>
                <w:rFonts w:hint="eastAsia"/>
                <w:color w:val="auto"/>
                <w:sz w:val="21"/>
                <w:szCs w:val="21"/>
              </w:rPr>
              <w:t>0</w:t>
            </w:r>
          </w:p>
        </w:tc>
        <w:tc>
          <w:tcPr>
            <w:tcW w:w="1559" w:type="dxa"/>
            <w:vAlign w:val="center"/>
          </w:tcPr>
          <w:p>
            <w:pPr>
              <w:pStyle w:val="92"/>
              <w:spacing w:line="360" w:lineRule="exact"/>
              <w:rPr>
                <w:color w:val="auto"/>
                <w:sz w:val="21"/>
                <w:szCs w:val="21"/>
              </w:rPr>
            </w:pPr>
            <w:r>
              <w:t>0.01</w:t>
            </w:r>
            <w:r>
              <w:rPr>
                <w:rFonts w:hint="eastAsia"/>
                <w:color w:val="auto"/>
                <w:sz w:val="21"/>
                <w:szCs w:val="21"/>
              </w:rPr>
              <w:t xml:space="preserve"> t</w:t>
            </w:r>
            <w:r>
              <w:rPr>
                <w:color w:val="auto"/>
                <w:sz w:val="21"/>
                <w:szCs w:val="21"/>
              </w:rPr>
              <w:t>/</w:t>
            </w:r>
            <w:r>
              <w:rPr>
                <w:rFonts w:hint="eastAsia"/>
                <w:color w:val="auto"/>
                <w:sz w:val="21"/>
                <w:szCs w:val="21"/>
              </w:rPr>
              <w:t>a</w:t>
            </w:r>
          </w:p>
        </w:tc>
        <w:tc>
          <w:tcPr>
            <w:tcW w:w="1761" w:type="dxa"/>
            <w:vAlign w:val="center"/>
          </w:tcPr>
          <w:p>
            <w:pPr>
              <w:pStyle w:val="92"/>
              <w:spacing w:line="360" w:lineRule="exact"/>
              <w:rPr>
                <w:color w:val="auto"/>
                <w:sz w:val="21"/>
                <w:szCs w:val="21"/>
              </w:rPr>
            </w:pPr>
            <w:r>
              <w:rPr>
                <w:rFonts w:hint="eastAsia"/>
                <w:color w:val="auto"/>
                <w:sz w:val="21"/>
                <w:szCs w:val="21"/>
              </w:rPr>
              <w:t>0</w:t>
            </w:r>
          </w:p>
        </w:tc>
        <w:tc>
          <w:tcPr>
            <w:tcW w:w="1745" w:type="dxa"/>
            <w:vAlign w:val="center"/>
          </w:tcPr>
          <w:p>
            <w:pPr>
              <w:pStyle w:val="92"/>
              <w:spacing w:line="360" w:lineRule="exact"/>
              <w:rPr>
                <w:color w:val="auto"/>
                <w:sz w:val="21"/>
                <w:szCs w:val="21"/>
              </w:rPr>
            </w:pPr>
            <w:r>
              <w:t>0.01</w:t>
            </w:r>
            <w:r>
              <w:rPr>
                <w:rFonts w:hint="eastAsia"/>
                <w:color w:val="auto"/>
                <w:sz w:val="21"/>
                <w:szCs w:val="21"/>
              </w:rPr>
              <w:t xml:space="preserve"> t</w:t>
            </w:r>
            <w:r>
              <w:rPr>
                <w:color w:val="auto"/>
                <w:sz w:val="21"/>
                <w:szCs w:val="21"/>
              </w:rPr>
              <w:t>/</w:t>
            </w:r>
            <w:r>
              <w:rPr>
                <w:rFonts w:hint="eastAsia"/>
                <w:color w:val="auto"/>
                <w:sz w:val="21"/>
                <w:szCs w:val="21"/>
              </w:rPr>
              <w:t>a</w:t>
            </w:r>
          </w:p>
        </w:tc>
        <w:tc>
          <w:tcPr>
            <w:tcW w:w="1417" w:type="dxa"/>
            <w:vAlign w:val="center"/>
          </w:tcPr>
          <w:p>
            <w:pPr>
              <w:pStyle w:val="92"/>
              <w:spacing w:line="360" w:lineRule="exact"/>
              <w:rPr>
                <w:color w:val="auto"/>
                <w:sz w:val="21"/>
                <w:szCs w:val="21"/>
              </w:rPr>
            </w:pPr>
            <w:r>
              <w:rPr>
                <w:color w:val="auto"/>
                <w:sz w:val="21"/>
                <w:szCs w:val="21"/>
              </w:rPr>
              <w:t>+</w:t>
            </w:r>
            <w:r>
              <w:t>0.01</w:t>
            </w:r>
            <w:r>
              <w:rPr>
                <w:rFonts w:hint="eastAsia"/>
                <w:color w:val="auto"/>
                <w:sz w:val="21"/>
                <w:szCs w:val="21"/>
              </w:rPr>
              <w:t xml:space="preserve"> t</w:t>
            </w:r>
            <w:r>
              <w:rPr>
                <w:color w:val="auto"/>
                <w:sz w:val="21"/>
                <w:szCs w:val="21"/>
              </w:rPr>
              <w:t>/</w:t>
            </w:r>
            <w:r>
              <w:rPr>
                <w:rFonts w:hint="eastAsia"/>
                <w:color w:val="auto"/>
                <w:sz w:val="21"/>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2" w:type="dxa"/>
            <w:gridSpan w:val="2"/>
            <w:vAlign w:val="center"/>
          </w:tcPr>
          <w:p>
            <w:pPr>
              <w:pStyle w:val="92"/>
              <w:spacing w:line="360" w:lineRule="exact"/>
              <w:rPr>
                <w:color w:val="auto"/>
                <w:sz w:val="21"/>
                <w:szCs w:val="21"/>
              </w:rPr>
            </w:pPr>
            <w:r>
              <w:rPr>
                <w:rFonts w:hint="eastAsia"/>
                <w:color w:val="auto"/>
                <w:sz w:val="21"/>
                <w:szCs w:val="21"/>
              </w:rPr>
              <w:t>生活垃圾</w:t>
            </w:r>
          </w:p>
        </w:tc>
        <w:tc>
          <w:tcPr>
            <w:tcW w:w="1560" w:type="dxa"/>
            <w:vAlign w:val="center"/>
          </w:tcPr>
          <w:p>
            <w:pPr>
              <w:pStyle w:val="92"/>
              <w:spacing w:line="360" w:lineRule="exact"/>
              <w:rPr>
                <w:color w:val="auto"/>
                <w:sz w:val="21"/>
                <w:szCs w:val="21"/>
              </w:rPr>
            </w:pPr>
            <w:r>
              <w:rPr>
                <w:color w:val="auto"/>
                <w:sz w:val="21"/>
                <w:szCs w:val="21"/>
              </w:rPr>
              <w:t>0</w:t>
            </w:r>
          </w:p>
        </w:tc>
        <w:tc>
          <w:tcPr>
            <w:tcW w:w="1030" w:type="dxa"/>
            <w:vAlign w:val="center"/>
          </w:tcPr>
          <w:p>
            <w:pPr>
              <w:pStyle w:val="92"/>
              <w:spacing w:line="360" w:lineRule="exact"/>
              <w:rPr>
                <w:color w:val="auto"/>
                <w:sz w:val="21"/>
                <w:szCs w:val="21"/>
              </w:rPr>
            </w:pPr>
            <w:r>
              <w:rPr>
                <w:rFonts w:hint="eastAsia"/>
                <w:color w:val="auto"/>
                <w:sz w:val="21"/>
                <w:szCs w:val="21"/>
              </w:rPr>
              <w:t>0</w:t>
            </w:r>
          </w:p>
        </w:tc>
        <w:tc>
          <w:tcPr>
            <w:tcW w:w="1701" w:type="dxa"/>
            <w:vAlign w:val="center"/>
          </w:tcPr>
          <w:p>
            <w:pPr>
              <w:pStyle w:val="92"/>
              <w:spacing w:line="360" w:lineRule="exact"/>
              <w:rPr>
                <w:color w:val="auto"/>
                <w:sz w:val="21"/>
                <w:szCs w:val="21"/>
              </w:rPr>
            </w:pPr>
            <w:r>
              <w:rPr>
                <w:rFonts w:hint="eastAsia"/>
                <w:color w:val="auto"/>
                <w:sz w:val="21"/>
                <w:szCs w:val="21"/>
              </w:rPr>
              <w:t>0</w:t>
            </w:r>
          </w:p>
        </w:tc>
        <w:tc>
          <w:tcPr>
            <w:tcW w:w="1559" w:type="dxa"/>
            <w:vAlign w:val="center"/>
          </w:tcPr>
          <w:p>
            <w:pPr>
              <w:pStyle w:val="92"/>
              <w:spacing w:line="360" w:lineRule="exact"/>
              <w:rPr>
                <w:color w:val="auto"/>
                <w:sz w:val="21"/>
                <w:szCs w:val="21"/>
              </w:rPr>
            </w:pPr>
            <w:r>
              <w:rPr>
                <w:color w:val="auto"/>
                <w:sz w:val="21"/>
                <w:szCs w:val="21"/>
              </w:rPr>
              <w:t>1.3</w:t>
            </w:r>
            <w:r>
              <w:rPr>
                <w:rFonts w:hint="eastAsia"/>
                <w:color w:val="auto"/>
                <w:sz w:val="21"/>
                <w:szCs w:val="21"/>
              </w:rPr>
              <w:t>t</w:t>
            </w:r>
            <w:r>
              <w:rPr>
                <w:color w:val="auto"/>
                <w:sz w:val="21"/>
                <w:szCs w:val="21"/>
              </w:rPr>
              <w:t>/</w:t>
            </w:r>
            <w:r>
              <w:rPr>
                <w:rFonts w:hint="eastAsia"/>
                <w:color w:val="auto"/>
                <w:sz w:val="21"/>
                <w:szCs w:val="21"/>
              </w:rPr>
              <w:t>a</w:t>
            </w:r>
          </w:p>
        </w:tc>
        <w:tc>
          <w:tcPr>
            <w:tcW w:w="1761" w:type="dxa"/>
            <w:vAlign w:val="center"/>
          </w:tcPr>
          <w:p>
            <w:pPr>
              <w:pStyle w:val="92"/>
              <w:spacing w:line="360" w:lineRule="exact"/>
              <w:rPr>
                <w:color w:val="auto"/>
                <w:sz w:val="21"/>
                <w:szCs w:val="21"/>
              </w:rPr>
            </w:pPr>
            <w:r>
              <w:rPr>
                <w:rFonts w:hint="eastAsia"/>
                <w:color w:val="auto"/>
                <w:sz w:val="21"/>
                <w:szCs w:val="21"/>
              </w:rPr>
              <w:t>0</w:t>
            </w:r>
          </w:p>
        </w:tc>
        <w:tc>
          <w:tcPr>
            <w:tcW w:w="1745" w:type="dxa"/>
            <w:vAlign w:val="center"/>
          </w:tcPr>
          <w:p>
            <w:pPr>
              <w:pStyle w:val="92"/>
              <w:spacing w:line="360" w:lineRule="exact"/>
              <w:rPr>
                <w:color w:val="auto"/>
                <w:sz w:val="21"/>
                <w:szCs w:val="21"/>
              </w:rPr>
            </w:pPr>
            <w:r>
              <w:rPr>
                <w:color w:val="auto"/>
                <w:sz w:val="21"/>
                <w:szCs w:val="21"/>
              </w:rPr>
              <w:t>1.3</w:t>
            </w:r>
            <w:r>
              <w:rPr>
                <w:rFonts w:hint="eastAsia"/>
                <w:color w:val="auto"/>
                <w:sz w:val="21"/>
                <w:szCs w:val="21"/>
              </w:rPr>
              <w:t>t</w:t>
            </w:r>
            <w:r>
              <w:rPr>
                <w:color w:val="auto"/>
                <w:sz w:val="21"/>
                <w:szCs w:val="21"/>
              </w:rPr>
              <w:t>/</w:t>
            </w:r>
            <w:r>
              <w:rPr>
                <w:rFonts w:hint="eastAsia"/>
                <w:color w:val="auto"/>
                <w:sz w:val="21"/>
                <w:szCs w:val="21"/>
              </w:rPr>
              <w:t>a</w:t>
            </w:r>
          </w:p>
        </w:tc>
        <w:tc>
          <w:tcPr>
            <w:tcW w:w="1417" w:type="dxa"/>
            <w:vAlign w:val="center"/>
          </w:tcPr>
          <w:p>
            <w:pPr>
              <w:pStyle w:val="92"/>
              <w:spacing w:line="360" w:lineRule="exact"/>
              <w:rPr>
                <w:color w:val="auto"/>
                <w:sz w:val="21"/>
                <w:szCs w:val="21"/>
              </w:rPr>
            </w:pPr>
            <w:r>
              <w:rPr>
                <w:rFonts w:hint="eastAsia"/>
                <w:color w:val="auto"/>
                <w:sz w:val="21"/>
                <w:szCs w:val="21"/>
              </w:rPr>
              <w:t>+</w:t>
            </w:r>
            <w:r>
              <w:rPr>
                <w:color w:val="auto"/>
                <w:sz w:val="21"/>
                <w:szCs w:val="21"/>
              </w:rPr>
              <w:t>1.3</w:t>
            </w:r>
            <w:r>
              <w:rPr>
                <w:rFonts w:hint="eastAsia"/>
                <w:color w:val="auto"/>
                <w:sz w:val="21"/>
                <w:szCs w:val="21"/>
              </w:rPr>
              <w:t>t</w:t>
            </w:r>
            <w:r>
              <w:rPr>
                <w:color w:val="auto"/>
                <w:sz w:val="21"/>
                <w:szCs w:val="21"/>
              </w:rPr>
              <w:t>/</w:t>
            </w:r>
            <w:r>
              <w:rPr>
                <w:rFonts w:hint="eastAsia"/>
                <w:color w:val="auto"/>
                <w:sz w:val="21"/>
                <w:szCs w:val="21"/>
              </w:rPr>
              <w:t>a</w:t>
            </w:r>
          </w:p>
        </w:tc>
      </w:tr>
    </w:tbl>
    <w:p>
      <w:pPr>
        <w:pStyle w:val="92"/>
        <w:jc w:val="both"/>
        <w:rPr>
          <w:color w:val="auto"/>
        </w:rPr>
      </w:pPr>
      <w:r>
        <w:rPr>
          <w:color w:val="auto"/>
        </w:rPr>
        <w:t>注：</w:t>
      </w:r>
      <w:r>
        <w:rPr>
          <w:color w:val="auto"/>
          <w:spacing w:val="-16"/>
        </w:rPr>
        <w:fldChar w:fldCharType="begin"/>
      </w:r>
      <w:r>
        <w:rPr>
          <w:color w:val="auto"/>
          <w:spacing w:val="-16"/>
        </w:rPr>
        <w:instrText xml:space="preserve"> = 6 \* GB3 \* MERGEFORMAT </w:instrText>
      </w:r>
      <w:r>
        <w:rPr>
          <w:color w:val="auto"/>
          <w:spacing w:val="-16"/>
        </w:rPr>
        <w:fldChar w:fldCharType="separate"/>
      </w:r>
      <w:r>
        <w:rPr>
          <w:rFonts w:hint="eastAsia" w:ascii="宋体" w:hAnsi="宋体" w:cs="宋体"/>
          <w:color w:val="auto"/>
        </w:rPr>
        <w:t>⑥</w:t>
      </w:r>
      <w:r>
        <w:rPr>
          <w:color w:val="auto"/>
          <w:spacing w:val="-16"/>
        </w:rPr>
        <w:fldChar w:fldCharType="end"/>
      </w:r>
      <w:r>
        <w:rPr>
          <w:color w:val="auto"/>
          <w:spacing w:val="-16"/>
        </w:rPr>
        <w:t>=</w:t>
      </w:r>
      <w:r>
        <w:rPr>
          <w:color w:val="auto"/>
        </w:rPr>
        <w:fldChar w:fldCharType="begin"/>
      </w:r>
      <w:r>
        <w:rPr>
          <w:color w:val="auto"/>
        </w:rPr>
        <w:instrText xml:space="preserve"> = 1 \* GB3 \* MERGEFORMAT </w:instrText>
      </w:r>
      <w:r>
        <w:rPr>
          <w:color w:val="auto"/>
        </w:rPr>
        <w:fldChar w:fldCharType="separate"/>
      </w:r>
      <w:r>
        <w:rPr>
          <w:rFonts w:hint="eastAsia" w:ascii="宋体" w:hAnsi="宋体" w:cs="宋体"/>
          <w:color w:val="auto"/>
        </w:rPr>
        <w:t>①</w:t>
      </w:r>
      <w:r>
        <w:rPr>
          <w:color w:val="auto"/>
        </w:rPr>
        <w:fldChar w:fldCharType="end"/>
      </w:r>
      <w:r>
        <w:rPr>
          <w:color w:val="auto"/>
        </w:rPr>
        <w:t>+</w:t>
      </w:r>
      <w:r>
        <w:rPr>
          <w:color w:val="auto"/>
        </w:rPr>
        <w:fldChar w:fldCharType="begin"/>
      </w:r>
      <w:r>
        <w:rPr>
          <w:color w:val="auto"/>
        </w:rPr>
        <w:instrText xml:space="preserve"> = 3 \* GB3 \* MERGEFORMAT </w:instrText>
      </w:r>
      <w:r>
        <w:rPr>
          <w:color w:val="auto"/>
        </w:rPr>
        <w:fldChar w:fldCharType="separate"/>
      </w:r>
      <w:r>
        <w:rPr>
          <w:rFonts w:hint="eastAsia" w:ascii="宋体" w:hAnsi="宋体" w:cs="宋体"/>
          <w:color w:val="auto"/>
        </w:rPr>
        <w:t>③</w:t>
      </w:r>
      <w:r>
        <w:rPr>
          <w:color w:val="auto"/>
        </w:rPr>
        <w:fldChar w:fldCharType="end"/>
      </w:r>
      <w:r>
        <w:rPr>
          <w:color w:val="auto"/>
        </w:rPr>
        <w:t>+</w:t>
      </w:r>
      <w:r>
        <w:rPr>
          <w:color w:val="auto"/>
        </w:rPr>
        <w:fldChar w:fldCharType="begin"/>
      </w:r>
      <w:r>
        <w:rPr>
          <w:color w:val="auto"/>
        </w:rPr>
        <w:instrText xml:space="preserve"> = 4 \* GB3 \* MERGEFORMAT </w:instrText>
      </w:r>
      <w:r>
        <w:rPr>
          <w:color w:val="auto"/>
        </w:rPr>
        <w:fldChar w:fldCharType="separate"/>
      </w:r>
      <w:r>
        <w:rPr>
          <w:rFonts w:hint="eastAsia" w:ascii="宋体" w:hAnsi="宋体" w:cs="宋体"/>
          <w:color w:val="auto"/>
        </w:rPr>
        <w:t>④</w:t>
      </w:r>
      <w:r>
        <w:rPr>
          <w:color w:val="auto"/>
        </w:rPr>
        <w:fldChar w:fldCharType="end"/>
      </w:r>
      <w:r>
        <w:rPr>
          <w:color w:val="auto"/>
        </w:rPr>
        <w:t>-</w:t>
      </w:r>
      <w:r>
        <w:rPr>
          <w:color w:val="auto"/>
          <w:spacing w:val="-16"/>
        </w:rPr>
        <w:fldChar w:fldCharType="begin"/>
      </w:r>
      <w:r>
        <w:rPr>
          <w:color w:val="auto"/>
          <w:spacing w:val="-16"/>
        </w:rPr>
        <w:instrText xml:space="preserve"> = 5 \* GB3 \* MERGEFORMAT </w:instrText>
      </w:r>
      <w:r>
        <w:rPr>
          <w:color w:val="auto"/>
          <w:spacing w:val="-16"/>
        </w:rPr>
        <w:fldChar w:fldCharType="separate"/>
      </w:r>
      <w:r>
        <w:rPr>
          <w:rFonts w:hint="eastAsia" w:ascii="宋体" w:hAnsi="宋体" w:cs="宋体"/>
          <w:color w:val="auto"/>
        </w:rPr>
        <w:t>⑤</w:t>
      </w:r>
      <w:r>
        <w:rPr>
          <w:color w:val="auto"/>
          <w:spacing w:val="-16"/>
        </w:rPr>
        <w:fldChar w:fldCharType="end"/>
      </w:r>
      <w:r>
        <w:rPr>
          <w:color w:val="auto"/>
          <w:spacing w:val="-16"/>
        </w:rPr>
        <w:t>；</w:t>
      </w:r>
      <w:r>
        <w:rPr>
          <w:color w:val="auto"/>
        </w:rPr>
        <w:fldChar w:fldCharType="begin"/>
      </w:r>
      <w:r>
        <w:rPr>
          <w:color w:val="auto"/>
        </w:rPr>
        <w:instrText xml:space="preserve"> = 7 \* GB3 \* MERGEFORMAT </w:instrText>
      </w:r>
      <w:r>
        <w:rPr>
          <w:color w:val="auto"/>
        </w:rPr>
        <w:fldChar w:fldCharType="separate"/>
      </w:r>
      <w:r>
        <w:rPr>
          <w:rFonts w:hint="eastAsia" w:ascii="宋体" w:hAnsi="宋体" w:cs="宋体"/>
          <w:color w:val="auto"/>
        </w:rPr>
        <w:t>⑦</w:t>
      </w:r>
      <w:r>
        <w:rPr>
          <w:color w:val="auto"/>
        </w:rPr>
        <w:fldChar w:fldCharType="end"/>
      </w:r>
      <w:r>
        <w:rPr>
          <w:color w:val="auto"/>
        </w:rPr>
        <w:t>=</w:t>
      </w:r>
      <w:r>
        <w:rPr>
          <w:color w:val="auto"/>
          <w:spacing w:val="-16"/>
        </w:rPr>
        <w:fldChar w:fldCharType="begin"/>
      </w:r>
      <w:r>
        <w:rPr>
          <w:color w:val="auto"/>
          <w:spacing w:val="-16"/>
        </w:rPr>
        <w:instrText xml:space="preserve"> = 6 \* GB3 \* MERGEFORMAT </w:instrText>
      </w:r>
      <w:r>
        <w:rPr>
          <w:color w:val="auto"/>
          <w:spacing w:val="-16"/>
        </w:rPr>
        <w:fldChar w:fldCharType="separate"/>
      </w:r>
      <w:r>
        <w:rPr>
          <w:rFonts w:hint="eastAsia" w:ascii="宋体" w:hAnsi="宋体" w:cs="宋体"/>
          <w:color w:val="auto"/>
        </w:rPr>
        <w:t>⑥</w:t>
      </w:r>
      <w:r>
        <w:rPr>
          <w:color w:val="auto"/>
          <w:spacing w:val="-16"/>
        </w:rPr>
        <w:fldChar w:fldCharType="end"/>
      </w:r>
      <w:r>
        <w:rPr>
          <w:color w:val="auto"/>
          <w:spacing w:val="-16"/>
        </w:rPr>
        <w:t>-</w:t>
      </w:r>
      <w:r>
        <w:rPr>
          <w:color w:val="auto"/>
        </w:rPr>
        <w:fldChar w:fldCharType="begin"/>
      </w:r>
      <w:r>
        <w:rPr>
          <w:color w:val="auto"/>
        </w:rPr>
        <w:instrText xml:space="preserve"> = 1 \* GB3 \* MERGEFORMAT </w:instrText>
      </w:r>
      <w:r>
        <w:rPr>
          <w:color w:val="auto"/>
        </w:rPr>
        <w:fldChar w:fldCharType="separate"/>
      </w:r>
      <w:r>
        <w:rPr>
          <w:rFonts w:hint="eastAsia" w:ascii="宋体" w:hAnsi="宋体" w:cs="宋体"/>
          <w:color w:val="auto"/>
        </w:rPr>
        <w:t>①</w:t>
      </w:r>
      <w:r>
        <w:rPr>
          <w:color w:val="auto"/>
        </w:rPr>
        <w:fldChar w:fldCharType="end"/>
      </w:r>
    </w:p>
    <w:sectPr>
      <w:footerReference r:id="rId13" w:type="default"/>
      <w:pgSz w:w="16838" w:h="11906" w:orient="landscape"/>
      <w:pgMar w:top="1134" w:right="1440" w:bottom="1134" w:left="1440" w:header="567" w:footer="567" w:gutter="0"/>
      <w:pgNumType w:fmt="numberInDash"/>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0000000000000000000"/>
    <w:charset w:val="00"/>
    <w:family w:val="auto"/>
    <w:pitch w:val="default"/>
    <w:sig w:usb0="00000000" w:usb1="00000000" w:usb2="00000000" w:usb3="00000000" w:csb0="00000000" w:csb1="00000000"/>
  </w:font>
  <w:font w:name="Arial Unicode MS">
    <w:altName w:val="Malgun Gothic Semilight"/>
    <w:panose1 w:val="020B0604020202020204"/>
    <w:charset w:val="86"/>
    <w:family w:val="swiss"/>
    <w:pitch w:val="default"/>
    <w:sig w:usb0="00000000" w:usb1="00000000" w:usb2="0000003F" w:usb3="00000000" w:csb0="603F01FF" w:csb1="FFFF0000"/>
  </w:font>
  <w:font w:name="TimesNewRoman">
    <w:altName w:val="宋体"/>
    <w:panose1 w:val="00000000000000000000"/>
    <w:charset w:val="00"/>
    <w:family w:val="roman"/>
    <w:pitch w:val="default"/>
    <w:sig w:usb0="00000000" w:usb1="00000000" w:usb2="00000010" w:usb3="00000000" w:csb0="00040001"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Helvetica">
    <w:altName w:val="Arial"/>
    <w:panose1 w:val="020B0604020202020204"/>
    <w:charset w:val="00"/>
    <w:family w:val="swiss"/>
    <w:pitch w:val="default"/>
    <w:sig w:usb0="00000000" w:usb1="00000000" w:usb2="00000009" w:usb3="00000000" w:csb0="000001FF" w:csb1="00000000"/>
  </w:font>
  <w:font w:name="TimesNewRomanPSMT">
    <w:altName w:val="MS Gothic"/>
    <w:panose1 w:val="00000000000000000000"/>
    <w:charset w:val="80"/>
    <w:family w:val="auto"/>
    <w:pitch w:val="default"/>
    <w:sig w:usb0="00000000" w:usb1="00000000" w:usb2="00000010" w:usb3="00000000" w:csb0="00020000" w:csb1="00000000"/>
  </w:font>
  <w:font w:name="Cambria Math">
    <w:panose1 w:val="02040503050406030204"/>
    <w:charset w:val="00"/>
    <w:family w:val="roman"/>
    <w:pitch w:val="default"/>
    <w:sig w:usb0="E00006FF" w:usb1="420024FF" w:usb2="02000000" w:usb3="00000000" w:csb0="2000019F" w:csb1="00000000"/>
  </w:font>
  <w:font w:name="MS Gothic">
    <w:panose1 w:val="020B0609070205080204"/>
    <w:charset w:val="80"/>
    <w:family w:val="auto"/>
    <w:pitch w:val="default"/>
    <w:sig w:usb0="E00002FF" w:usb1="6AC7FDFB" w:usb2="08000012" w:usb3="00000000" w:csb0="4002009F" w:csb1="DFD70000"/>
  </w:font>
  <w:font w:name="楷体">
    <w:panose1 w:val="02010609060101010101"/>
    <w:charset w:val="86"/>
    <w:family w:val="auto"/>
    <w:pitch w:val="default"/>
    <w:sig w:usb0="800002BF" w:usb1="38CF7CFA" w:usb2="00000016" w:usb3="00000000" w:csb0="00040001" w:csb1="00000000"/>
  </w:font>
  <w:font w:name="Malgun Gothic Semilight">
    <w:panose1 w:val="020B0502040204020203"/>
    <w:charset w:val="86"/>
    <w:family w:val="auto"/>
    <w:pitch w:val="default"/>
    <w:sig w:usb0="900002AF" w:usb1="01D77CFB" w:usb2="00000012" w:usb3="00000000" w:csb0="203E01BD"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jc w:val="center"/>
    </w:pPr>
    <w:r>
      <w:fldChar w:fldCharType="begin"/>
    </w:r>
    <w:r>
      <w:instrText xml:space="preserve"> PAGE   \* MERGEFORMAT </w:instrText>
    </w:r>
    <w:r>
      <w:fldChar w:fldCharType="separate"/>
    </w:r>
    <w:r>
      <w:t>- 82 -</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spacing w:line="10" w:lineRule="atLeast"/>
      <w:ind w:firstLine="0" w:firstLineChars="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5"/>
    <w:multiLevelType w:val="multilevel"/>
    <w:tmpl w:val="00000005"/>
    <w:lvl w:ilvl="0" w:tentative="0">
      <w:start w:val="1"/>
      <w:numFmt w:val="chineseCountingThousand"/>
      <w:pStyle w:val="52"/>
      <w:suff w:val="nothing"/>
      <w:lvlText w:val="第%1章"/>
      <w:lvlJc w:val="left"/>
      <w:pPr>
        <w:ind w:left="0" w:firstLine="0"/>
      </w:pPr>
      <w:rPr>
        <w:rFonts w:hint="eastAsia"/>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
    <w:nsid w:val="0D0B02A0"/>
    <w:multiLevelType w:val="multilevel"/>
    <w:tmpl w:val="0D0B02A0"/>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DB56626"/>
    <w:multiLevelType w:val="multilevel"/>
    <w:tmpl w:val="1DB56626"/>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2264ED7"/>
    <w:multiLevelType w:val="multilevel"/>
    <w:tmpl w:val="22264ED7"/>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8A042B1"/>
    <w:multiLevelType w:val="multilevel"/>
    <w:tmpl w:val="58A042B1"/>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8BC7FE7"/>
    <w:multiLevelType w:val="multilevel"/>
    <w:tmpl w:val="58BC7FE7"/>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9DC12BD"/>
    <w:multiLevelType w:val="multilevel"/>
    <w:tmpl w:val="59DC12BD"/>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CA85A53"/>
    <w:multiLevelType w:val="multilevel"/>
    <w:tmpl w:val="5CA85A53"/>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81252B1"/>
    <w:multiLevelType w:val="multilevel"/>
    <w:tmpl w:val="681252B1"/>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B696780"/>
    <w:multiLevelType w:val="multilevel"/>
    <w:tmpl w:val="6B696780"/>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F810A5E"/>
    <w:multiLevelType w:val="multilevel"/>
    <w:tmpl w:val="6F810A5E"/>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D712BF5"/>
    <w:multiLevelType w:val="multilevel"/>
    <w:tmpl w:val="7D712BF5"/>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0"/>
  </w:num>
  <w:num w:numId="3">
    <w:abstractNumId w:val="11"/>
  </w:num>
  <w:num w:numId="4">
    <w:abstractNumId w:val="3"/>
  </w:num>
  <w:num w:numId="5">
    <w:abstractNumId w:val="8"/>
  </w:num>
  <w:num w:numId="6">
    <w:abstractNumId w:val="6"/>
  </w:num>
  <w:num w:numId="7">
    <w:abstractNumId w:val="1"/>
  </w:num>
  <w:num w:numId="8">
    <w:abstractNumId w:val="7"/>
  </w:num>
  <w:num w:numId="9">
    <w:abstractNumId w:val="5"/>
  </w:num>
  <w:num w:numId="10">
    <w:abstractNumId w:val="4"/>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VhMjA2MzlhNDZkNDkxN2FiMGJkYzg0Nzc3NWFmMWMifQ=="/>
  </w:docVars>
  <w:rsids>
    <w:rsidRoot w:val="00172A27"/>
    <w:rsid w:val="00001193"/>
    <w:rsid w:val="000012B2"/>
    <w:rsid w:val="000012FD"/>
    <w:rsid w:val="00001A9B"/>
    <w:rsid w:val="000027C4"/>
    <w:rsid w:val="00003203"/>
    <w:rsid w:val="00003A3C"/>
    <w:rsid w:val="0000469C"/>
    <w:rsid w:val="00004CDA"/>
    <w:rsid w:val="00005061"/>
    <w:rsid w:val="000053BE"/>
    <w:rsid w:val="00005743"/>
    <w:rsid w:val="00006269"/>
    <w:rsid w:val="000063E0"/>
    <w:rsid w:val="000065A1"/>
    <w:rsid w:val="000069C6"/>
    <w:rsid w:val="00007032"/>
    <w:rsid w:val="000070F9"/>
    <w:rsid w:val="00007190"/>
    <w:rsid w:val="00007494"/>
    <w:rsid w:val="000076F7"/>
    <w:rsid w:val="00007CDA"/>
    <w:rsid w:val="00010585"/>
    <w:rsid w:val="00010FC8"/>
    <w:rsid w:val="00011679"/>
    <w:rsid w:val="000116FF"/>
    <w:rsid w:val="0001204D"/>
    <w:rsid w:val="00012138"/>
    <w:rsid w:val="000125B0"/>
    <w:rsid w:val="000125ED"/>
    <w:rsid w:val="00012660"/>
    <w:rsid w:val="000126EC"/>
    <w:rsid w:val="00013842"/>
    <w:rsid w:val="000138C3"/>
    <w:rsid w:val="00013A7B"/>
    <w:rsid w:val="00013A8F"/>
    <w:rsid w:val="00014321"/>
    <w:rsid w:val="00014A56"/>
    <w:rsid w:val="000155B4"/>
    <w:rsid w:val="00015CD0"/>
    <w:rsid w:val="000166C9"/>
    <w:rsid w:val="0001690B"/>
    <w:rsid w:val="000169B9"/>
    <w:rsid w:val="00016D12"/>
    <w:rsid w:val="00016EB1"/>
    <w:rsid w:val="00016EF3"/>
    <w:rsid w:val="00016FFB"/>
    <w:rsid w:val="000170A7"/>
    <w:rsid w:val="00017EE2"/>
    <w:rsid w:val="0002025D"/>
    <w:rsid w:val="000206D0"/>
    <w:rsid w:val="000213EF"/>
    <w:rsid w:val="00021557"/>
    <w:rsid w:val="0002189F"/>
    <w:rsid w:val="00021E28"/>
    <w:rsid w:val="00021EDF"/>
    <w:rsid w:val="00021FE5"/>
    <w:rsid w:val="00022229"/>
    <w:rsid w:val="000222BF"/>
    <w:rsid w:val="00022576"/>
    <w:rsid w:val="000229E8"/>
    <w:rsid w:val="0002397E"/>
    <w:rsid w:val="00023A07"/>
    <w:rsid w:val="00023BAA"/>
    <w:rsid w:val="00023CF3"/>
    <w:rsid w:val="00023FD1"/>
    <w:rsid w:val="00024513"/>
    <w:rsid w:val="00024C1E"/>
    <w:rsid w:val="0002533E"/>
    <w:rsid w:val="00025464"/>
    <w:rsid w:val="0002585E"/>
    <w:rsid w:val="000259CD"/>
    <w:rsid w:val="00025DBC"/>
    <w:rsid w:val="00026BEE"/>
    <w:rsid w:val="000273F2"/>
    <w:rsid w:val="000274A4"/>
    <w:rsid w:val="00030169"/>
    <w:rsid w:val="000306EA"/>
    <w:rsid w:val="00030B2B"/>
    <w:rsid w:val="000310B7"/>
    <w:rsid w:val="000313D4"/>
    <w:rsid w:val="00031DBA"/>
    <w:rsid w:val="000323D6"/>
    <w:rsid w:val="00032CEB"/>
    <w:rsid w:val="000332B4"/>
    <w:rsid w:val="000333A9"/>
    <w:rsid w:val="00033626"/>
    <w:rsid w:val="000336D0"/>
    <w:rsid w:val="00033888"/>
    <w:rsid w:val="00033B67"/>
    <w:rsid w:val="00033C71"/>
    <w:rsid w:val="00033E0D"/>
    <w:rsid w:val="00035670"/>
    <w:rsid w:val="000356C6"/>
    <w:rsid w:val="00036BCE"/>
    <w:rsid w:val="00036E89"/>
    <w:rsid w:val="00040140"/>
    <w:rsid w:val="00040EF5"/>
    <w:rsid w:val="000412E7"/>
    <w:rsid w:val="00041336"/>
    <w:rsid w:val="00041827"/>
    <w:rsid w:val="000418B1"/>
    <w:rsid w:val="00041CA5"/>
    <w:rsid w:val="000425C1"/>
    <w:rsid w:val="00042BF9"/>
    <w:rsid w:val="00042FD0"/>
    <w:rsid w:val="00043E3D"/>
    <w:rsid w:val="00044DB1"/>
    <w:rsid w:val="00045292"/>
    <w:rsid w:val="00046AE4"/>
    <w:rsid w:val="0004750B"/>
    <w:rsid w:val="0004755A"/>
    <w:rsid w:val="00047AA6"/>
    <w:rsid w:val="000501DB"/>
    <w:rsid w:val="00050870"/>
    <w:rsid w:val="000508BE"/>
    <w:rsid w:val="0005130F"/>
    <w:rsid w:val="00051537"/>
    <w:rsid w:val="0005157C"/>
    <w:rsid w:val="00051B2F"/>
    <w:rsid w:val="00051FEA"/>
    <w:rsid w:val="000526BF"/>
    <w:rsid w:val="00052EB8"/>
    <w:rsid w:val="00052F67"/>
    <w:rsid w:val="00053620"/>
    <w:rsid w:val="00054309"/>
    <w:rsid w:val="00054473"/>
    <w:rsid w:val="00054829"/>
    <w:rsid w:val="00055298"/>
    <w:rsid w:val="000557EA"/>
    <w:rsid w:val="00055C1B"/>
    <w:rsid w:val="00055D1C"/>
    <w:rsid w:val="00057A38"/>
    <w:rsid w:val="00060153"/>
    <w:rsid w:val="000606AE"/>
    <w:rsid w:val="00060E8A"/>
    <w:rsid w:val="0006110E"/>
    <w:rsid w:val="000614B9"/>
    <w:rsid w:val="00061815"/>
    <w:rsid w:val="000619AF"/>
    <w:rsid w:val="000623CF"/>
    <w:rsid w:val="0006266E"/>
    <w:rsid w:val="0006310C"/>
    <w:rsid w:val="00063234"/>
    <w:rsid w:val="00063624"/>
    <w:rsid w:val="00063740"/>
    <w:rsid w:val="00063BFF"/>
    <w:rsid w:val="000640EB"/>
    <w:rsid w:val="00064151"/>
    <w:rsid w:val="00064C51"/>
    <w:rsid w:val="00065412"/>
    <w:rsid w:val="000654D1"/>
    <w:rsid w:val="0006587F"/>
    <w:rsid w:val="000661AD"/>
    <w:rsid w:val="000664EE"/>
    <w:rsid w:val="00066B36"/>
    <w:rsid w:val="00066B8B"/>
    <w:rsid w:val="00066DE6"/>
    <w:rsid w:val="00067299"/>
    <w:rsid w:val="00067388"/>
    <w:rsid w:val="00067AA0"/>
    <w:rsid w:val="00067B7A"/>
    <w:rsid w:val="000701A3"/>
    <w:rsid w:val="000705BF"/>
    <w:rsid w:val="000707FC"/>
    <w:rsid w:val="0007096E"/>
    <w:rsid w:val="0007097E"/>
    <w:rsid w:val="00070A86"/>
    <w:rsid w:val="00070C28"/>
    <w:rsid w:val="00071326"/>
    <w:rsid w:val="0007177C"/>
    <w:rsid w:val="0007189D"/>
    <w:rsid w:val="00071DE0"/>
    <w:rsid w:val="00071FB3"/>
    <w:rsid w:val="000720A9"/>
    <w:rsid w:val="000723D7"/>
    <w:rsid w:val="00072B96"/>
    <w:rsid w:val="00072D53"/>
    <w:rsid w:val="00073276"/>
    <w:rsid w:val="0007398F"/>
    <w:rsid w:val="00073EF6"/>
    <w:rsid w:val="000745DF"/>
    <w:rsid w:val="0007469B"/>
    <w:rsid w:val="00075117"/>
    <w:rsid w:val="00075227"/>
    <w:rsid w:val="000758FD"/>
    <w:rsid w:val="000764C1"/>
    <w:rsid w:val="000764E5"/>
    <w:rsid w:val="0007653B"/>
    <w:rsid w:val="00076647"/>
    <w:rsid w:val="00077087"/>
    <w:rsid w:val="000770A3"/>
    <w:rsid w:val="0007722C"/>
    <w:rsid w:val="00077B92"/>
    <w:rsid w:val="00080EA8"/>
    <w:rsid w:val="000812FE"/>
    <w:rsid w:val="0008176D"/>
    <w:rsid w:val="000818E8"/>
    <w:rsid w:val="000819EE"/>
    <w:rsid w:val="00082BA1"/>
    <w:rsid w:val="00082CB1"/>
    <w:rsid w:val="00082CEA"/>
    <w:rsid w:val="00082FE1"/>
    <w:rsid w:val="000838DF"/>
    <w:rsid w:val="00084080"/>
    <w:rsid w:val="0008476A"/>
    <w:rsid w:val="0008496E"/>
    <w:rsid w:val="00084B1E"/>
    <w:rsid w:val="00084EAF"/>
    <w:rsid w:val="000857BA"/>
    <w:rsid w:val="00085A9D"/>
    <w:rsid w:val="00085CEB"/>
    <w:rsid w:val="0008687D"/>
    <w:rsid w:val="000868EB"/>
    <w:rsid w:val="0008691A"/>
    <w:rsid w:val="000875F4"/>
    <w:rsid w:val="00087C70"/>
    <w:rsid w:val="00087D8B"/>
    <w:rsid w:val="0009037D"/>
    <w:rsid w:val="00090AB6"/>
    <w:rsid w:val="00090AC0"/>
    <w:rsid w:val="00090E84"/>
    <w:rsid w:val="00091138"/>
    <w:rsid w:val="00091B13"/>
    <w:rsid w:val="00091D34"/>
    <w:rsid w:val="00092034"/>
    <w:rsid w:val="0009243D"/>
    <w:rsid w:val="0009243F"/>
    <w:rsid w:val="00092676"/>
    <w:rsid w:val="00092A63"/>
    <w:rsid w:val="00093F3F"/>
    <w:rsid w:val="0009484B"/>
    <w:rsid w:val="00095D76"/>
    <w:rsid w:val="00096381"/>
    <w:rsid w:val="000965D4"/>
    <w:rsid w:val="00097CD2"/>
    <w:rsid w:val="00097DE9"/>
    <w:rsid w:val="00097E13"/>
    <w:rsid w:val="000A0759"/>
    <w:rsid w:val="000A0C25"/>
    <w:rsid w:val="000A0E49"/>
    <w:rsid w:val="000A0F6D"/>
    <w:rsid w:val="000A1493"/>
    <w:rsid w:val="000A17F1"/>
    <w:rsid w:val="000A1834"/>
    <w:rsid w:val="000A22E7"/>
    <w:rsid w:val="000A24A9"/>
    <w:rsid w:val="000A259B"/>
    <w:rsid w:val="000A25D3"/>
    <w:rsid w:val="000A2604"/>
    <w:rsid w:val="000A2664"/>
    <w:rsid w:val="000A284B"/>
    <w:rsid w:val="000A2B13"/>
    <w:rsid w:val="000A4113"/>
    <w:rsid w:val="000A4A63"/>
    <w:rsid w:val="000A4AAE"/>
    <w:rsid w:val="000A5036"/>
    <w:rsid w:val="000A5180"/>
    <w:rsid w:val="000A587A"/>
    <w:rsid w:val="000A61F6"/>
    <w:rsid w:val="000A6414"/>
    <w:rsid w:val="000A693F"/>
    <w:rsid w:val="000A69FD"/>
    <w:rsid w:val="000A71E4"/>
    <w:rsid w:val="000A7AED"/>
    <w:rsid w:val="000B009D"/>
    <w:rsid w:val="000B044E"/>
    <w:rsid w:val="000B0E67"/>
    <w:rsid w:val="000B106D"/>
    <w:rsid w:val="000B1DF8"/>
    <w:rsid w:val="000B22CE"/>
    <w:rsid w:val="000B2445"/>
    <w:rsid w:val="000B2639"/>
    <w:rsid w:val="000B2C00"/>
    <w:rsid w:val="000B2D5C"/>
    <w:rsid w:val="000B361F"/>
    <w:rsid w:val="000B36E6"/>
    <w:rsid w:val="000B40E4"/>
    <w:rsid w:val="000B43D0"/>
    <w:rsid w:val="000B54FD"/>
    <w:rsid w:val="000B57D3"/>
    <w:rsid w:val="000B60FF"/>
    <w:rsid w:val="000B62FB"/>
    <w:rsid w:val="000B6496"/>
    <w:rsid w:val="000B68DF"/>
    <w:rsid w:val="000B6DB8"/>
    <w:rsid w:val="000B721B"/>
    <w:rsid w:val="000B748C"/>
    <w:rsid w:val="000B74C7"/>
    <w:rsid w:val="000B7637"/>
    <w:rsid w:val="000B780A"/>
    <w:rsid w:val="000B78F1"/>
    <w:rsid w:val="000B7B6D"/>
    <w:rsid w:val="000B7BAD"/>
    <w:rsid w:val="000B7D28"/>
    <w:rsid w:val="000B7ED9"/>
    <w:rsid w:val="000C0092"/>
    <w:rsid w:val="000C019D"/>
    <w:rsid w:val="000C0365"/>
    <w:rsid w:val="000C12D8"/>
    <w:rsid w:val="000C12EA"/>
    <w:rsid w:val="000C144B"/>
    <w:rsid w:val="000C1776"/>
    <w:rsid w:val="000C18C2"/>
    <w:rsid w:val="000C21C0"/>
    <w:rsid w:val="000C2227"/>
    <w:rsid w:val="000C2402"/>
    <w:rsid w:val="000C2858"/>
    <w:rsid w:val="000C2CCC"/>
    <w:rsid w:val="000C2D86"/>
    <w:rsid w:val="000C35BA"/>
    <w:rsid w:val="000C3945"/>
    <w:rsid w:val="000C3C2A"/>
    <w:rsid w:val="000C3C6B"/>
    <w:rsid w:val="000C3CC8"/>
    <w:rsid w:val="000C5692"/>
    <w:rsid w:val="000C5734"/>
    <w:rsid w:val="000C5DCB"/>
    <w:rsid w:val="000C63E7"/>
    <w:rsid w:val="000C67D1"/>
    <w:rsid w:val="000C6A99"/>
    <w:rsid w:val="000C6B80"/>
    <w:rsid w:val="000C7344"/>
    <w:rsid w:val="000C7607"/>
    <w:rsid w:val="000C7A8F"/>
    <w:rsid w:val="000C7CB9"/>
    <w:rsid w:val="000D0228"/>
    <w:rsid w:val="000D065C"/>
    <w:rsid w:val="000D07DA"/>
    <w:rsid w:val="000D1677"/>
    <w:rsid w:val="000D1F2C"/>
    <w:rsid w:val="000D2036"/>
    <w:rsid w:val="000D2287"/>
    <w:rsid w:val="000D2A5C"/>
    <w:rsid w:val="000D2B03"/>
    <w:rsid w:val="000D3FEE"/>
    <w:rsid w:val="000D45A9"/>
    <w:rsid w:val="000D52E5"/>
    <w:rsid w:val="000D5BFA"/>
    <w:rsid w:val="000D5F49"/>
    <w:rsid w:val="000D6389"/>
    <w:rsid w:val="000D6425"/>
    <w:rsid w:val="000D647D"/>
    <w:rsid w:val="000D64A0"/>
    <w:rsid w:val="000D68E3"/>
    <w:rsid w:val="000D6B0B"/>
    <w:rsid w:val="000D7150"/>
    <w:rsid w:val="000E0114"/>
    <w:rsid w:val="000E05D6"/>
    <w:rsid w:val="000E0CB7"/>
    <w:rsid w:val="000E0DC9"/>
    <w:rsid w:val="000E104F"/>
    <w:rsid w:val="000E1195"/>
    <w:rsid w:val="000E13FF"/>
    <w:rsid w:val="000E1555"/>
    <w:rsid w:val="000E2986"/>
    <w:rsid w:val="000E2A6B"/>
    <w:rsid w:val="000E4BE8"/>
    <w:rsid w:val="000E52D0"/>
    <w:rsid w:val="000E5722"/>
    <w:rsid w:val="000E57AD"/>
    <w:rsid w:val="000E60B4"/>
    <w:rsid w:val="000E612B"/>
    <w:rsid w:val="000E6610"/>
    <w:rsid w:val="000E69DC"/>
    <w:rsid w:val="000E6C9D"/>
    <w:rsid w:val="000E6E08"/>
    <w:rsid w:val="000E733F"/>
    <w:rsid w:val="000E7713"/>
    <w:rsid w:val="000E77AF"/>
    <w:rsid w:val="000E7CB8"/>
    <w:rsid w:val="000E7F34"/>
    <w:rsid w:val="000F013E"/>
    <w:rsid w:val="000F08C1"/>
    <w:rsid w:val="000F1108"/>
    <w:rsid w:val="000F135A"/>
    <w:rsid w:val="000F196F"/>
    <w:rsid w:val="000F2814"/>
    <w:rsid w:val="000F2AD1"/>
    <w:rsid w:val="000F2C94"/>
    <w:rsid w:val="000F2E98"/>
    <w:rsid w:val="000F4182"/>
    <w:rsid w:val="000F419D"/>
    <w:rsid w:val="000F4E36"/>
    <w:rsid w:val="000F5A69"/>
    <w:rsid w:val="000F5F31"/>
    <w:rsid w:val="000F6C01"/>
    <w:rsid w:val="000F6EC7"/>
    <w:rsid w:val="000F7D64"/>
    <w:rsid w:val="000F7E07"/>
    <w:rsid w:val="00100561"/>
    <w:rsid w:val="00100577"/>
    <w:rsid w:val="0010094B"/>
    <w:rsid w:val="00101A31"/>
    <w:rsid w:val="00101F64"/>
    <w:rsid w:val="00101F76"/>
    <w:rsid w:val="0010298B"/>
    <w:rsid w:val="00103620"/>
    <w:rsid w:val="00103865"/>
    <w:rsid w:val="00103E25"/>
    <w:rsid w:val="00103FB7"/>
    <w:rsid w:val="00104ACE"/>
    <w:rsid w:val="00105328"/>
    <w:rsid w:val="00105530"/>
    <w:rsid w:val="0010560D"/>
    <w:rsid w:val="00105C95"/>
    <w:rsid w:val="0010620B"/>
    <w:rsid w:val="001063F9"/>
    <w:rsid w:val="001067AF"/>
    <w:rsid w:val="001067B6"/>
    <w:rsid w:val="00106BB1"/>
    <w:rsid w:val="00106BCB"/>
    <w:rsid w:val="00107193"/>
    <w:rsid w:val="001076C2"/>
    <w:rsid w:val="00110CD8"/>
    <w:rsid w:val="00110D4A"/>
    <w:rsid w:val="00110D81"/>
    <w:rsid w:val="00111CBC"/>
    <w:rsid w:val="00112857"/>
    <w:rsid w:val="001128A6"/>
    <w:rsid w:val="001139A6"/>
    <w:rsid w:val="00113CB1"/>
    <w:rsid w:val="00113EA9"/>
    <w:rsid w:val="0011463F"/>
    <w:rsid w:val="001146D5"/>
    <w:rsid w:val="0011586B"/>
    <w:rsid w:val="00120492"/>
    <w:rsid w:val="00120FC0"/>
    <w:rsid w:val="00121439"/>
    <w:rsid w:val="0012177A"/>
    <w:rsid w:val="001217FC"/>
    <w:rsid w:val="00121A0E"/>
    <w:rsid w:val="00121B80"/>
    <w:rsid w:val="00121C8A"/>
    <w:rsid w:val="00121CB7"/>
    <w:rsid w:val="001227C1"/>
    <w:rsid w:val="00122954"/>
    <w:rsid w:val="00122DB1"/>
    <w:rsid w:val="00122FD1"/>
    <w:rsid w:val="00123187"/>
    <w:rsid w:val="00123CC7"/>
    <w:rsid w:val="00124ACC"/>
    <w:rsid w:val="001252E2"/>
    <w:rsid w:val="001274C4"/>
    <w:rsid w:val="00127629"/>
    <w:rsid w:val="00127FA3"/>
    <w:rsid w:val="0013000F"/>
    <w:rsid w:val="00130BC9"/>
    <w:rsid w:val="00130D2D"/>
    <w:rsid w:val="001311D3"/>
    <w:rsid w:val="001319B6"/>
    <w:rsid w:val="00131C3C"/>
    <w:rsid w:val="00132086"/>
    <w:rsid w:val="0013222C"/>
    <w:rsid w:val="0013334C"/>
    <w:rsid w:val="00133433"/>
    <w:rsid w:val="00133880"/>
    <w:rsid w:val="00134858"/>
    <w:rsid w:val="00134DCE"/>
    <w:rsid w:val="00134EF4"/>
    <w:rsid w:val="0013503E"/>
    <w:rsid w:val="001353C9"/>
    <w:rsid w:val="001358F1"/>
    <w:rsid w:val="00135CDB"/>
    <w:rsid w:val="00135F5C"/>
    <w:rsid w:val="00136568"/>
    <w:rsid w:val="00136B0D"/>
    <w:rsid w:val="00136D20"/>
    <w:rsid w:val="0013718B"/>
    <w:rsid w:val="00137866"/>
    <w:rsid w:val="00137E05"/>
    <w:rsid w:val="00137E88"/>
    <w:rsid w:val="001410FB"/>
    <w:rsid w:val="0014160E"/>
    <w:rsid w:val="00141C52"/>
    <w:rsid w:val="00141CDB"/>
    <w:rsid w:val="00141D90"/>
    <w:rsid w:val="001422A6"/>
    <w:rsid w:val="001431EF"/>
    <w:rsid w:val="001431F5"/>
    <w:rsid w:val="00143279"/>
    <w:rsid w:val="00143583"/>
    <w:rsid w:val="00143A09"/>
    <w:rsid w:val="00143C12"/>
    <w:rsid w:val="00144C14"/>
    <w:rsid w:val="00144F16"/>
    <w:rsid w:val="00144F91"/>
    <w:rsid w:val="00145422"/>
    <w:rsid w:val="001457A2"/>
    <w:rsid w:val="00145F94"/>
    <w:rsid w:val="0014601E"/>
    <w:rsid w:val="00146020"/>
    <w:rsid w:val="0014683B"/>
    <w:rsid w:val="00146AE9"/>
    <w:rsid w:val="001475F9"/>
    <w:rsid w:val="001479FB"/>
    <w:rsid w:val="0015054D"/>
    <w:rsid w:val="00150561"/>
    <w:rsid w:val="00150838"/>
    <w:rsid w:val="00150E15"/>
    <w:rsid w:val="001510A4"/>
    <w:rsid w:val="00151211"/>
    <w:rsid w:val="00151517"/>
    <w:rsid w:val="00152241"/>
    <w:rsid w:val="00152ACD"/>
    <w:rsid w:val="00152B61"/>
    <w:rsid w:val="00152E60"/>
    <w:rsid w:val="00153395"/>
    <w:rsid w:val="00153423"/>
    <w:rsid w:val="00153AAD"/>
    <w:rsid w:val="00153B3E"/>
    <w:rsid w:val="00153B40"/>
    <w:rsid w:val="00154092"/>
    <w:rsid w:val="00154262"/>
    <w:rsid w:val="001542D0"/>
    <w:rsid w:val="00154544"/>
    <w:rsid w:val="00154B14"/>
    <w:rsid w:val="00154B47"/>
    <w:rsid w:val="001551AB"/>
    <w:rsid w:val="0015551D"/>
    <w:rsid w:val="00155977"/>
    <w:rsid w:val="0015597F"/>
    <w:rsid w:val="00155A3B"/>
    <w:rsid w:val="00155C58"/>
    <w:rsid w:val="001560DF"/>
    <w:rsid w:val="00156118"/>
    <w:rsid w:val="00156454"/>
    <w:rsid w:val="00156C48"/>
    <w:rsid w:val="00156E08"/>
    <w:rsid w:val="00156F64"/>
    <w:rsid w:val="0015717F"/>
    <w:rsid w:val="00157339"/>
    <w:rsid w:val="0015779A"/>
    <w:rsid w:val="00160000"/>
    <w:rsid w:val="00160347"/>
    <w:rsid w:val="001603AC"/>
    <w:rsid w:val="00160462"/>
    <w:rsid w:val="0016080B"/>
    <w:rsid w:val="00160A62"/>
    <w:rsid w:val="0016158B"/>
    <w:rsid w:val="0016176A"/>
    <w:rsid w:val="00161785"/>
    <w:rsid w:val="001625A1"/>
    <w:rsid w:val="001628C3"/>
    <w:rsid w:val="00162A6C"/>
    <w:rsid w:val="00162FDB"/>
    <w:rsid w:val="00163050"/>
    <w:rsid w:val="00163251"/>
    <w:rsid w:val="00163532"/>
    <w:rsid w:val="00163684"/>
    <w:rsid w:val="001643F1"/>
    <w:rsid w:val="00164672"/>
    <w:rsid w:val="00165483"/>
    <w:rsid w:val="00165546"/>
    <w:rsid w:val="001657F7"/>
    <w:rsid w:val="00165B88"/>
    <w:rsid w:val="00165CD1"/>
    <w:rsid w:val="00165D55"/>
    <w:rsid w:val="001666E1"/>
    <w:rsid w:val="00167E07"/>
    <w:rsid w:val="001700CC"/>
    <w:rsid w:val="001700DF"/>
    <w:rsid w:val="0017062F"/>
    <w:rsid w:val="001708D0"/>
    <w:rsid w:val="0017099D"/>
    <w:rsid w:val="0017116B"/>
    <w:rsid w:val="00171805"/>
    <w:rsid w:val="00171A10"/>
    <w:rsid w:val="00171B7F"/>
    <w:rsid w:val="00172126"/>
    <w:rsid w:val="001725E0"/>
    <w:rsid w:val="00172A27"/>
    <w:rsid w:val="00173607"/>
    <w:rsid w:val="00173C22"/>
    <w:rsid w:val="001744B5"/>
    <w:rsid w:val="001746C0"/>
    <w:rsid w:val="00174F86"/>
    <w:rsid w:val="001752F0"/>
    <w:rsid w:val="00175611"/>
    <w:rsid w:val="00175845"/>
    <w:rsid w:val="0017643F"/>
    <w:rsid w:val="001765B9"/>
    <w:rsid w:val="00176642"/>
    <w:rsid w:val="001768E3"/>
    <w:rsid w:val="00176BCC"/>
    <w:rsid w:val="00176EB4"/>
    <w:rsid w:val="001772DF"/>
    <w:rsid w:val="0017735D"/>
    <w:rsid w:val="00177675"/>
    <w:rsid w:val="00177B0A"/>
    <w:rsid w:val="001806B0"/>
    <w:rsid w:val="00180A8D"/>
    <w:rsid w:val="00181185"/>
    <w:rsid w:val="001811F1"/>
    <w:rsid w:val="00182EA1"/>
    <w:rsid w:val="00183056"/>
    <w:rsid w:val="0018306D"/>
    <w:rsid w:val="00183332"/>
    <w:rsid w:val="0018343D"/>
    <w:rsid w:val="00183D17"/>
    <w:rsid w:val="00183E25"/>
    <w:rsid w:val="00184193"/>
    <w:rsid w:val="001849E9"/>
    <w:rsid w:val="00186664"/>
    <w:rsid w:val="00186DBB"/>
    <w:rsid w:val="001876A8"/>
    <w:rsid w:val="00187756"/>
    <w:rsid w:val="00190780"/>
    <w:rsid w:val="00190936"/>
    <w:rsid w:val="00190E17"/>
    <w:rsid w:val="0019121D"/>
    <w:rsid w:val="001914B2"/>
    <w:rsid w:val="0019161F"/>
    <w:rsid w:val="00192162"/>
    <w:rsid w:val="00192411"/>
    <w:rsid w:val="00193499"/>
    <w:rsid w:val="001938FB"/>
    <w:rsid w:val="001941E3"/>
    <w:rsid w:val="0019432F"/>
    <w:rsid w:val="001949DD"/>
    <w:rsid w:val="00194B2F"/>
    <w:rsid w:val="00194D7A"/>
    <w:rsid w:val="0019577A"/>
    <w:rsid w:val="001958A5"/>
    <w:rsid w:val="00195CEB"/>
    <w:rsid w:val="00195DBC"/>
    <w:rsid w:val="00195DCA"/>
    <w:rsid w:val="00195DCE"/>
    <w:rsid w:val="0019617D"/>
    <w:rsid w:val="00196406"/>
    <w:rsid w:val="001969AC"/>
    <w:rsid w:val="00197444"/>
    <w:rsid w:val="00197DB0"/>
    <w:rsid w:val="001A05DA"/>
    <w:rsid w:val="001A0BFF"/>
    <w:rsid w:val="001A1BBB"/>
    <w:rsid w:val="001A281E"/>
    <w:rsid w:val="001A2CE2"/>
    <w:rsid w:val="001A3586"/>
    <w:rsid w:val="001A37F7"/>
    <w:rsid w:val="001A3996"/>
    <w:rsid w:val="001A3A32"/>
    <w:rsid w:val="001A3D63"/>
    <w:rsid w:val="001A401D"/>
    <w:rsid w:val="001A465E"/>
    <w:rsid w:val="001A503C"/>
    <w:rsid w:val="001A54BC"/>
    <w:rsid w:val="001A5507"/>
    <w:rsid w:val="001A55B3"/>
    <w:rsid w:val="001A5CE1"/>
    <w:rsid w:val="001A6E0C"/>
    <w:rsid w:val="001A6FB5"/>
    <w:rsid w:val="001A73DB"/>
    <w:rsid w:val="001A744A"/>
    <w:rsid w:val="001B057E"/>
    <w:rsid w:val="001B062C"/>
    <w:rsid w:val="001B0635"/>
    <w:rsid w:val="001B091B"/>
    <w:rsid w:val="001B0C0A"/>
    <w:rsid w:val="001B0E78"/>
    <w:rsid w:val="001B131B"/>
    <w:rsid w:val="001B1464"/>
    <w:rsid w:val="001B17D2"/>
    <w:rsid w:val="001B17F2"/>
    <w:rsid w:val="001B210F"/>
    <w:rsid w:val="001B26AE"/>
    <w:rsid w:val="001B276F"/>
    <w:rsid w:val="001B2B4B"/>
    <w:rsid w:val="001B2F0B"/>
    <w:rsid w:val="001B3516"/>
    <w:rsid w:val="001B3DC7"/>
    <w:rsid w:val="001B46B7"/>
    <w:rsid w:val="001B48F2"/>
    <w:rsid w:val="001B4942"/>
    <w:rsid w:val="001B4AED"/>
    <w:rsid w:val="001B5354"/>
    <w:rsid w:val="001B5516"/>
    <w:rsid w:val="001B63EE"/>
    <w:rsid w:val="001B6829"/>
    <w:rsid w:val="001B797A"/>
    <w:rsid w:val="001B7A50"/>
    <w:rsid w:val="001B7AF6"/>
    <w:rsid w:val="001B7E3F"/>
    <w:rsid w:val="001C001E"/>
    <w:rsid w:val="001C00AF"/>
    <w:rsid w:val="001C074D"/>
    <w:rsid w:val="001C0785"/>
    <w:rsid w:val="001C13A9"/>
    <w:rsid w:val="001C13B1"/>
    <w:rsid w:val="001C1A7F"/>
    <w:rsid w:val="001C233F"/>
    <w:rsid w:val="001C264F"/>
    <w:rsid w:val="001C2F27"/>
    <w:rsid w:val="001C3676"/>
    <w:rsid w:val="001C36CA"/>
    <w:rsid w:val="001C3746"/>
    <w:rsid w:val="001C3F12"/>
    <w:rsid w:val="001C4140"/>
    <w:rsid w:val="001C41A4"/>
    <w:rsid w:val="001C4DA7"/>
    <w:rsid w:val="001C589B"/>
    <w:rsid w:val="001C6271"/>
    <w:rsid w:val="001C6FAA"/>
    <w:rsid w:val="001C7A86"/>
    <w:rsid w:val="001D091B"/>
    <w:rsid w:val="001D0BC8"/>
    <w:rsid w:val="001D11BB"/>
    <w:rsid w:val="001D1460"/>
    <w:rsid w:val="001D16AF"/>
    <w:rsid w:val="001D1957"/>
    <w:rsid w:val="001D1B79"/>
    <w:rsid w:val="001D231F"/>
    <w:rsid w:val="001D2B30"/>
    <w:rsid w:val="001D2ED6"/>
    <w:rsid w:val="001D34A6"/>
    <w:rsid w:val="001D360D"/>
    <w:rsid w:val="001D3E30"/>
    <w:rsid w:val="001D4767"/>
    <w:rsid w:val="001D491F"/>
    <w:rsid w:val="001D4CF8"/>
    <w:rsid w:val="001D5261"/>
    <w:rsid w:val="001D526C"/>
    <w:rsid w:val="001D52C6"/>
    <w:rsid w:val="001D5527"/>
    <w:rsid w:val="001D585E"/>
    <w:rsid w:val="001D59FA"/>
    <w:rsid w:val="001D5C4E"/>
    <w:rsid w:val="001D5E09"/>
    <w:rsid w:val="001D69CC"/>
    <w:rsid w:val="001D6E00"/>
    <w:rsid w:val="001D7421"/>
    <w:rsid w:val="001D75E1"/>
    <w:rsid w:val="001E01AF"/>
    <w:rsid w:val="001E05B1"/>
    <w:rsid w:val="001E1773"/>
    <w:rsid w:val="001E18E9"/>
    <w:rsid w:val="001E1DF3"/>
    <w:rsid w:val="001E1EB0"/>
    <w:rsid w:val="001E2D3B"/>
    <w:rsid w:val="001E2FB3"/>
    <w:rsid w:val="001E34B1"/>
    <w:rsid w:val="001E38F1"/>
    <w:rsid w:val="001E3B69"/>
    <w:rsid w:val="001E3DC0"/>
    <w:rsid w:val="001E5037"/>
    <w:rsid w:val="001E52CD"/>
    <w:rsid w:val="001E57DD"/>
    <w:rsid w:val="001E5E79"/>
    <w:rsid w:val="001E6345"/>
    <w:rsid w:val="001E682D"/>
    <w:rsid w:val="001E6CDE"/>
    <w:rsid w:val="001E6F4E"/>
    <w:rsid w:val="001E7AD2"/>
    <w:rsid w:val="001E7BB7"/>
    <w:rsid w:val="001E7DD1"/>
    <w:rsid w:val="001F00C9"/>
    <w:rsid w:val="001F014E"/>
    <w:rsid w:val="001F0A92"/>
    <w:rsid w:val="001F11A2"/>
    <w:rsid w:val="001F1759"/>
    <w:rsid w:val="001F1B0D"/>
    <w:rsid w:val="001F1D49"/>
    <w:rsid w:val="001F21E9"/>
    <w:rsid w:val="001F227B"/>
    <w:rsid w:val="001F237B"/>
    <w:rsid w:val="001F242E"/>
    <w:rsid w:val="001F34AA"/>
    <w:rsid w:val="001F373C"/>
    <w:rsid w:val="001F3E56"/>
    <w:rsid w:val="001F4421"/>
    <w:rsid w:val="001F5079"/>
    <w:rsid w:val="001F5868"/>
    <w:rsid w:val="001F5FC3"/>
    <w:rsid w:val="001F6833"/>
    <w:rsid w:val="001F6AA4"/>
    <w:rsid w:val="001F7126"/>
    <w:rsid w:val="001F75F3"/>
    <w:rsid w:val="0020045F"/>
    <w:rsid w:val="002004A1"/>
    <w:rsid w:val="00200528"/>
    <w:rsid w:val="00200C3A"/>
    <w:rsid w:val="0020148B"/>
    <w:rsid w:val="00201773"/>
    <w:rsid w:val="0020264B"/>
    <w:rsid w:val="00202973"/>
    <w:rsid w:val="00203344"/>
    <w:rsid w:val="0020361F"/>
    <w:rsid w:val="002039AF"/>
    <w:rsid w:val="00203F29"/>
    <w:rsid w:val="00203F9F"/>
    <w:rsid w:val="002041E4"/>
    <w:rsid w:val="00204ADA"/>
    <w:rsid w:val="0020508B"/>
    <w:rsid w:val="0020537B"/>
    <w:rsid w:val="00205E60"/>
    <w:rsid w:val="00205E6D"/>
    <w:rsid w:val="00205F4F"/>
    <w:rsid w:val="0020627B"/>
    <w:rsid w:val="00206CA4"/>
    <w:rsid w:val="00207026"/>
    <w:rsid w:val="00207653"/>
    <w:rsid w:val="0021068C"/>
    <w:rsid w:val="00210722"/>
    <w:rsid w:val="00210886"/>
    <w:rsid w:val="00210CF6"/>
    <w:rsid w:val="00211399"/>
    <w:rsid w:val="00211577"/>
    <w:rsid w:val="00212776"/>
    <w:rsid w:val="00212A8D"/>
    <w:rsid w:val="00212C43"/>
    <w:rsid w:val="0021358B"/>
    <w:rsid w:val="00213ACB"/>
    <w:rsid w:val="00213ADE"/>
    <w:rsid w:val="00213DF6"/>
    <w:rsid w:val="002147ED"/>
    <w:rsid w:val="00214AD3"/>
    <w:rsid w:val="00214E5F"/>
    <w:rsid w:val="00215212"/>
    <w:rsid w:val="00215AA5"/>
    <w:rsid w:val="00215C37"/>
    <w:rsid w:val="00215CE9"/>
    <w:rsid w:val="002160D2"/>
    <w:rsid w:val="00216704"/>
    <w:rsid w:val="00216711"/>
    <w:rsid w:val="00216BD4"/>
    <w:rsid w:val="00216F14"/>
    <w:rsid w:val="002170D1"/>
    <w:rsid w:val="0021756E"/>
    <w:rsid w:val="002200F6"/>
    <w:rsid w:val="00220425"/>
    <w:rsid w:val="00220701"/>
    <w:rsid w:val="00221D75"/>
    <w:rsid w:val="00222E9D"/>
    <w:rsid w:val="00223256"/>
    <w:rsid w:val="00223B16"/>
    <w:rsid w:val="00223D7D"/>
    <w:rsid w:val="00224223"/>
    <w:rsid w:val="002243F0"/>
    <w:rsid w:val="00224544"/>
    <w:rsid w:val="002247BC"/>
    <w:rsid w:val="00224AAD"/>
    <w:rsid w:val="00224C14"/>
    <w:rsid w:val="002258C1"/>
    <w:rsid w:val="00225A30"/>
    <w:rsid w:val="0022638C"/>
    <w:rsid w:val="002264A4"/>
    <w:rsid w:val="00227217"/>
    <w:rsid w:val="002278CA"/>
    <w:rsid w:val="00227B4F"/>
    <w:rsid w:val="002308A2"/>
    <w:rsid w:val="00230FA5"/>
    <w:rsid w:val="0023149B"/>
    <w:rsid w:val="00231AA8"/>
    <w:rsid w:val="00231ED1"/>
    <w:rsid w:val="00232ECD"/>
    <w:rsid w:val="002331B9"/>
    <w:rsid w:val="0023323D"/>
    <w:rsid w:val="00233842"/>
    <w:rsid w:val="00233E49"/>
    <w:rsid w:val="00234483"/>
    <w:rsid w:val="00234C1E"/>
    <w:rsid w:val="00234ED4"/>
    <w:rsid w:val="002351FA"/>
    <w:rsid w:val="00235204"/>
    <w:rsid w:val="00235605"/>
    <w:rsid w:val="00235C77"/>
    <w:rsid w:val="0023602D"/>
    <w:rsid w:val="00236073"/>
    <w:rsid w:val="00236116"/>
    <w:rsid w:val="002364FF"/>
    <w:rsid w:val="0023667C"/>
    <w:rsid w:val="0023699C"/>
    <w:rsid w:val="00236D66"/>
    <w:rsid w:val="00236E27"/>
    <w:rsid w:val="0023740F"/>
    <w:rsid w:val="002377F9"/>
    <w:rsid w:val="00237885"/>
    <w:rsid w:val="002379DF"/>
    <w:rsid w:val="00237B01"/>
    <w:rsid w:val="00237FE4"/>
    <w:rsid w:val="0024057A"/>
    <w:rsid w:val="0024084E"/>
    <w:rsid w:val="00240A43"/>
    <w:rsid w:val="00240A4B"/>
    <w:rsid w:val="00240D56"/>
    <w:rsid w:val="002411EB"/>
    <w:rsid w:val="00242179"/>
    <w:rsid w:val="00243894"/>
    <w:rsid w:val="0024391D"/>
    <w:rsid w:val="00243E04"/>
    <w:rsid w:val="002440D6"/>
    <w:rsid w:val="002448D7"/>
    <w:rsid w:val="00244ABE"/>
    <w:rsid w:val="00244C23"/>
    <w:rsid w:val="00244F6C"/>
    <w:rsid w:val="00245368"/>
    <w:rsid w:val="00245F26"/>
    <w:rsid w:val="00245F98"/>
    <w:rsid w:val="00246639"/>
    <w:rsid w:val="00247416"/>
    <w:rsid w:val="00247CC8"/>
    <w:rsid w:val="00250327"/>
    <w:rsid w:val="002508A0"/>
    <w:rsid w:val="002509A1"/>
    <w:rsid w:val="00251546"/>
    <w:rsid w:val="00251E33"/>
    <w:rsid w:val="00251E92"/>
    <w:rsid w:val="0025233B"/>
    <w:rsid w:val="0025322B"/>
    <w:rsid w:val="002532E9"/>
    <w:rsid w:val="00253364"/>
    <w:rsid w:val="00253907"/>
    <w:rsid w:val="0025487F"/>
    <w:rsid w:val="00254E1C"/>
    <w:rsid w:val="00254F1E"/>
    <w:rsid w:val="00254F20"/>
    <w:rsid w:val="00255525"/>
    <w:rsid w:val="00255EEF"/>
    <w:rsid w:val="00256499"/>
    <w:rsid w:val="00256542"/>
    <w:rsid w:val="00256577"/>
    <w:rsid w:val="0025669D"/>
    <w:rsid w:val="002568AE"/>
    <w:rsid w:val="00256F7C"/>
    <w:rsid w:val="00257192"/>
    <w:rsid w:val="0025759B"/>
    <w:rsid w:val="00257D69"/>
    <w:rsid w:val="00257DD5"/>
    <w:rsid w:val="00260269"/>
    <w:rsid w:val="0026030D"/>
    <w:rsid w:val="002603D8"/>
    <w:rsid w:val="002604FC"/>
    <w:rsid w:val="00260552"/>
    <w:rsid w:val="002607CF"/>
    <w:rsid w:val="0026169A"/>
    <w:rsid w:val="00261A33"/>
    <w:rsid w:val="00262396"/>
    <w:rsid w:val="002623A1"/>
    <w:rsid w:val="0026257C"/>
    <w:rsid w:val="00262740"/>
    <w:rsid w:val="00263049"/>
    <w:rsid w:val="002632DC"/>
    <w:rsid w:val="0026359D"/>
    <w:rsid w:val="0026410A"/>
    <w:rsid w:val="00264A1D"/>
    <w:rsid w:val="00264FC9"/>
    <w:rsid w:val="002657E1"/>
    <w:rsid w:val="00266480"/>
    <w:rsid w:val="0026651C"/>
    <w:rsid w:val="002666A7"/>
    <w:rsid w:val="00267337"/>
    <w:rsid w:val="00267D97"/>
    <w:rsid w:val="00267ED6"/>
    <w:rsid w:val="002700C1"/>
    <w:rsid w:val="002701B8"/>
    <w:rsid w:val="002704E1"/>
    <w:rsid w:val="00271A2D"/>
    <w:rsid w:val="00272447"/>
    <w:rsid w:val="00272FC1"/>
    <w:rsid w:val="0027307D"/>
    <w:rsid w:val="0027321F"/>
    <w:rsid w:val="002734E0"/>
    <w:rsid w:val="0027393F"/>
    <w:rsid w:val="00273EEF"/>
    <w:rsid w:val="002745AC"/>
    <w:rsid w:val="00274A56"/>
    <w:rsid w:val="00274FCF"/>
    <w:rsid w:val="00275049"/>
    <w:rsid w:val="002750E8"/>
    <w:rsid w:val="00275415"/>
    <w:rsid w:val="002756ED"/>
    <w:rsid w:val="00276F26"/>
    <w:rsid w:val="002776EA"/>
    <w:rsid w:val="002777F9"/>
    <w:rsid w:val="00277D51"/>
    <w:rsid w:val="00277DBC"/>
    <w:rsid w:val="002807FD"/>
    <w:rsid w:val="00280E32"/>
    <w:rsid w:val="00280EEF"/>
    <w:rsid w:val="0028162B"/>
    <w:rsid w:val="002818BB"/>
    <w:rsid w:val="00281F3D"/>
    <w:rsid w:val="002828A5"/>
    <w:rsid w:val="00282ABE"/>
    <w:rsid w:val="00282C23"/>
    <w:rsid w:val="00283C0D"/>
    <w:rsid w:val="00284A51"/>
    <w:rsid w:val="00284B30"/>
    <w:rsid w:val="00284FC0"/>
    <w:rsid w:val="00285498"/>
    <w:rsid w:val="002855A4"/>
    <w:rsid w:val="00285BD6"/>
    <w:rsid w:val="00285CAE"/>
    <w:rsid w:val="00286E59"/>
    <w:rsid w:val="0028719C"/>
    <w:rsid w:val="002874A1"/>
    <w:rsid w:val="002875FC"/>
    <w:rsid w:val="00287861"/>
    <w:rsid w:val="002878D2"/>
    <w:rsid w:val="002879D3"/>
    <w:rsid w:val="00287C81"/>
    <w:rsid w:val="00290F6C"/>
    <w:rsid w:val="00291117"/>
    <w:rsid w:val="002911FC"/>
    <w:rsid w:val="002917E8"/>
    <w:rsid w:val="00291AC4"/>
    <w:rsid w:val="00291BB1"/>
    <w:rsid w:val="00291E70"/>
    <w:rsid w:val="00291F28"/>
    <w:rsid w:val="00292531"/>
    <w:rsid w:val="0029254C"/>
    <w:rsid w:val="00292B24"/>
    <w:rsid w:val="002933BF"/>
    <w:rsid w:val="002937C0"/>
    <w:rsid w:val="0029466F"/>
    <w:rsid w:val="00294818"/>
    <w:rsid w:val="002948BC"/>
    <w:rsid w:val="00295251"/>
    <w:rsid w:val="00295B57"/>
    <w:rsid w:val="00295C16"/>
    <w:rsid w:val="00295C9F"/>
    <w:rsid w:val="0029608F"/>
    <w:rsid w:val="00296229"/>
    <w:rsid w:val="00296697"/>
    <w:rsid w:val="002971D0"/>
    <w:rsid w:val="00297AD3"/>
    <w:rsid w:val="002A02A1"/>
    <w:rsid w:val="002A0397"/>
    <w:rsid w:val="002A1BC5"/>
    <w:rsid w:val="002A1C31"/>
    <w:rsid w:val="002A1CD0"/>
    <w:rsid w:val="002A1EF3"/>
    <w:rsid w:val="002A1F76"/>
    <w:rsid w:val="002A2352"/>
    <w:rsid w:val="002A2620"/>
    <w:rsid w:val="002A2883"/>
    <w:rsid w:val="002A2B03"/>
    <w:rsid w:val="002A2E1A"/>
    <w:rsid w:val="002A32A7"/>
    <w:rsid w:val="002A374D"/>
    <w:rsid w:val="002A3E64"/>
    <w:rsid w:val="002A3E9C"/>
    <w:rsid w:val="002A4C22"/>
    <w:rsid w:val="002A5173"/>
    <w:rsid w:val="002A51AD"/>
    <w:rsid w:val="002A5540"/>
    <w:rsid w:val="002A56A7"/>
    <w:rsid w:val="002A6F80"/>
    <w:rsid w:val="002A725D"/>
    <w:rsid w:val="002A72E5"/>
    <w:rsid w:val="002A75CE"/>
    <w:rsid w:val="002A77B1"/>
    <w:rsid w:val="002B03D2"/>
    <w:rsid w:val="002B0F8D"/>
    <w:rsid w:val="002B1359"/>
    <w:rsid w:val="002B1E20"/>
    <w:rsid w:val="002B2C1F"/>
    <w:rsid w:val="002B2FD3"/>
    <w:rsid w:val="002B3026"/>
    <w:rsid w:val="002B31D1"/>
    <w:rsid w:val="002B3777"/>
    <w:rsid w:val="002B386B"/>
    <w:rsid w:val="002B4A85"/>
    <w:rsid w:val="002B4A99"/>
    <w:rsid w:val="002B4E35"/>
    <w:rsid w:val="002B4EFC"/>
    <w:rsid w:val="002B51EB"/>
    <w:rsid w:val="002B5272"/>
    <w:rsid w:val="002B5BA8"/>
    <w:rsid w:val="002B69C4"/>
    <w:rsid w:val="002B73C8"/>
    <w:rsid w:val="002B79ED"/>
    <w:rsid w:val="002B7FAA"/>
    <w:rsid w:val="002C019D"/>
    <w:rsid w:val="002C04C7"/>
    <w:rsid w:val="002C0512"/>
    <w:rsid w:val="002C0F83"/>
    <w:rsid w:val="002C10B9"/>
    <w:rsid w:val="002C1780"/>
    <w:rsid w:val="002C1867"/>
    <w:rsid w:val="002C1961"/>
    <w:rsid w:val="002C209A"/>
    <w:rsid w:val="002C2431"/>
    <w:rsid w:val="002C2790"/>
    <w:rsid w:val="002C2E09"/>
    <w:rsid w:val="002C2FAA"/>
    <w:rsid w:val="002C32AB"/>
    <w:rsid w:val="002C3334"/>
    <w:rsid w:val="002C3568"/>
    <w:rsid w:val="002C39BF"/>
    <w:rsid w:val="002C45AF"/>
    <w:rsid w:val="002C472A"/>
    <w:rsid w:val="002C4C6B"/>
    <w:rsid w:val="002C4D4E"/>
    <w:rsid w:val="002C4D82"/>
    <w:rsid w:val="002C4DC8"/>
    <w:rsid w:val="002C4E87"/>
    <w:rsid w:val="002C4F1F"/>
    <w:rsid w:val="002C5141"/>
    <w:rsid w:val="002C562C"/>
    <w:rsid w:val="002C5AE0"/>
    <w:rsid w:val="002C60C5"/>
    <w:rsid w:val="002C7C86"/>
    <w:rsid w:val="002D037D"/>
    <w:rsid w:val="002D0400"/>
    <w:rsid w:val="002D08AE"/>
    <w:rsid w:val="002D0BF4"/>
    <w:rsid w:val="002D0DB6"/>
    <w:rsid w:val="002D22C4"/>
    <w:rsid w:val="002D27EB"/>
    <w:rsid w:val="002D2BC7"/>
    <w:rsid w:val="002D3AB3"/>
    <w:rsid w:val="002D4210"/>
    <w:rsid w:val="002D4663"/>
    <w:rsid w:val="002D466F"/>
    <w:rsid w:val="002D4C72"/>
    <w:rsid w:val="002D51E7"/>
    <w:rsid w:val="002D5A4B"/>
    <w:rsid w:val="002D604A"/>
    <w:rsid w:val="002D6341"/>
    <w:rsid w:val="002D64EC"/>
    <w:rsid w:val="002D6D7D"/>
    <w:rsid w:val="002D722F"/>
    <w:rsid w:val="002D7A1B"/>
    <w:rsid w:val="002D7C6C"/>
    <w:rsid w:val="002E0160"/>
    <w:rsid w:val="002E034A"/>
    <w:rsid w:val="002E10D8"/>
    <w:rsid w:val="002E143B"/>
    <w:rsid w:val="002E1557"/>
    <w:rsid w:val="002E1FB0"/>
    <w:rsid w:val="002E233B"/>
    <w:rsid w:val="002E283B"/>
    <w:rsid w:val="002E2EF6"/>
    <w:rsid w:val="002E2FB7"/>
    <w:rsid w:val="002E3030"/>
    <w:rsid w:val="002E3B51"/>
    <w:rsid w:val="002E3D60"/>
    <w:rsid w:val="002E44A3"/>
    <w:rsid w:val="002E4751"/>
    <w:rsid w:val="002E47CC"/>
    <w:rsid w:val="002E4C07"/>
    <w:rsid w:val="002E50DB"/>
    <w:rsid w:val="002E52BB"/>
    <w:rsid w:val="002E5BD6"/>
    <w:rsid w:val="002E5D80"/>
    <w:rsid w:val="002E6441"/>
    <w:rsid w:val="002E720C"/>
    <w:rsid w:val="002E76A1"/>
    <w:rsid w:val="002E7DEF"/>
    <w:rsid w:val="002E7E8A"/>
    <w:rsid w:val="002F06D3"/>
    <w:rsid w:val="002F163F"/>
    <w:rsid w:val="002F1FBC"/>
    <w:rsid w:val="002F2211"/>
    <w:rsid w:val="002F26B9"/>
    <w:rsid w:val="002F2C2E"/>
    <w:rsid w:val="002F3058"/>
    <w:rsid w:val="002F34DE"/>
    <w:rsid w:val="002F3E7C"/>
    <w:rsid w:val="002F3ED9"/>
    <w:rsid w:val="002F477B"/>
    <w:rsid w:val="002F4D59"/>
    <w:rsid w:val="002F5063"/>
    <w:rsid w:val="002F5D31"/>
    <w:rsid w:val="002F60F6"/>
    <w:rsid w:val="002F6DD1"/>
    <w:rsid w:val="002F7DBE"/>
    <w:rsid w:val="0030067D"/>
    <w:rsid w:val="003006E6"/>
    <w:rsid w:val="00300896"/>
    <w:rsid w:val="00300EB1"/>
    <w:rsid w:val="00300F70"/>
    <w:rsid w:val="0030108F"/>
    <w:rsid w:val="0030155A"/>
    <w:rsid w:val="00301D1A"/>
    <w:rsid w:val="003020C8"/>
    <w:rsid w:val="003022F8"/>
    <w:rsid w:val="00302647"/>
    <w:rsid w:val="00302CE3"/>
    <w:rsid w:val="0030308C"/>
    <w:rsid w:val="003035C1"/>
    <w:rsid w:val="00303689"/>
    <w:rsid w:val="00304335"/>
    <w:rsid w:val="0030460A"/>
    <w:rsid w:val="0030476B"/>
    <w:rsid w:val="00304D17"/>
    <w:rsid w:val="00304ED8"/>
    <w:rsid w:val="00304F74"/>
    <w:rsid w:val="0030524D"/>
    <w:rsid w:val="003054C4"/>
    <w:rsid w:val="00305CF1"/>
    <w:rsid w:val="00306145"/>
    <w:rsid w:val="00306733"/>
    <w:rsid w:val="00306CF4"/>
    <w:rsid w:val="00307227"/>
    <w:rsid w:val="00307BD9"/>
    <w:rsid w:val="00307D71"/>
    <w:rsid w:val="00307DA6"/>
    <w:rsid w:val="003106D5"/>
    <w:rsid w:val="00310FF0"/>
    <w:rsid w:val="00311BC5"/>
    <w:rsid w:val="00311CF7"/>
    <w:rsid w:val="003120DA"/>
    <w:rsid w:val="00312952"/>
    <w:rsid w:val="00312E17"/>
    <w:rsid w:val="003132E7"/>
    <w:rsid w:val="003133ED"/>
    <w:rsid w:val="003141D2"/>
    <w:rsid w:val="00314394"/>
    <w:rsid w:val="003146AB"/>
    <w:rsid w:val="003148A3"/>
    <w:rsid w:val="00314EEA"/>
    <w:rsid w:val="0031583A"/>
    <w:rsid w:val="00315A8A"/>
    <w:rsid w:val="00316092"/>
    <w:rsid w:val="003165CF"/>
    <w:rsid w:val="00316D6E"/>
    <w:rsid w:val="00316F5C"/>
    <w:rsid w:val="00316F88"/>
    <w:rsid w:val="003170D9"/>
    <w:rsid w:val="0031758B"/>
    <w:rsid w:val="00317CB4"/>
    <w:rsid w:val="003218D0"/>
    <w:rsid w:val="00321FC8"/>
    <w:rsid w:val="003226DA"/>
    <w:rsid w:val="003228E1"/>
    <w:rsid w:val="00322963"/>
    <w:rsid w:val="00322A55"/>
    <w:rsid w:val="00322AAC"/>
    <w:rsid w:val="003230B0"/>
    <w:rsid w:val="003232C8"/>
    <w:rsid w:val="003237A8"/>
    <w:rsid w:val="0032391E"/>
    <w:rsid w:val="00324682"/>
    <w:rsid w:val="00324E12"/>
    <w:rsid w:val="003250A8"/>
    <w:rsid w:val="00325A72"/>
    <w:rsid w:val="00325FDC"/>
    <w:rsid w:val="00326081"/>
    <w:rsid w:val="003262A5"/>
    <w:rsid w:val="003264FC"/>
    <w:rsid w:val="00326C17"/>
    <w:rsid w:val="00326F9E"/>
    <w:rsid w:val="00327CFC"/>
    <w:rsid w:val="00330CBD"/>
    <w:rsid w:val="0033183C"/>
    <w:rsid w:val="00331D14"/>
    <w:rsid w:val="00331E73"/>
    <w:rsid w:val="0033298B"/>
    <w:rsid w:val="00332B03"/>
    <w:rsid w:val="00333030"/>
    <w:rsid w:val="003337CB"/>
    <w:rsid w:val="00333A00"/>
    <w:rsid w:val="00333E70"/>
    <w:rsid w:val="00333EE0"/>
    <w:rsid w:val="00334D0B"/>
    <w:rsid w:val="00334D60"/>
    <w:rsid w:val="00335585"/>
    <w:rsid w:val="0033570C"/>
    <w:rsid w:val="00335AA4"/>
    <w:rsid w:val="00335FA8"/>
    <w:rsid w:val="003363DA"/>
    <w:rsid w:val="00336547"/>
    <w:rsid w:val="00336BEA"/>
    <w:rsid w:val="00336D94"/>
    <w:rsid w:val="00336F39"/>
    <w:rsid w:val="003370B3"/>
    <w:rsid w:val="0033749B"/>
    <w:rsid w:val="003376F7"/>
    <w:rsid w:val="003400D4"/>
    <w:rsid w:val="00340216"/>
    <w:rsid w:val="00340704"/>
    <w:rsid w:val="003407AA"/>
    <w:rsid w:val="003408D3"/>
    <w:rsid w:val="00340AFB"/>
    <w:rsid w:val="00341428"/>
    <w:rsid w:val="003414AB"/>
    <w:rsid w:val="00341CE1"/>
    <w:rsid w:val="003431C1"/>
    <w:rsid w:val="00343ADC"/>
    <w:rsid w:val="00343E87"/>
    <w:rsid w:val="003446D6"/>
    <w:rsid w:val="00344DC3"/>
    <w:rsid w:val="00345A60"/>
    <w:rsid w:val="00345AEF"/>
    <w:rsid w:val="00347850"/>
    <w:rsid w:val="00347C7E"/>
    <w:rsid w:val="00347C97"/>
    <w:rsid w:val="00350A22"/>
    <w:rsid w:val="003515CF"/>
    <w:rsid w:val="003516F3"/>
    <w:rsid w:val="0035173D"/>
    <w:rsid w:val="0035181D"/>
    <w:rsid w:val="003518BA"/>
    <w:rsid w:val="00351E1C"/>
    <w:rsid w:val="00352193"/>
    <w:rsid w:val="00352D8F"/>
    <w:rsid w:val="0035332D"/>
    <w:rsid w:val="003537AF"/>
    <w:rsid w:val="00354093"/>
    <w:rsid w:val="00354103"/>
    <w:rsid w:val="0035453B"/>
    <w:rsid w:val="00354600"/>
    <w:rsid w:val="00355247"/>
    <w:rsid w:val="003556A7"/>
    <w:rsid w:val="00355BDE"/>
    <w:rsid w:val="003560B1"/>
    <w:rsid w:val="0035685F"/>
    <w:rsid w:val="00357414"/>
    <w:rsid w:val="0036010A"/>
    <w:rsid w:val="003601F7"/>
    <w:rsid w:val="00360240"/>
    <w:rsid w:val="003604C9"/>
    <w:rsid w:val="0036093E"/>
    <w:rsid w:val="00360B3F"/>
    <w:rsid w:val="00360CCE"/>
    <w:rsid w:val="00360DAF"/>
    <w:rsid w:val="00361115"/>
    <w:rsid w:val="00361640"/>
    <w:rsid w:val="00361985"/>
    <w:rsid w:val="00361BE3"/>
    <w:rsid w:val="0036233E"/>
    <w:rsid w:val="0036266A"/>
    <w:rsid w:val="0036279B"/>
    <w:rsid w:val="00362A5B"/>
    <w:rsid w:val="003633CD"/>
    <w:rsid w:val="0036370A"/>
    <w:rsid w:val="00363BD3"/>
    <w:rsid w:val="00363D81"/>
    <w:rsid w:val="003640CB"/>
    <w:rsid w:val="00364105"/>
    <w:rsid w:val="0036462C"/>
    <w:rsid w:val="00364764"/>
    <w:rsid w:val="00364DD3"/>
    <w:rsid w:val="00365120"/>
    <w:rsid w:val="00365232"/>
    <w:rsid w:val="0036596C"/>
    <w:rsid w:val="00365D3B"/>
    <w:rsid w:val="00365D62"/>
    <w:rsid w:val="0036654C"/>
    <w:rsid w:val="0036693B"/>
    <w:rsid w:val="00366D0B"/>
    <w:rsid w:val="00367D6E"/>
    <w:rsid w:val="003703A5"/>
    <w:rsid w:val="003707CF"/>
    <w:rsid w:val="003709B2"/>
    <w:rsid w:val="003709C3"/>
    <w:rsid w:val="00370E7C"/>
    <w:rsid w:val="0037163F"/>
    <w:rsid w:val="003719AA"/>
    <w:rsid w:val="00372670"/>
    <w:rsid w:val="00372782"/>
    <w:rsid w:val="00372BDC"/>
    <w:rsid w:val="00372E25"/>
    <w:rsid w:val="003730F4"/>
    <w:rsid w:val="0037328A"/>
    <w:rsid w:val="00373A97"/>
    <w:rsid w:val="00373C2F"/>
    <w:rsid w:val="00373C64"/>
    <w:rsid w:val="00373EFD"/>
    <w:rsid w:val="00373F4A"/>
    <w:rsid w:val="0037425E"/>
    <w:rsid w:val="0037450A"/>
    <w:rsid w:val="00374A27"/>
    <w:rsid w:val="00375642"/>
    <w:rsid w:val="0037600F"/>
    <w:rsid w:val="00376212"/>
    <w:rsid w:val="0037631A"/>
    <w:rsid w:val="00376489"/>
    <w:rsid w:val="00376F64"/>
    <w:rsid w:val="003772D0"/>
    <w:rsid w:val="00377532"/>
    <w:rsid w:val="00377E83"/>
    <w:rsid w:val="00380139"/>
    <w:rsid w:val="003803E5"/>
    <w:rsid w:val="0038083D"/>
    <w:rsid w:val="003816C7"/>
    <w:rsid w:val="00381A34"/>
    <w:rsid w:val="00381C58"/>
    <w:rsid w:val="00381D7E"/>
    <w:rsid w:val="00382AB6"/>
    <w:rsid w:val="00382C69"/>
    <w:rsid w:val="00383396"/>
    <w:rsid w:val="003833DE"/>
    <w:rsid w:val="00383411"/>
    <w:rsid w:val="00383657"/>
    <w:rsid w:val="00383669"/>
    <w:rsid w:val="00383804"/>
    <w:rsid w:val="00383927"/>
    <w:rsid w:val="00383AF5"/>
    <w:rsid w:val="00383F80"/>
    <w:rsid w:val="0038415F"/>
    <w:rsid w:val="0038453C"/>
    <w:rsid w:val="003849DD"/>
    <w:rsid w:val="00384D1F"/>
    <w:rsid w:val="00385016"/>
    <w:rsid w:val="00385641"/>
    <w:rsid w:val="00385A60"/>
    <w:rsid w:val="00385E24"/>
    <w:rsid w:val="003864B3"/>
    <w:rsid w:val="00386A54"/>
    <w:rsid w:val="00386C4F"/>
    <w:rsid w:val="00386E48"/>
    <w:rsid w:val="00387262"/>
    <w:rsid w:val="0038735E"/>
    <w:rsid w:val="003879B3"/>
    <w:rsid w:val="00387C70"/>
    <w:rsid w:val="00390495"/>
    <w:rsid w:val="00390D1D"/>
    <w:rsid w:val="0039106B"/>
    <w:rsid w:val="0039191F"/>
    <w:rsid w:val="00391BF0"/>
    <w:rsid w:val="00391C98"/>
    <w:rsid w:val="003923A4"/>
    <w:rsid w:val="003928EF"/>
    <w:rsid w:val="00392CDB"/>
    <w:rsid w:val="00392DA0"/>
    <w:rsid w:val="00392DE7"/>
    <w:rsid w:val="00392FA5"/>
    <w:rsid w:val="00393768"/>
    <w:rsid w:val="003937FB"/>
    <w:rsid w:val="00393B26"/>
    <w:rsid w:val="00394776"/>
    <w:rsid w:val="003948CA"/>
    <w:rsid w:val="00394A08"/>
    <w:rsid w:val="00394A5F"/>
    <w:rsid w:val="00394BA9"/>
    <w:rsid w:val="00394E66"/>
    <w:rsid w:val="00395056"/>
    <w:rsid w:val="003953D5"/>
    <w:rsid w:val="003956D6"/>
    <w:rsid w:val="00395BDE"/>
    <w:rsid w:val="00395E80"/>
    <w:rsid w:val="0039688F"/>
    <w:rsid w:val="00396AC0"/>
    <w:rsid w:val="00396BAC"/>
    <w:rsid w:val="003972E5"/>
    <w:rsid w:val="00397E83"/>
    <w:rsid w:val="003A058D"/>
    <w:rsid w:val="003A091D"/>
    <w:rsid w:val="003A1156"/>
    <w:rsid w:val="003A144C"/>
    <w:rsid w:val="003A14A6"/>
    <w:rsid w:val="003A2396"/>
    <w:rsid w:val="003A2E17"/>
    <w:rsid w:val="003A3828"/>
    <w:rsid w:val="003A3B41"/>
    <w:rsid w:val="003A4331"/>
    <w:rsid w:val="003A498D"/>
    <w:rsid w:val="003A5311"/>
    <w:rsid w:val="003A667B"/>
    <w:rsid w:val="003A71B6"/>
    <w:rsid w:val="003A724B"/>
    <w:rsid w:val="003A7290"/>
    <w:rsid w:val="003A7391"/>
    <w:rsid w:val="003A748C"/>
    <w:rsid w:val="003A78BF"/>
    <w:rsid w:val="003B0C6C"/>
    <w:rsid w:val="003B0E44"/>
    <w:rsid w:val="003B0E50"/>
    <w:rsid w:val="003B1600"/>
    <w:rsid w:val="003B1B07"/>
    <w:rsid w:val="003B1B4D"/>
    <w:rsid w:val="003B2168"/>
    <w:rsid w:val="003B2821"/>
    <w:rsid w:val="003B2BD9"/>
    <w:rsid w:val="003B3505"/>
    <w:rsid w:val="003B4068"/>
    <w:rsid w:val="003B4838"/>
    <w:rsid w:val="003B4933"/>
    <w:rsid w:val="003B5607"/>
    <w:rsid w:val="003B6107"/>
    <w:rsid w:val="003B62A3"/>
    <w:rsid w:val="003B65E8"/>
    <w:rsid w:val="003B6C5E"/>
    <w:rsid w:val="003B6F32"/>
    <w:rsid w:val="003B74C0"/>
    <w:rsid w:val="003B78DE"/>
    <w:rsid w:val="003B7D8F"/>
    <w:rsid w:val="003B7E33"/>
    <w:rsid w:val="003C0078"/>
    <w:rsid w:val="003C07ED"/>
    <w:rsid w:val="003C0A9D"/>
    <w:rsid w:val="003C137D"/>
    <w:rsid w:val="003C1854"/>
    <w:rsid w:val="003C2026"/>
    <w:rsid w:val="003C210F"/>
    <w:rsid w:val="003C222E"/>
    <w:rsid w:val="003C26FE"/>
    <w:rsid w:val="003C294D"/>
    <w:rsid w:val="003C29E2"/>
    <w:rsid w:val="003C2B4E"/>
    <w:rsid w:val="003C2E80"/>
    <w:rsid w:val="003C40BD"/>
    <w:rsid w:val="003C55F0"/>
    <w:rsid w:val="003C6107"/>
    <w:rsid w:val="003C65BF"/>
    <w:rsid w:val="003C6E0C"/>
    <w:rsid w:val="003C72AB"/>
    <w:rsid w:val="003C781F"/>
    <w:rsid w:val="003C78D7"/>
    <w:rsid w:val="003C7922"/>
    <w:rsid w:val="003C7964"/>
    <w:rsid w:val="003C7C4F"/>
    <w:rsid w:val="003D00E9"/>
    <w:rsid w:val="003D04D8"/>
    <w:rsid w:val="003D06DE"/>
    <w:rsid w:val="003D0980"/>
    <w:rsid w:val="003D0BD5"/>
    <w:rsid w:val="003D0CD8"/>
    <w:rsid w:val="003D13EE"/>
    <w:rsid w:val="003D15DA"/>
    <w:rsid w:val="003D227C"/>
    <w:rsid w:val="003D290D"/>
    <w:rsid w:val="003D3804"/>
    <w:rsid w:val="003D3A67"/>
    <w:rsid w:val="003D41BB"/>
    <w:rsid w:val="003D42D3"/>
    <w:rsid w:val="003D47C5"/>
    <w:rsid w:val="003D4A48"/>
    <w:rsid w:val="003D4E19"/>
    <w:rsid w:val="003D52CF"/>
    <w:rsid w:val="003D685E"/>
    <w:rsid w:val="003D6CD0"/>
    <w:rsid w:val="003D7207"/>
    <w:rsid w:val="003D7AD8"/>
    <w:rsid w:val="003D7D85"/>
    <w:rsid w:val="003E045A"/>
    <w:rsid w:val="003E061B"/>
    <w:rsid w:val="003E0727"/>
    <w:rsid w:val="003E076F"/>
    <w:rsid w:val="003E0C8A"/>
    <w:rsid w:val="003E0F2C"/>
    <w:rsid w:val="003E11E8"/>
    <w:rsid w:val="003E1C86"/>
    <w:rsid w:val="003E2757"/>
    <w:rsid w:val="003E2820"/>
    <w:rsid w:val="003E2E42"/>
    <w:rsid w:val="003E31BF"/>
    <w:rsid w:val="003E38E5"/>
    <w:rsid w:val="003E3E08"/>
    <w:rsid w:val="003E445B"/>
    <w:rsid w:val="003E4AD0"/>
    <w:rsid w:val="003E4F20"/>
    <w:rsid w:val="003E56B8"/>
    <w:rsid w:val="003E5D39"/>
    <w:rsid w:val="003E67D5"/>
    <w:rsid w:val="003E6D4C"/>
    <w:rsid w:val="003E6F5C"/>
    <w:rsid w:val="003F0825"/>
    <w:rsid w:val="003F09D3"/>
    <w:rsid w:val="003F1E13"/>
    <w:rsid w:val="003F2162"/>
    <w:rsid w:val="003F21B7"/>
    <w:rsid w:val="003F263B"/>
    <w:rsid w:val="003F3417"/>
    <w:rsid w:val="003F357A"/>
    <w:rsid w:val="003F3E0A"/>
    <w:rsid w:val="003F40A7"/>
    <w:rsid w:val="003F4182"/>
    <w:rsid w:val="003F42F0"/>
    <w:rsid w:val="003F453B"/>
    <w:rsid w:val="003F47E8"/>
    <w:rsid w:val="003F4E38"/>
    <w:rsid w:val="003F576F"/>
    <w:rsid w:val="003F65E2"/>
    <w:rsid w:val="003F6754"/>
    <w:rsid w:val="003F6947"/>
    <w:rsid w:val="003F6C75"/>
    <w:rsid w:val="003F6C86"/>
    <w:rsid w:val="003F704C"/>
    <w:rsid w:val="003F73E7"/>
    <w:rsid w:val="003F7E98"/>
    <w:rsid w:val="003F7ED4"/>
    <w:rsid w:val="0040046C"/>
    <w:rsid w:val="0040059E"/>
    <w:rsid w:val="004007DE"/>
    <w:rsid w:val="0040096F"/>
    <w:rsid w:val="00400ABB"/>
    <w:rsid w:val="00400BFC"/>
    <w:rsid w:val="00401269"/>
    <w:rsid w:val="00401D39"/>
    <w:rsid w:val="00402FF5"/>
    <w:rsid w:val="00403173"/>
    <w:rsid w:val="00403768"/>
    <w:rsid w:val="00403C60"/>
    <w:rsid w:val="00403CFF"/>
    <w:rsid w:val="00403DD0"/>
    <w:rsid w:val="004040B4"/>
    <w:rsid w:val="00404141"/>
    <w:rsid w:val="00404277"/>
    <w:rsid w:val="00404405"/>
    <w:rsid w:val="004048D7"/>
    <w:rsid w:val="00404EB5"/>
    <w:rsid w:val="00404EE1"/>
    <w:rsid w:val="00404EE8"/>
    <w:rsid w:val="00405A02"/>
    <w:rsid w:val="00406604"/>
    <w:rsid w:val="00406B7C"/>
    <w:rsid w:val="00406D98"/>
    <w:rsid w:val="00406E6B"/>
    <w:rsid w:val="00407349"/>
    <w:rsid w:val="00407469"/>
    <w:rsid w:val="00407E63"/>
    <w:rsid w:val="004104CD"/>
    <w:rsid w:val="004108BB"/>
    <w:rsid w:val="00410C89"/>
    <w:rsid w:val="00410E1B"/>
    <w:rsid w:val="00410EFD"/>
    <w:rsid w:val="004114E8"/>
    <w:rsid w:val="004118BD"/>
    <w:rsid w:val="00411A97"/>
    <w:rsid w:val="00411AAB"/>
    <w:rsid w:val="00411E72"/>
    <w:rsid w:val="00412085"/>
    <w:rsid w:val="004127A6"/>
    <w:rsid w:val="00412ED7"/>
    <w:rsid w:val="004130E6"/>
    <w:rsid w:val="0041343F"/>
    <w:rsid w:val="004138E2"/>
    <w:rsid w:val="004148DA"/>
    <w:rsid w:val="00414ABC"/>
    <w:rsid w:val="00414EF3"/>
    <w:rsid w:val="00415BDD"/>
    <w:rsid w:val="004164E4"/>
    <w:rsid w:val="004168AA"/>
    <w:rsid w:val="00416AEC"/>
    <w:rsid w:val="00416DF2"/>
    <w:rsid w:val="00417674"/>
    <w:rsid w:val="0042037F"/>
    <w:rsid w:val="00420DFF"/>
    <w:rsid w:val="00420E08"/>
    <w:rsid w:val="004210E8"/>
    <w:rsid w:val="00421360"/>
    <w:rsid w:val="004227FA"/>
    <w:rsid w:val="004228C2"/>
    <w:rsid w:val="0042297C"/>
    <w:rsid w:val="00422ED1"/>
    <w:rsid w:val="0042345C"/>
    <w:rsid w:val="004234E1"/>
    <w:rsid w:val="00423B46"/>
    <w:rsid w:val="00423F1B"/>
    <w:rsid w:val="00424654"/>
    <w:rsid w:val="004246F3"/>
    <w:rsid w:val="00424832"/>
    <w:rsid w:val="00424833"/>
    <w:rsid w:val="00424DD0"/>
    <w:rsid w:val="004250DD"/>
    <w:rsid w:val="0042523C"/>
    <w:rsid w:val="004258D6"/>
    <w:rsid w:val="00425FBE"/>
    <w:rsid w:val="004261B1"/>
    <w:rsid w:val="00426272"/>
    <w:rsid w:val="004262C9"/>
    <w:rsid w:val="00426C50"/>
    <w:rsid w:val="00426CF6"/>
    <w:rsid w:val="004271AF"/>
    <w:rsid w:val="00427735"/>
    <w:rsid w:val="00427AC1"/>
    <w:rsid w:val="00427C08"/>
    <w:rsid w:val="00427F02"/>
    <w:rsid w:val="00430819"/>
    <w:rsid w:val="004318EB"/>
    <w:rsid w:val="00431C43"/>
    <w:rsid w:val="00431C4A"/>
    <w:rsid w:val="00431E17"/>
    <w:rsid w:val="00432928"/>
    <w:rsid w:val="00432C05"/>
    <w:rsid w:val="00432EEE"/>
    <w:rsid w:val="004331BF"/>
    <w:rsid w:val="00433541"/>
    <w:rsid w:val="0043394F"/>
    <w:rsid w:val="00433D0A"/>
    <w:rsid w:val="00433D3F"/>
    <w:rsid w:val="00433EB1"/>
    <w:rsid w:val="00433F27"/>
    <w:rsid w:val="0043448D"/>
    <w:rsid w:val="00434531"/>
    <w:rsid w:val="004350EE"/>
    <w:rsid w:val="00435369"/>
    <w:rsid w:val="004359AA"/>
    <w:rsid w:val="00435C04"/>
    <w:rsid w:val="00435EC3"/>
    <w:rsid w:val="00436486"/>
    <w:rsid w:val="004365FE"/>
    <w:rsid w:val="00436B6A"/>
    <w:rsid w:val="00436E6E"/>
    <w:rsid w:val="004374A4"/>
    <w:rsid w:val="00437BBA"/>
    <w:rsid w:val="00437CF6"/>
    <w:rsid w:val="004407EF"/>
    <w:rsid w:val="00440EEF"/>
    <w:rsid w:val="00440F7D"/>
    <w:rsid w:val="00441BA1"/>
    <w:rsid w:val="00441E2E"/>
    <w:rsid w:val="00442475"/>
    <w:rsid w:val="00442D28"/>
    <w:rsid w:val="00442DD3"/>
    <w:rsid w:val="00442F18"/>
    <w:rsid w:val="004430E7"/>
    <w:rsid w:val="00443DD6"/>
    <w:rsid w:val="00443E3B"/>
    <w:rsid w:val="004440FB"/>
    <w:rsid w:val="00444487"/>
    <w:rsid w:val="004446BB"/>
    <w:rsid w:val="00445D0D"/>
    <w:rsid w:val="00446848"/>
    <w:rsid w:val="00446AE7"/>
    <w:rsid w:val="00446F86"/>
    <w:rsid w:val="00447226"/>
    <w:rsid w:val="00450B5C"/>
    <w:rsid w:val="00450E0A"/>
    <w:rsid w:val="00450EC0"/>
    <w:rsid w:val="00450FC4"/>
    <w:rsid w:val="00451184"/>
    <w:rsid w:val="00451B03"/>
    <w:rsid w:val="00451DE7"/>
    <w:rsid w:val="00452256"/>
    <w:rsid w:val="00453202"/>
    <w:rsid w:val="00453A6B"/>
    <w:rsid w:val="00454CFC"/>
    <w:rsid w:val="00454DD6"/>
    <w:rsid w:val="0045525C"/>
    <w:rsid w:val="004557E9"/>
    <w:rsid w:val="00455CC1"/>
    <w:rsid w:val="004561D1"/>
    <w:rsid w:val="00456478"/>
    <w:rsid w:val="00456534"/>
    <w:rsid w:val="0045657C"/>
    <w:rsid w:val="00456C36"/>
    <w:rsid w:val="00457701"/>
    <w:rsid w:val="0045773F"/>
    <w:rsid w:val="00457E4D"/>
    <w:rsid w:val="004605B4"/>
    <w:rsid w:val="00460B47"/>
    <w:rsid w:val="00460B56"/>
    <w:rsid w:val="0046115D"/>
    <w:rsid w:val="00461366"/>
    <w:rsid w:val="0046193F"/>
    <w:rsid w:val="00461FD4"/>
    <w:rsid w:val="004621B5"/>
    <w:rsid w:val="004623FA"/>
    <w:rsid w:val="00462BCF"/>
    <w:rsid w:val="00462C79"/>
    <w:rsid w:val="00462E45"/>
    <w:rsid w:val="00462EC8"/>
    <w:rsid w:val="0046368F"/>
    <w:rsid w:val="00463777"/>
    <w:rsid w:val="00463CB7"/>
    <w:rsid w:val="00463E34"/>
    <w:rsid w:val="00464942"/>
    <w:rsid w:val="00464BDF"/>
    <w:rsid w:val="0046500D"/>
    <w:rsid w:val="00466241"/>
    <w:rsid w:val="0046666A"/>
    <w:rsid w:val="00466845"/>
    <w:rsid w:val="00467697"/>
    <w:rsid w:val="004702DA"/>
    <w:rsid w:val="004704BC"/>
    <w:rsid w:val="00470507"/>
    <w:rsid w:val="00470868"/>
    <w:rsid w:val="004709E5"/>
    <w:rsid w:val="00470FB2"/>
    <w:rsid w:val="00471220"/>
    <w:rsid w:val="004712D0"/>
    <w:rsid w:val="004727F2"/>
    <w:rsid w:val="004727F6"/>
    <w:rsid w:val="00472D25"/>
    <w:rsid w:val="00472F2D"/>
    <w:rsid w:val="004731CA"/>
    <w:rsid w:val="004733E2"/>
    <w:rsid w:val="00473DF7"/>
    <w:rsid w:val="00473F08"/>
    <w:rsid w:val="00474497"/>
    <w:rsid w:val="00475043"/>
    <w:rsid w:val="00475060"/>
    <w:rsid w:val="00475295"/>
    <w:rsid w:val="00475674"/>
    <w:rsid w:val="00475BDF"/>
    <w:rsid w:val="00475DE0"/>
    <w:rsid w:val="00475E36"/>
    <w:rsid w:val="00476F10"/>
    <w:rsid w:val="00477103"/>
    <w:rsid w:val="00477A93"/>
    <w:rsid w:val="00477FA0"/>
    <w:rsid w:val="00480270"/>
    <w:rsid w:val="00480AA4"/>
    <w:rsid w:val="00480B89"/>
    <w:rsid w:val="00481099"/>
    <w:rsid w:val="004810EA"/>
    <w:rsid w:val="00481107"/>
    <w:rsid w:val="00481468"/>
    <w:rsid w:val="00481783"/>
    <w:rsid w:val="004817A8"/>
    <w:rsid w:val="00481926"/>
    <w:rsid w:val="00481D81"/>
    <w:rsid w:val="00482026"/>
    <w:rsid w:val="0048204B"/>
    <w:rsid w:val="00482105"/>
    <w:rsid w:val="00482519"/>
    <w:rsid w:val="004827D3"/>
    <w:rsid w:val="004833EA"/>
    <w:rsid w:val="00483D24"/>
    <w:rsid w:val="00484EBC"/>
    <w:rsid w:val="00484FEC"/>
    <w:rsid w:val="00485CD3"/>
    <w:rsid w:val="00485FC4"/>
    <w:rsid w:val="00485FFC"/>
    <w:rsid w:val="00486476"/>
    <w:rsid w:val="00486B2A"/>
    <w:rsid w:val="0048775D"/>
    <w:rsid w:val="004913C3"/>
    <w:rsid w:val="004913E6"/>
    <w:rsid w:val="004913FA"/>
    <w:rsid w:val="004916F4"/>
    <w:rsid w:val="00492022"/>
    <w:rsid w:val="00492E57"/>
    <w:rsid w:val="0049347C"/>
    <w:rsid w:val="004937CF"/>
    <w:rsid w:val="00494009"/>
    <w:rsid w:val="004941ED"/>
    <w:rsid w:val="004941F3"/>
    <w:rsid w:val="00494654"/>
    <w:rsid w:val="004955DE"/>
    <w:rsid w:val="0049596C"/>
    <w:rsid w:val="00495EB1"/>
    <w:rsid w:val="00496017"/>
    <w:rsid w:val="0049673C"/>
    <w:rsid w:val="00496775"/>
    <w:rsid w:val="0049734C"/>
    <w:rsid w:val="004974C4"/>
    <w:rsid w:val="004978E7"/>
    <w:rsid w:val="004A07FC"/>
    <w:rsid w:val="004A09CD"/>
    <w:rsid w:val="004A0D6E"/>
    <w:rsid w:val="004A0EB5"/>
    <w:rsid w:val="004A11FB"/>
    <w:rsid w:val="004A125E"/>
    <w:rsid w:val="004A1A06"/>
    <w:rsid w:val="004A1BA9"/>
    <w:rsid w:val="004A1C3D"/>
    <w:rsid w:val="004A1ED9"/>
    <w:rsid w:val="004A24A4"/>
    <w:rsid w:val="004A2586"/>
    <w:rsid w:val="004A29F8"/>
    <w:rsid w:val="004A2A56"/>
    <w:rsid w:val="004A2B4F"/>
    <w:rsid w:val="004A2E54"/>
    <w:rsid w:val="004A34CF"/>
    <w:rsid w:val="004A447E"/>
    <w:rsid w:val="004A4D4D"/>
    <w:rsid w:val="004A65ED"/>
    <w:rsid w:val="004A7BAB"/>
    <w:rsid w:val="004A7CEE"/>
    <w:rsid w:val="004B0258"/>
    <w:rsid w:val="004B0347"/>
    <w:rsid w:val="004B1D01"/>
    <w:rsid w:val="004B1E04"/>
    <w:rsid w:val="004B2305"/>
    <w:rsid w:val="004B240B"/>
    <w:rsid w:val="004B297E"/>
    <w:rsid w:val="004B2C71"/>
    <w:rsid w:val="004B2F57"/>
    <w:rsid w:val="004B30FF"/>
    <w:rsid w:val="004B33ED"/>
    <w:rsid w:val="004B3725"/>
    <w:rsid w:val="004B4114"/>
    <w:rsid w:val="004B4526"/>
    <w:rsid w:val="004B4964"/>
    <w:rsid w:val="004B4B65"/>
    <w:rsid w:val="004B54E9"/>
    <w:rsid w:val="004B6277"/>
    <w:rsid w:val="004B6557"/>
    <w:rsid w:val="004B698A"/>
    <w:rsid w:val="004B69E9"/>
    <w:rsid w:val="004B6AFE"/>
    <w:rsid w:val="004B731E"/>
    <w:rsid w:val="004B799B"/>
    <w:rsid w:val="004B79FB"/>
    <w:rsid w:val="004B7C64"/>
    <w:rsid w:val="004C025E"/>
    <w:rsid w:val="004C02A1"/>
    <w:rsid w:val="004C04E7"/>
    <w:rsid w:val="004C0DDD"/>
    <w:rsid w:val="004C1334"/>
    <w:rsid w:val="004C15A7"/>
    <w:rsid w:val="004C2B5B"/>
    <w:rsid w:val="004C2E65"/>
    <w:rsid w:val="004C31D6"/>
    <w:rsid w:val="004C3580"/>
    <w:rsid w:val="004C3832"/>
    <w:rsid w:val="004C3D58"/>
    <w:rsid w:val="004C4556"/>
    <w:rsid w:val="004C4A36"/>
    <w:rsid w:val="004C597B"/>
    <w:rsid w:val="004C5EA2"/>
    <w:rsid w:val="004C6AC7"/>
    <w:rsid w:val="004C73FD"/>
    <w:rsid w:val="004C7630"/>
    <w:rsid w:val="004C7731"/>
    <w:rsid w:val="004C775B"/>
    <w:rsid w:val="004C7A2D"/>
    <w:rsid w:val="004C7EFD"/>
    <w:rsid w:val="004D02B0"/>
    <w:rsid w:val="004D02F5"/>
    <w:rsid w:val="004D035B"/>
    <w:rsid w:val="004D07B0"/>
    <w:rsid w:val="004D0B57"/>
    <w:rsid w:val="004D1285"/>
    <w:rsid w:val="004D136F"/>
    <w:rsid w:val="004D195D"/>
    <w:rsid w:val="004D1AB9"/>
    <w:rsid w:val="004D1EDC"/>
    <w:rsid w:val="004D2AB2"/>
    <w:rsid w:val="004D3425"/>
    <w:rsid w:val="004D347A"/>
    <w:rsid w:val="004D383A"/>
    <w:rsid w:val="004D39B2"/>
    <w:rsid w:val="004D41BB"/>
    <w:rsid w:val="004D4598"/>
    <w:rsid w:val="004D5019"/>
    <w:rsid w:val="004D5304"/>
    <w:rsid w:val="004D5426"/>
    <w:rsid w:val="004D579C"/>
    <w:rsid w:val="004D6287"/>
    <w:rsid w:val="004D6B5D"/>
    <w:rsid w:val="004D758D"/>
    <w:rsid w:val="004D768B"/>
    <w:rsid w:val="004D7D9D"/>
    <w:rsid w:val="004E017E"/>
    <w:rsid w:val="004E0F4B"/>
    <w:rsid w:val="004E117E"/>
    <w:rsid w:val="004E1605"/>
    <w:rsid w:val="004E18FA"/>
    <w:rsid w:val="004E1C8E"/>
    <w:rsid w:val="004E393A"/>
    <w:rsid w:val="004E4460"/>
    <w:rsid w:val="004E5437"/>
    <w:rsid w:val="004E547B"/>
    <w:rsid w:val="004E64DC"/>
    <w:rsid w:val="004E65E8"/>
    <w:rsid w:val="004E674D"/>
    <w:rsid w:val="004E6999"/>
    <w:rsid w:val="004E6B2A"/>
    <w:rsid w:val="004E793A"/>
    <w:rsid w:val="004E7969"/>
    <w:rsid w:val="004E7D5A"/>
    <w:rsid w:val="004F03C3"/>
    <w:rsid w:val="004F0AC2"/>
    <w:rsid w:val="004F0FFB"/>
    <w:rsid w:val="004F1C8F"/>
    <w:rsid w:val="004F21CB"/>
    <w:rsid w:val="004F2370"/>
    <w:rsid w:val="004F2CBB"/>
    <w:rsid w:val="004F3015"/>
    <w:rsid w:val="004F30BB"/>
    <w:rsid w:val="004F342B"/>
    <w:rsid w:val="004F35B3"/>
    <w:rsid w:val="004F3D25"/>
    <w:rsid w:val="004F4CA2"/>
    <w:rsid w:val="004F5102"/>
    <w:rsid w:val="004F559F"/>
    <w:rsid w:val="004F55AE"/>
    <w:rsid w:val="004F61E9"/>
    <w:rsid w:val="004F6ED2"/>
    <w:rsid w:val="004F6F30"/>
    <w:rsid w:val="004F7D8A"/>
    <w:rsid w:val="004F7F08"/>
    <w:rsid w:val="005004B6"/>
    <w:rsid w:val="00500900"/>
    <w:rsid w:val="0050117E"/>
    <w:rsid w:val="005024A1"/>
    <w:rsid w:val="005031ED"/>
    <w:rsid w:val="005033B0"/>
    <w:rsid w:val="00503796"/>
    <w:rsid w:val="00504447"/>
    <w:rsid w:val="00504760"/>
    <w:rsid w:val="00504ADE"/>
    <w:rsid w:val="00504FBD"/>
    <w:rsid w:val="00504FD3"/>
    <w:rsid w:val="005054E0"/>
    <w:rsid w:val="005056A2"/>
    <w:rsid w:val="00505C0C"/>
    <w:rsid w:val="00505DD7"/>
    <w:rsid w:val="00506478"/>
    <w:rsid w:val="00506773"/>
    <w:rsid w:val="00506FB2"/>
    <w:rsid w:val="0050728B"/>
    <w:rsid w:val="005077C5"/>
    <w:rsid w:val="00507AD3"/>
    <w:rsid w:val="00507BCE"/>
    <w:rsid w:val="00507F80"/>
    <w:rsid w:val="005104C2"/>
    <w:rsid w:val="0051063D"/>
    <w:rsid w:val="00510687"/>
    <w:rsid w:val="00510B3A"/>
    <w:rsid w:val="00510E4D"/>
    <w:rsid w:val="005111C0"/>
    <w:rsid w:val="0051191E"/>
    <w:rsid w:val="00511E66"/>
    <w:rsid w:val="0051313B"/>
    <w:rsid w:val="005131C5"/>
    <w:rsid w:val="00513384"/>
    <w:rsid w:val="0051360C"/>
    <w:rsid w:val="005137F6"/>
    <w:rsid w:val="00513AC1"/>
    <w:rsid w:val="005140EB"/>
    <w:rsid w:val="005143E6"/>
    <w:rsid w:val="005146B6"/>
    <w:rsid w:val="00514C7C"/>
    <w:rsid w:val="00515137"/>
    <w:rsid w:val="00515855"/>
    <w:rsid w:val="00515D1F"/>
    <w:rsid w:val="0051603B"/>
    <w:rsid w:val="005162A1"/>
    <w:rsid w:val="005167DF"/>
    <w:rsid w:val="00516900"/>
    <w:rsid w:val="00516AD3"/>
    <w:rsid w:val="005177B2"/>
    <w:rsid w:val="00517AC7"/>
    <w:rsid w:val="00517F4E"/>
    <w:rsid w:val="005202A2"/>
    <w:rsid w:val="0052054E"/>
    <w:rsid w:val="0052056F"/>
    <w:rsid w:val="005206BB"/>
    <w:rsid w:val="0052084A"/>
    <w:rsid w:val="00520AD9"/>
    <w:rsid w:val="00520B30"/>
    <w:rsid w:val="00520DAC"/>
    <w:rsid w:val="00521168"/>
    <w:rsid w:val="005221D5"/>
    <w:rsid w:val="00522262"/>
    <w:rsid w:val="00522724"/>
    <w:rsid w:val="0052277A"/>
    <w:rsid w:val="005229C9"/>
    <w:rsid w:val="00522FE6"/>
    <w:rsid w:val="005230E6"/>
    <w:rsid w:val="00523936"/>
    <w:rsid w:val="00523CE6"/>
    <w:rsid w:val="00524221"/>
    <w:rsid w:val="0052462B"/>
    <w:rsid w:val="00524A35"/>
    <w:rsid w:val="00524DD8"/>
    <w:rsid w:val="0052544C"/>
    <w:rsid w:val="0052666F"/>
    <w:rsid w:val="00526ECB"/>
    <w:rsid w:val="00530374"/>
    <w:rsid w:val="005303B0"/>
    <w:rsid w:val="005308EC"/>
    <w:rsid w:val="00530A6F"/>
    <w:rsid w:val="00530E28"/>
    <w:rsid w:val="00530F21"/>
    <w:rsid w:val="00532040"/>
    <w:rsid w:val="00532494"/>
    <w:rsid w:val="00532ECD"/>
    <w:rsid w:val="005331D9"/>
    <w:rsid w:val="0053394F"/>
    <w:rsid w:val="00533F21"/>
    <w:rsid w:val="00534255"/>
    <w:rsid w:val="005351ED"/>
    <w:rsid w:val="00535C85"/>
    <w:rsid w:val="00536C34"/>
    <w:rsid w:val="00536C93"/>
    <w:rsid w:val="00536D83"/>
    <w:rsid w:val="00536DD0"/>
    <w:rsid w:val="00536F00"/>
    <w:rsid w:val="0053736A"/>
    <w:rsid w:val="0053759C"/>
    <w:rsid w:val="00537E28"/>
    <w:rsid w:val="00537FFB"/>
    <w:rsid w:val="00540046"/>
    <w:rsid w:val="005400BD"/>
    <w:rsid w:val="005408F5"/>
    <w:rsid w:val="00541777"/>
    <w:rsid w:val="00541FDF"/>
    <w:rsid w:val="00542869"/>
    <w:rsid w:val="0054331F"/>
    <w:rsid w:val="005436E0"/>
    <w:rsid w:val="00543934"/>
    <w:rsid w:val="0054420F"/>
    <w:rsid w:val="0054462B"/>
    <w:rsid w:val="00544F21"/>
    <w:rsid w:val="005458D8"/>
    <w:rsid w:val="005459A2"/>
    <w:rsid w:val="00546895"/>
    <w:rsid w:val="005469EB"/>
    <w:rsid w:val="00546E87"/>
    <w:rsid w:val="00546FF6"/>
    <w:rsid w:val="0054798B"/>
    <w:rsid w:val="005501BF"/>
    <w:rsid w:val="005502B0"/>
    <w:rsid w:val="005502BB"/>
    <w:rsid w:val="00550C56"/>
    <w:rsid w:val="00550C7A"/>
    <w:rsid w:val="00550E70"/>
    <w:rsid w:val="00551202"/>
    <w:rsid w:val="00551597"/>
    <w:rsid w:val="005517B7"/>
    <w:rsid w:val="00551DC6"/>
    <w:rsid w:val="00552451"/>
    <w:rsid w:val="00552B67"/>
    <w:rsid w:val="005530A1"/>
    <w:rsid w:val="005531DA"/>
    <w:rsid w:val="00553782"/>
    <w:rsid w:val="00553D67"/>
    <w:rsid w:val="005551A7"/>
    <w:rsid w:val="00555795"/>
    <w:rsid w:val="00555D8E"/>
    <w:rsid w:val="00555EE0"/>
    <w:rsid w:val="0055625B"/>
    <w:rsid w:val="00556308"/>
    <w:rsid w:val="0055682E"/>
    <w:rsid w:val="0055689C"/>
    <w:rsid w:val="00556F41"/>
    <w:rsid w:val="00557199"/>
    <w:rsid w:val="00557504"/>
    <w:rsid w:val="00560192"/>
    <w:rsid w:val="00560436"/>
    <w:rsid w:val="00560655"/>
    <w:rsid w:val="00560C0A"/>
    <w:rsid w:val="00560C41"/>
    <w:rsid w:val="0056190E"/>
    <w:rsid w:val="00561999"/>
    <w:rsid w:val="00561D57"/>
    <w:rsid w:val="00562F55"/>
    <w:rsid w:val="00563228"/>
    <w:rsid w:val="00563732"/>
    <w:rsid w:val="00563FC4"/>
    <w:rsid w:val="005644C6"/>
    <w:rsid w:val="0056464E"/>
    <w:rsid w:val="00564B28"/>
    <w:rsid w:val="00565301"/>
    <w:rsid w:val="0056563B"/>
    <w:rsid w:val="00565680"/>
    <w:rsid w:val="00565C7B"/>
    <w:rsid w:val="00565CE8"/>
    <w:rsid w:val="00565E2A"/>
    <w:rsid w:val="005663FD"/>
    <w:rsid w:val="00566C6C"/>
    <w:rsid w:val="005670E3"/>
    <w:rsid w:val="0056742A"/>
    <w:rsid w:val="00567459"/>
    <w:rsid w:val="005676BB"/>
    <w:rsid w:val="005679F7"/>
    <w:rsid w:val="00567A7C"/>
    <w:rsid w:val="00567BFC"/>
    <w:rsid w:val="00567D58"/>
    <w:rsid w:val="00567E47"/>
    <w:rsid w:val="0057009F"/>
    <w:rsid w:val="0057055C"/>
    <w:rsid w:val="00570678"/>
    <w:rsid w:val="00570993"/>
    <w:rsid w:val="00570C9A"/>
    <w:rsid w:val="00571A2B"/>
    <w:rsid w:val="00572854"/>
    <w:rsid w:val="00572CFB"/>
    <w:rsid w:val="00573328"/>
    <w:rsid w:val="00573642"/>
    <w:rsid w:val="00573A43"/>
    <w:rsid w:val="005743F9"/>
    <w:rsid w:val="0057457F"/>
    <w:rsid w:val="005748CA"/>
    <w:rsid w:val="00574FFD"/>
    <w:rsid w:val="0057518C"/>
    <w:rsid w:val="00575403"/>
    <w:rsid w:val="005755E3"/>
    <w:rsid w:val="00577086"/>
    <w:rsid w:val="005770A3"/>
    <w:rsid w:val="00577450"/>
    <w:rsid w:val="00577B0C"/>
    <w:rsid w:val="00577CC0"/>
    <w:rsid w:val="00577DEF"/>
    <w:rsid w:val="00577FDE"/>
    <w:rsid w:val="005801DF"/>
    <w:rsid w:val="00580237"/>
    <w:rsid w:val="00580662"/>
    <w:rsid w:val="005807C1"/>
    <w:rsid w:val="005808AE"/>
    <w:rsid w:val="00580B6E"/>
    <w:rsid w:val="00581711"/>
    <w:rsid w:val="005818A7"/>
    <w:rsid w:val="00581B5A"/>
    <w:rsid w:val="00581C90"/>
    <w:rsid w:val="00581DBA"/>
    <w:rsid w:val="0058320D"/>
    <w:rsid w:val="00583718"/>
    <w:rsid w:val="0058403C"/>
    <w:rsid w:val="00584B49"/>
    <w:rsid w:val="00584C1F"/>
    <w:rsid w:val="00584D77"/>
    <w:rsid w:val="00584E6D"/>
    <w:rsid w:val="00584EFF"/>
    <w:rsid w:val="005856C4"/>
    <w:rsid w:val="0058586C"/>
    <w:rsid w:val="00585890"/>
    <w:rsid w:val="00585917"/>
    <w:rsid w:val="005868BB"/>
    <w:rsid w:val="00586ECD"/>
    <w:rsid w:val="00587022"/>
    <w:rsid w:val="00587606"/>
    <w:rsid w:val="00590350"/>
    <w:rsid w:val="00590DDF"/>
    <w:rsid w:val="005910D0"/>
    <w:rsid w:val="0059174B"/>
    <w:rsid w:val="00591C9B"/>
    <w:rsid w:val="00592070"/>
    <w:rsid w:val="00592E00"/>
    <w:rsid w:val="00593CD0"/>
    <w:rsid w:val="00593CE8"/>
    <w:rsid w:val="00593D98"/>
    <w:rsid w:val="00594069"/>
    <w:rsid w:val="00594240"/>
    <w:rsid w:val="00594255"/>
    <w:rsid w:val="0059427C"/>
    <w:rsid w:val="00594EEA"/>
    <w:rsid w:val="005952E7"/>
    <w:rsid w:val="00595323"/>
    <w:rsid w:val="005953F5"/>
    <w:rsid w:val="00596001"/>
    <w:rsid w:val="005962AD"/>
    <w:rsid w:val="00596BB4"/>
    <w:rsid w:val="005974D3"/>
    <w:rsid w:val="005A07D4"/>
    <w:rsid w:val="005A0DD4"/>
    <w:rsid w:val="005A1551"/>
    <w:rsid w:val="005A1F58"/>
    <w:rsid w:val="005A2981"/>
    <w:rsid w:val="005A2D87"/>
    <w:rsid w:val="005A305A"/>
    <w:rsid w:val="005A368E"/>
    <w:rsid w:val="005A38B3"/>
    <w:rsid w:val="005A38FF"/>
    <w:rsid w:val="005A3959"/>
    <w:rsid w:val="005A3BAE"/>
    <w:rsid w:val="005A3C28"/>
    <w:rsid w:val="005A43FF"/>
    <w:rsid w:val="005A46D4"/>
    <w:rsid w:val="005A48BE"/>
    <w:rsid w:val="005A4D88"/>
    <w:rsid w:val="005A4D91"/>
    <w:rsid w:val="005A5231"/>
    <w:rsid w:val="005A54DA"/>
    <w:rsid w:val="005A5520"/>
    <w:rsid w:val="005A5715"/>
    <w:rsid w:val="005A57D8"/>
    <w:rsid w:val="005A5D60"/>
    <w:rsid w:val="005A5F42"/>
    <w:rsid w:val="005A64EC"/>
    <w:rsid w:val="005A67ED"/>
    <w:rsid w:val="005A6C7C"/>
    <w:rsid w:val="005A7073"/>
    <w:rsid w:val="005A723A"/>
    <w:rsid w:val="005B0619"/>
    <w:rsid w:val="005B07EB"/>
    <w:rsid w:val="005B0918"/>
    <w:rsid w:val="005B0E25"/>
    <w:rsid w:val="005B16BC"/>
    <w:rsid w:val="005B180C"/>
    <w:rsid w:val="005B1B01"/>
    <w:rsid w:val="005B1F0E"/>
    <w:rsid w:val="005B2765"/>
    <w:rsid w:val="005B2A83"/>
    <w:rsid w:val="005B2AE9"/>
    <w:rsid w:val="005B43FA"/>
    <w:rsid w:val="005B4755"/>
    <w:rsid w:val="005B4EC1"/>
    <w:rsid w:val="005B507B"/>
    <w:rsid w:val="005B52BA"/>
    <w:rsid w:val="005B56BE"/>
    <w:rsid w:val="005B5BD4"/>
    <w:rsid w:val="005B6320"/>
    <w:rsid w:val="005B63DF"/>
    <w:rsid w:val="005B6955"/>
    <w:rsid w:val="005B6E19"/>
    <w:rsid w:val="005B7A2A"/>
    <w:rsid w:val="005C025F"/>
    <w:rsid w:val="005C0404"/>
    <w:rsid w:val="005C06CB"/>
    <w:rsid w:val="005C07BA"/>
    <w:rsid w:val="005C091E"/>
    <w:rsid w:val="005C0A2F"/>
    <w:rsid w:val="005C0C64"/>
    <w:rsid w:val="005C0CB3"/>
    <w:rsid w:val="005C0DF1"/>
    <w:rsid w:val="005C17B9"/>
    <w:rsid w:val="005C1CFE"/>
    <w:rsid w:val="005C1D4B"/>
    <w:rsid w:val="005C225B"/>
    <w:rsid w:val="005C28EF"/>
    <w:rsid w:val="005C2A9D"/>
    <w:rsid w:val="005C2B6E"/>
    <w:rsid w:val="005C3811"/>
    <w:rsid w:val="005C3A0A"/>
    <w:rsid w:val="005C3AB5"/>
    <w:rsid w:val="005C3CB3"/>
    <w:rsid w:val="005C426B"/>
    <w:rsid w:val="005C4CB7"/>
    <w:rsid w:val="005C4F4B"/>
    <w:rsid w:val="005C4F7F"/>
    <w:rsid w:val="005C50B8"/>
    <w:rsid w:val="005C5129"/>
    <w:rsid w:val="005C5402"/>
    <w:rsid w:val="005C5713"/>
    <w:rsid w:val="005C5DC4"/>
    <w:rsid w:val="005C61C3"/>
    <w:rsid w:val="005C694F"/>
    <w:rsid w:val="005C6BC0"/>
    <w:rsid w:val="005C773D"/>
    <w:rsid w:val="005C78D3"/>
    <w:rsid w:val="005C79BC"/>
    <w:rsid w:val="005D08B0"/>
    <w:rsid w:val="005D0CD9"/>
    <w:rsid w:val="005D112E"/>
    <w:rsid w:val="005D15F9"/>
    <w:rsid w:val="005D17F2"/>
    <w:rsid w:val="005D26AB"/>
    <w:rsid w:val="005D2ACB"/>
    <w:rsid w:val="005D2AF4"/>
    <w:rsid w:val="005D2BA3"/>
    <w:rsid w:val="005D3046"/>
    <w:rsid w:val="005D348E"/>
    <w:rsid w:val="005D3587"/>
    <w:rsid w:val="005D3D66"/>
    <w:rsid w:val="005D3DE7"/>
    <w:rsid w:val="005D4127"/>
    <w:rsid w:val="005D42BC"/>
    <w:rsid w:val="005D4559"/>
    <w:rsid w:val="005D470E"/>
    <w:rsid w:val="005D4902"/>
    <w:rsid w:val="005D51B7"/>
    <w:rsid w:val="005D533E"/>
    <w:rsid w:val="005D5AC5"/>
    <w:rsid w:val="005D61E0"/>
    <w:rsid w:val="005D6D02"/>
    <w:rsid w:val="005D6DE1"/>
    <w:rsid w:val="005D6EC4"/>
    <w:rsid w:val="005D795A"/>
    <w:rsid w:val="005D7B04"/>
    <w:rsid w:val="005E027C"/>
    <w:rsid w:val="005E12B6"/>
    <w:rsid w:val="005E193C"/>
    <w:rsid w:val="005E24B7"/>
    <w:rsid w:val="005E2815"/>
    <w:rsid w:val="005E2A0C"/>
    <w:rsid w:val="005E2BF5"/>
    <w:rsid w:val="005E309E"/>
    <w:rsid w:val="005E3167"/>
    <w:rsid w:val="005E31FF"/>
    <w:rsid w:val="005E3325"/>
    <w:rsid w:val="005E335E"/>
    <w:rsid w:val="005E3BAB"/>
    <w:rsid w:val="005E4DB0"/>
    <w:rsid w:val="005E52D3"/>
    <w:rsid w:val="005E56FC"/>
    <w:rsid w:val="005E5D85"/>
    <w:rsid w:val="005E662B"/>
    <w:rsid w:val="005E6857"/>
    <w:rsid w:val="005E6931"/>
    <w:rsid w:val="005E6F17"/>
    <w:rsid w:val="005E7783"/>
    <w:rsid w:val="005E7CE4"/>
    <w:rsid w:val="005E7E7C"/>
    <w:rsid w:val="005E7EBC"/>
    <w:rsid w:val="005E7F2D"/>
    <w:rsid w:val="005F0A13"/>
    <w:rsid w:val="005F0C3A"/>
    <w:rsid w:val="005F11D5"/>
    <w:rsid w:val="005F1250"/>
    <w:rsid w:val="005F18D9"/>
    <w:rsid w:val="005F2490"/>
    <w:rsid w:val="005F2673"/>
    <w:rsid w:val="005F2B90"/>
    <w:rsid w:val="005F34C5"/>
    <w:rsid w:val="005F35CE"/>
    <w:rsid w:val="005F37EF"/>
    <w:rsid w:val="005F3B07"/>
    <w:rsid w:val="005F3DEC"/>
    <w:rsid w:val="005F44C9"/>
    <w:rsid w:val="005F49AB"/>
    <w:rsid w:val="005F4BD3"/>
    <w:rsid w:val="005F52B0"/>
    <w:rsid w:val="005F5683"/>
    <w:rsid w:val="005F56F1"/>
    <w:rsid w:val="005F584D"/>
    <w:rsid w:val="005F5903"/>
    <w:rsid w:val="005F5A2B"/>
    <w:rsid w:val="005F5AFA"/>
    <w:rsid w:val="005F6A15"/>
    <w:rsid w:val="005F6B55"/>
    <w:rsid w:val="005F72FE"/>
    <w:rsid w:val="005F761B"/>
    <w:rsid w:val="005F76AB"/>
    <w:rsid w:val="005F7D9E"/>
    <w:rsid w:val="00600216"/>
    <w:rsid w:val="00600321"/>
    <w:rsid w:val="006008E6"/>
    <w:rsid w:val="00600DD2"/>
    <w:rsid w:val="00600EA3"/>
    <w:rsid w:val="00601288"/>
    <w:rsid w:val="006022B5"/>
    <w:rsid w:val="006026A3"/>
    <w:rsid w:val="00602BEA"/>
    <w:rsid w:val="006031B4"/>
    <w:rsid w:val="006040C4"/>
    <w:rsid w:val="006049EB"/>
    <w:rsid w:val="00604C5F"/>
    <w:rsid w:val="0060505A"/>
    <w:rsid w:val="0060541B"/>
    <w:rsid w:val="00605B88"/>
    <w:rsid w:val="00605FF8"/>
    <w:rsid w:val="00606084"/>
    <w:rsid w:val="006065A2"/>
    <w:rsid w:val="00606A14"/>
    <w:rsid w:val="00606AF2"/>
    <w:rsid w:val="00606D1E"/>
    <w:rsid w:val="00606E9C"/>
    <w:rsid w:val="00607E2D"/>
    <w:rsid w:val="00610301"/>
    <w:rsid w:val="006104AC"/>
    <w:rsid w:val="0061255B"/>
    <w:rsid w:val="00612A92"/>
    <w:rsid w:val="0061408F"/>
    <w:rsid w:val="006140FC"/>
    <w:rsid w:val="00614282"/>
    <w:rsid w:val="0061458E"/>
    <w:rsid w:val="00614776"/>
    <w:rsid w:val="006147FA"/>
    <w:rsid w:val="00614A87"/>
    <w:rsid w:val="00614BB0"/>
    <w:rsid w:val="00614CBE"/>
    <w:rsid w:val="0061558C"/>
    <w:rsid w:val="00615780"/>
    <w:rsid w:val="0061579D"/>
    <w:rsid w:val="00615C83"/>
    <w:rsid w:val="00615D17"/>
    <w:rsid w:val="00615F11"/>
    <w:rsid w:val="00616316"/>
    <w:rsid w:val="0061654B"/>
    <w:rsid w:val="00616709"/>
    <w:rsid w:val="006169A1"/>
    <w:rsid w:val="006173D7"/>
    <w:rsid w:val="00617D9F"/>
    <w:rsid w:val="00620442"/>
    <w:rsid w:val="006206B6"/>
    <w:rsid w:val="0062147A"/>
    <w:rsid w:val="00621B5E"/>
    <w:rsid w:val="00621ECE"/>
    <w:rsid w:val="00622382"/>
    <w:rsid w:val="0062242B"/>
    <w:rsid w:val="00622D03"/>
    <w:rsid w:val="00622ECE"/>
    <w:rsid w:val="00623316"/>
    <w:rsid w:val="00623515"/>
    <w:rsid w:val="00623E70"/>
    <w:rsid w:val="0062404E"/>
    <w:rsid w:val="00624A6D"/>
    <w:rsid w:val="006257A6"/>
    <w:rsid w:val="006258C2"/>
    <w:rsid w:val="00625AF1"/>
    <w:rsid w:val="00625C65"/>
    <w:rsid w:val="0062616F"/>
    <w:rsid w:val="006267AD"/>
    <w:rsid w:val="00626A20"/>
    <w:rsid w:val="0062742C"/>
    <w:rsid w:val="0062749D"/>
    <w:rsid w:val="006278DF"/>
    <w:rsid w:val="00627971"/>
    <w:rsid w:val="00627DB2"/>
    <w:rsid w:val="00630300"/>
    <w:rsid w:val="00630427"/>
    <w:rsid w:val="00630A16"/>
    <w:rsid w:val="00631170"/>
    <w:rsid w:val="00631699"/>
    <w:rsid w:val="0063199A"/>
    <w:rsid w:val="00631DA0"/>
    <w:rsid w:val="006320D6"/>
    <w:rsid w:val="00633DE9"/>
    <w:rsid w:val="006349EC"/>
    <w:rsid w:val="006357B5"/>
    <w:rsid w:val="00635D97"/>
    <w:rsid w:val="00635FD0"/>
    <w:rsid w:val="0063646C"/>
    <w:rsid w:val="00636A51"/>
    <w:rsid w:val="00636CC9"/>
    <w:rsid w:val="00637596"/>
    <w:rsid w:val="006375D0"/>
    <w:rsid w:val="00640031"/>
    <w:rsid w:val="006404B3"/>
    <w:rsid w:val="0064092D"/>
    <w:rsid w:val="00640ADD"/>
    <w:rsid w:val="00640FAC"/>
    <w:rsid w:val="00641276"/>
    <w:rsid w:val="00641F0E"/>
    <w:rsid w:val="0064215F"/>
    <w:rsid w:val="00642457"/>
    <w:rsid w:val="00644C64"/>
    <w:rsid w:val="00645015"/>
    <w:rsid w:val="00645480"/>
    <w:rsid w:val="0064560F"/>
    <w:rsid w:val="00645664"/>
    <w:rsid w:val="006456E9"/>
    <w:rsid w:val="0064576D"/>
    <w:rsid w:val="00645C0D"/>
    <w:rsid w:val="00645DE3"/>
    <w:rsid w:val="00646A8A"/>
    <w:rsid w:val="00646D07"/>
    <w:rsid w:val="00646E6B"/>
    <w:rsid w:val="006473B5"/>
    <w:rsid w:val="00647503"/>
    <w:rsid w:val="0064762C"/>
    <w:rsid w:val="006476F3"/>
    <w:rsid w:val="006477CC"/>
    <w:rsid w:val="0064788F"/>
    <w:rsid w:val="0064798B"/>
    <w:rsid w:val="00647DA8"/>
    <w:rsid w:val="006501B4"/>
    <w:rsid w:val="0065052B"/>
    <w:rsid w:val="0065074C"/>
    <w:rsid w:val="006507AE"/>
    <w:rsid w:val="00650A94"/>
    <w:rsid w:val="00650EA9"/>
    <w:rsid w:val="00651E97"/>
    <w:rsid w:val="0065212D"/>
    <w:rsid w:val="00653069"/>
    <w:rsid w:val="006537D5"/>
    <w:rsid w:val="006539AF"/>
    <w:rsid w:val="00653E0A"/>
    <w:rsid w:val="00653E7B"/>
    <w:rsid w:val="00653F7E"/>
    <w:rsid w:val="00654858"/>
    <w:rsid w:val="006548C9"/>
    <w:rsid w:val="00654AAD"/>
    <w:rsid w:val="00654D30"/>
    <w:rsid w:val="00654D91"/>
    <w:rsid w:val="006570CB"/>
    <w:rsid w:val="00657171"/>
    <w:rsid w:val="00657923"/>
    <w:rsid w:val="00657E2A"/>
    <w:rsid w:val="006600CE"/>
    <w:rsid w:val="00660711"/>
    <w:rsid w:val="00660E84"/>
    <w:rsid w:val="006610FB"/>
    <w:rsid w:val="006614A5"/>
    <w:rsid w:val="006614E1"/>
    <w:rsid w:val="006615AD"/>
    <w:rsid w:val="0066175A"/>
    <w:rsid w:val="00661ED9"/>
    <w:rsid w:val="00662176"/>
    <w:rsid w:val="00662DBA"/>
    <w:rsid w:val="00662DED"/>
    <w:rsid w:val="00662F1B"/>
    <w:rsid w:val="0066356F"/>
    <w:rsid w:val="00663970"/>
    <w:rsid w:val="00663E2A"/>
    <w:rsid w:val="006643CE"/>
    <w:rsid w:val="0066441B"/>
    <w:rsid w:val="006644BF"/>
    <w:rsid w:val="006645B0"/>
    <w:rsid w:val="00664E1E"/>
    <w:rsid w:val="00665696"/>
    <w:rsid w:val="00665BDA"/>
    <w:rsid w:val="00665E8C"/>
    <w:rsid w:val="0066600B"/>
    <w:rsid w:val="006674DC"/>
    <w:rsid w:val="0066753A"/>
    <w:rsid w:val="00667F9C"/>
    <w:rsid w:val="00670FCC"/>
    <w:rsid w:val="006715B8"/>
    <w:rsid w:val="00671678"/>
    <w:rsid w:val="00671A63"/>
    <w:rsid w:val="00672034"/>
    <w:rsid w:val="006725D7"/>
    <w:rsid w:val="006728BC"/>
    <w:rsid w:val="00672ACB"/>
    <w:rsid w:val="006744DC"/>
    <w:rsid w:val="00674558"/>
    <w:rsid w:val="00674579"/>
    <w:rsid w:val="006745A0"/>
    <w:rsid w:val="00674B74"/>
    <w:rsid w:val="00674F30"/>
    <w:rsid w:val="006755D7"/>
    <w:rsid w:val="00675922"/>
    <w:rsid w:val="00675D65"/>
    <w:rsid w:val="00676634"/>
    <w:rsid w:val="00676941"/>
    <w:rsid w:val="0067697C"/>
    <w:rsid w:val="00676EA3"/>
    <w:rsid w:val="00676FE5"/>
    <w:rsid w:val="006777C1"/>
    <w:rsid w:val="00677B4D"/>
    <w:rsid w:val="00677E94"/>
    <w:rsid w:val="0068042F"/>
    <w:rsid w:val="006805AC"/>
    <w:rsid w:val="00680A4C"/>
    <w:rsid w:val="00680AA1"/>
    <w:rsid w:val="00681E1B"/>
    <w:rsid w:val="00682053"/>
    <w:rsid w:val="00682528"/>
    <w:rsid w:val="00682639"/>
    <w:rsid w:val="006828AE"/>
    <w:rsid w:val="00682E65"/>
    <w:rsid w:val="00682EB4"/>
    <w:rsid w:val="006839BE"/>
    <w:rsid w:val="00683AAC"/>
    <w:rsid w:val="00683F6F"/>
    <w:rsid w:val="006843C4"/>
    <w:rsid w:val="006851EC"/>
    <w:rsid w:val="0068546B"/>
    <w:rsid w:val="00685490"/>
    <w:rsid w:val="006855A2"/>
    <w:rsid w:val="00686918"/>
    <w:rsid w:val="00686AA7"/>
    <w:rsid w:val="00686E3E"/>
    <w:rsid w:val="00687509"/>
    <w:rsid w:val="00687BAC"/>
    <w:rsid w:val="00687FB3"/>
    <w:rsid w:val="00690034"/>
    <w:rsid w:val="0069043F"/>
    <w:rsid w:val="00691CAE"/>
    <w:rsid w:val="00691E5B"/>
    <w:rsid w:val="0069245E"/>
    <w:rsid w:val="0069294A"/>
    <w:rsid w:val="0069412D"/>
    <w:rsid w:val="00694315"/>
    <w:rsid w:val="0069490A"/>
    <w:rsid w:val="00694F2D"/>
    <w:rsid w:val="0069507A"/>
    <w:rsid w:val="006954A0"/>
    <w:rsid w:val="00695CB0"/>
    <w:rsid w:val="00695D95"/>
    <w:rsid w:val="00696790"/>
    <w:rsid w:val="00696E2E"/>
    <w:rsid w:val="00697847"/>
    <w:rsid w:val="006979E1"/>
    <w:rsid w:val="00697A1A"/>
    <w:rsid w:val="00697EB1"/>
    <w:rsid w:val="006A0136"/>
    <w:rsid w:val="006A12B4"/>
    <w:rsid w:val="006A1526"/>
    <w:rsid w:val="006A1CCB"/>
    <w:rsid w:val="006A20F0"/>
    <w:rsid w:val="006A22FC"/>
    <w:rsid w:val="006A24D8"/>
    <w:rsid w:val="006A2C31"/>
    <w:rsid w:val="006A2DBF"/>
    <w:rsid w:val="006A3349"/>
    <w:rsid w:val="006A369E"/>
    <w:rsid w:val="006A3751"/>
    <w:rsid w:val="006A3AFC"/>
    <w:rsid w:val="006A3D49"/>
    <w:rsid w:val="006A4285"/>
    <w:rsid w:val="006A48BF"/>
    <w:rsid w:val="006A4A29"/>
    <w:rsid w:val="006A5555"/>
    <w:rsid w:val="006A5592"/>
    <w:rsid w:val="006A5F91"/>
    <w:rsid w:val="006A602B"/>
    <w:rsid w:val="006A694C"/>
    <w:rsid w:val="006A747E"/>
    <w:rsid w:val="006A7729"/>
    <w:rsid w:val="006A79B7"/>
    <w:rsid w:val="006A7C01"/>
    <w:rsid w:val="006A7DC1"/>
    <w:rsid w:val="006B009D"/>
    <w:rsid w:val="006B0130"/>
    <w:rsid w:val="006B0C78"/>
    <w:rsid w:val="006B1220"/>
    <w:rsid w:val="006B1A7E"/>
    <w:rsid w:val="006B2513"/>
    <w:rsid w:val="006B2D8F"/>
    <w:rsid w:val="006B3455"/>
    <w:rsid w:val="006B378F"/>
    <w:rsid w:val="006B3CFA"/>
    <w:rsid w:val="006B42C3"/>
    <w:rsid w:val="006B42E8"/>
    <w:rsid w:val="006B4395"/>
    <w:rsid w:val="006B464B"/>
    <w:rsid w:val="006B52C7"/>
    <w:rsid w:val="006B566D"/>
    <w:rsid w:val="006B5912"/>
    <w:rsid w:val="006B598C"/>
    <w:rsid w:val="006B5B8C"/>
    <w:rsid w:val="006B5DB5"/>
    <w:rsid w:val="006B6436"/>
    <w:rsid w:val="006B6474"/>
    <w:rsid w:val="006B6A3A"/>
    <w:rsid w:val="006B77C5"/>
    <w:rsid w:val="006B7C96"/>
    <w:rsid w:val="006B7D92"/>
    <w:rsid w:val="006B7FB0"/>
    <w:rsid w:val="006C05B6"/>
    <w:rsid w:val="006C2568"/>
    <w:rsid w:val="006C4C60"/>
    <w:rsid w:val="006C6731"/>
    <w:rsid w:val="006C7029"/>
    <w:rsid w:val="006C71F4"/>
    <w:rsid w:val="006C7C6E"/>
    <w:rsid w:val="006D0528"/>
    <w:rsid w:val="006D0885"/>
    <w:rsid w:val="006D1508"/>
    <w:rsid w:val="006D207F"/>
    <w:rsid w:val="006D22C6"/>
    <w:rsid w:val="006D2BA9"/>
    <w:rsid w:val="006D2D72"/>
    <w:rsid w:val="006D2DC9"/>
    <w:rsid w:val="006D303C"/>
    <w:rsid w:val="006D36A6"/>
    <w:rsid w:val="006D37A9"/>
    <w:rsid w:val="006D3BFF"/>
    <w:rsid w:val="006D3F72"/>
    <w:rsid w:val="006D58CA"/>
    <w:rsid w:val="006D6369"/>
    <w:rsid w:val="006D64E6"/>
    <w:rsid w:val="006D68DE"/>
    <w:rsid w:val="006D6989"/>
    <w:rsid w:val="006D6C88"/>
    <w:rsid w:val="006D6E08"/>
    <w:rsid w:val="006D6F4B"/>
    <w:rsid w:val="006D6F7F"/>
    <w:rsid w:val="006D736B"/>
    <w:rsid w:val="006D752E"/>
    <w:rsid w:val="006D7533"/>
    <w:rsid w:val="006D79D8"/>
    <w:rsid w:val="006D7A74"/>
    <w:rsid w:val="006D7AD9"/>
    <w:rsid w:val="006D7BE3"/>
    <w:rsid w:val="006E03A0"/>
    <w:rsid w:val="006E0550"/>
    <w:rsid w:val="006E07C9"/>
    <w:rsid w:val="006E08EB"/>
    <w:rsid w:val="006E18BC"/>
    <w:rsid w:val="006E2B07"/>
    <w:rsid w:val="006E2B7E"/>
    <w:rsid w:val="006E2D5B"/>
    <w:rsid w:val="006E3173"/>
    <w:rsid w:val="006E3A07"/>
    <w:rsid w:val="006E4311"/>
    <w:rsid w:val="006E44B4"/>
    <w:rsid w:val="006E4549"/>
    <w:rsid w:val="006E4872"/>
    <w:rsid w:val="006E4BBC"/>
    <w:rsid w:val="006E4D62"/>
    <w:rsid w:val="006E4E23"/>
    <w:rsid w:val="006E53EB"/>
    <w:rsid w:val="006E54E0"/>
    <w:rsid w:val="006E554C"/>
    <w:rsid w:val="006E565A"/>
    <w:rsid w:val="006E5739"/>
    <w:rsid w:val="006E5832"/>
    <w:rsid w:val="006E5872"/>
    <w:rsid w:val="006E597D"/>
    <w:rsid w:val="006E5EF9"/>
    <w:rsid w:val="006E6249"/>
    <w:rsid w:val="006E65FD"/>
    <w:rsid w:val="006E6799"/>
    <w:rsid w:val="006E6D18"/>
    <w:rsid w:val="006E6D1C"/>
    <w:rsid w:val="006E6F13"/>
    <w:rsid w:val="006E7281"/>
    <w:rsid w:val="006F002B"/>
    <w:rsid w:val="006F03B3"/>
    <w:rsid w:val="006F055D"/>
    <w:rsid w:val="006F05AA"/>
    <w:rsid w:val="006F05D0"/>
    <w:rsid w:val="006F085B"/>
    <w:rsid w:val="006F09F8"/>
    <w:rsid w:val="006F0B20"/>
    <w:rsid w:val="006F0F72"/>
    <w:rsid w:val="006F10AE"/>
    <w:rsid w:val="006F1326"/>
    <w:rsid w:val="006F1489"/>
    <w:rsid w:val="006F161D"/>
    <w:rsid w:val="006F19EC"/>
    <w:rsid w:val="006F1D98"/>
    <w:rsid w:val="006F343D"/>
    <w:rsid w:val="006F35E8"/>
    <w:rsid w:val="006F3866"/>
    <w:rsid w:val="006F3C2D"/>
    <w:rsid w:val="006F3EDE"/>
    <w:rsid w:val="006F40EA"/>
    <w:rsid w:val="006F41F2"/>
    <w:rsid w:val="006F435F"/>
    <w:rsid w:val="006F45DC"/>
    <w:rsid w:val="006F4BDF"/>
    <w:rsid w:val="006F51D5"/>
    <w:rsid w:val="006F51EB"/>
    <w:rsid w:val="006F571C"/>
    <w:rsid w:val="006F5952"/>
    <w:rsid w:val="006F59E6"/>
    <w:rsid w:val="006F6646"/>
    <w:rsid w:val="006F7141"/>
    <w:rsid w:val="006F7288"/>
    <w:rsid w:val="006F7770"/>
    <w:rsid w:val="006F7958"/>
    <w:rsid w:val="006F7F6E"/>
    <w:rsid w:val="007000F9"/>
    <w:rsid w:val="00700440"/>
    <w:rsid w:val="00700F0D"/>
    <w:rsid w:val="00701193"/>
    <w:rsid w:val="007015FA"/>
    <w:rsid w:val="007017E5"/>
    <w:rsid w:val="00703939"/>
    <w:rsid w:val="00703F62"/>
    <w:rsid w:val="00704166"/>
    <w:rsid w:val="0070443F"/>
    <w:rsid w:val="00704499"/>
    <w:rsid w:val="00704AFD"/>
    <w:rsid w:val="00704EB7"/>
    <w:rsid w:val="00705795"/>
    <w:rsid w:val="00706B4B"/>
    <w:rsid w:val="007070B5"/>
    <w:rsid w:val="00707E3C"/>
    <w:rsid w:val="007100DB"/>
    <w:rsid w:val="0071035D"/>
    <w:rsid w:val="007105C8"/>
    <w:rsid w:val="007105F6"/>
    <w:rsid w:val="00710FB5"/>
    <w:rsid w:val="00711D72"/>
    <w:rsid w:val="007123A9"/>
    <w:rsid w:val="00712B51"/>
    <w:rsid w:val="00713816"/>
    <w:rsid w:val="00713984"/>
    <w:rsid w:val="00713A97"/>
    <w:rsid w:val="00713CC1"/>
    <w:rsid w:val="00713CD3"/>
    <w:rsid w:val="00713D7C"/>
    <w:rsid w:val="00714392"/>
    <w:rsid w:val="0071446E"/>
    <w:rsid w:val="00714BED"/>
    <w:rsid w:val="00714D53"/>
    <w:rsid w:val="007154FD"/>
    <w:rsid w:val="007157B7"/>
    <w:rsid w:val="00715DBD"/>
    <w:rsid w:val="007163A4"/>
    <w:rsid w:val="007166A0"/>
    <w:rsid w:val="007166D6"/>
    <w:rsid w:val="00716B54"/>
    <w:rsid w:val="00716C7C"/>
    <w:rsid w:val="007171A3"/>
    <w:rsid w:val="00717484"/>
    <w:rsid w:val="007176C9"/>
    <w:rsid w:val="00717DAA"/>
    <w:rsid w:val="00720FE3"/>
    <w:rsid w:val="00722310"/>
    <w:rsid w:val="007228F6"/>
    <w:rsid w:val="0072329C"/>
    <w:rsid w:val="007233DC"/>
    <w:rsid w:val="0072397C"/>
    <w:rsid w:val="00723C8A"/>
    <w:rsid w:val="00723D3C"/>
    <w:rsid w:val="00724194"/>
    <w:rsid w:val="007248C2"/>
    <w:rsid w:val="00724970"/>
    <w:rsid w:val="00724A61"/>
    <w:rsid w:val="00724CCF"/>
    <w:rsid w:val="00724F5F"/>
    <w:rsid w:val="00725356"/>
    <w:rsid w:val="007263A9"/>
    <w:rsid w:val="007264AD"/>
    <w:rsid w:val="00726757"/>
    <w:rsid w:val="00726B7D"/>
    <w:rsid w:val="00726E46"/>
    <w:rsid w:val="0072753F"/>
    <w:rsid w:val="00727A66"/>
    <w:rsid w:val="00727BBD"/>
    <w:rsid w:val="00727CF3"/>
    <w:rsid w:val="00730B72"/>
    <w:rsid w:val="0073219B"/>
    <w:rsid w:val="00732ABA"/>
    <w:rsid w:val="007333C6"/>
    <w:rsid w:val="007335CA"/>
    <w:rsid w:val="00733693"/>
    <w:rsid w:val="00733724"/>
    <w:rsid w:val="007337A0"/>
    <w:rsid w:val="00733F28"/>
    <w:rsid w:val="007349B9"/>
    <w:rsid w:val="00734A5B"/>
    <w:rsid w:val="00734D54"/>
    <w:rsid w:val="00735D23"/>
    <w:rsid w:val="0073617F"/>
    <w:rsid w:val="007367CB"/>
    <w:rsid w:val="00736A76"/>
    <w:rsid w:val="007373E9"/>
    <w:rsid w:val="00737460"/>
    <w:rsid w:val="00737CBE"/>
    <w:rsid w:val="00740275"/>
    <w:rsid w:val="0074038F"/>
    <w:rsid w:val="0074049E"/>
    <w:rsid w:val="007404B1"/>
    <w:rsid w:val="00740824"/>
    <w:rsid w:val="00740C03"/>
    <w:rsid w:val="00741156"/>
    <w:rsid w:val="00741F4C"/>
    <w:rsid w:val="0074204E"/>
    <w:rsid w:val="00742187"/>
    <w:rsid w:val="007423BB"/>
    <w:rsid w:val="0074240A"/>
    <w:rsid w:val="0074257A"/>
    <w:rsid w:val="007429BF"/>
    <w:rsid w:val="00742DEA"/>
    <w:rsid w:val="007432C7"/>
    <w:rsid w:val="00743506"/>
    <w:rsid w:val="00743A2F"/>
    <w:rsid w:val="00743B3F"/>
    <w:rsid w:val="00743D05"/>
    <w:rsid w:val="007440A3"/>
    <w:rsid w:val="00744248"/>
    <w:rsid w:val="00744CA4"/>
    <w:rsid w:val="00744F76"/>
    <w:rsid w:val="0074503D"/>
    <w:rsid w:val="007453C9"/>
    <w:rsid w:val="00745EF4"/>
    <w:rsid w:val="00746793"/>
    <w:rsid w:val="00746A53"/>
    <w:rsid w:val="00747619"/>
    <w:rsid w:val="00747A52"/>
    <w:rsid w:val="00747B00"/>
    <w:rsid w:val="00747ECA"/>
    <w:rsid w:val="007502CD"/>
    <w:rsid w:val="007503DC"/>
    <w:rsid w:val="00750A4D"/>
    <w:rsid w:val="00750B4F"/>
    <w:rsid w:val="00750BBA"/>
    <w:rsid w:val="00750F83"/>
    <w:rsid w:val="00751962"/>
    <w:rsid w:val="00751A4B"/>
    <w:rsid w:val="00752314"/>
    <w:rsid w:val="007526E2"/>
    <w:rsid w:val="007528AF"/>
    <w:rsid w:val="00752F82"/>
    <w:rsid w:val="0075372F"/>
    <w:rsid w:val="007538FF"/>
    <w:rsid w:val="00753BFF"/>
    <w:rsid w:val="00754087"/>
    <w:rsid w:val="00754595"/>
    <w:rsid w:val="0075480D"/>
    <w:rsid w:val="00755519"/>
    <w:rsid w:val="007555E9"/>
    <w:rsid w:val="00755ABC"/>
    <w:rsid w:val="00756245"/>
    <w:rsid w:val="007566FA"/>
    <w:rsid w:val="00756961"/>
    <w:rsid w:val="00756A97"/>
    <w:rsid w:val="00756B9E"/>
    <w:rsid w:val="00756C3C"/>
    <w:rsid w:val="00756C70"/>
    <w:rsid w:val="0075779E"/>
    <w:rsid w:val="00757E28"/>
    <w:rsid w:val="00757E91"/>
    <w:rsid w:val="00757EFA"/>
    <w:rsid w:val="0076029F"/>
    <w:rsid w:val="00760ED9"/>
    <w:rsid w:val="007611F5"/>
    <w:rsid w:val="007614DE"/>
    <w:rsid w:val="0076179B"/>
    <w:rsid w:val="00762004"/>
    <w:rsid w:val="0076238A"/>
    <w:rsid w:val="007626BC"/>
    <w:rsid w:val="00762CB7"/>
    <w:rsid w:val="00762CBF"/>
    <w:rsid w:val="007631DD"/>
    <w:rsid w:val="007634DF"/>
    <w:rsid w:val="00763529"/>
    <w:rsid w:val="00763DF4"/>
    <w:rsid w:val="00764995"/>
    <w:rsid w:val="007653E1"/>
    <w:rsid w:val="007658EC"/>
    <w:rsid w:val="007662E3"/>
    <w:rsid w:val="00766547"/>
    <w:rsid w:val="00767193"/>
    <w:rsid w:val="007671C7"/>
    <w:rsid w:val="00770714"/>
    <w:rsid w:val="00770E64"/>
    <w:rsid w:val="0077115B"/>
    <w:rsid w:val="00771352"/>
    <w:rsid w:val="00771A56"/>
    <w:rsid w:val="00771BAC"/>
    <w:rsid w:val="00772025"/>
    <w:rsid w:val="0077217E"/>
    <w:rsid w:val="007722A4"/>
    <w:rsid w:val="00772A12"/>
    <w:rsid w:val="00772B74"/>
    <w:rsid w:val="00772CE3"/>
    <w:rsid w:val="007730E5"/>
    <w:rsid w:val="00773708"/>
    <w:rsid w:val="007738B0"/>
    <w:rsid w:val="00773FA3"/>
    <w:rsid w:val="007741A7"/>
    <w:rsid w:val="00774F7F"/>
    <w:rsid w:val="00775A8D"/>
    <w:rsid w:val="007762D5"/>
    <w:rsid w:val="00776A98"/>
    <w:rsid w:val="00776B14"/>
    <w:rsid w:val="00776D34"/>
    <w:rsid w:val="00776F43"/>
    <w:rsid w:val="0077727C"/>
    <w:rsid w:val="0077730F"/>
    <w:rsid w:val="00777CD9"/>
    <w:rsid w:val="00777F2A"/>
    <w:rsid w:val="0078026F"/>
    <w:rsid w:val="007803BB"/>
    <w:rsid w:val="00780488"/>
    <w:rsid w:val="007809B0"/>
    <w:rsid w:val="007817B0"/>
    <w:rsid w:val="00781C62"/>
    <w:rsid w:val="00782022"/>
    <w:rsid w:val="007824A5"/>
    <w:rsid w:val="00783108"/>
    <w:rsid w:val="00783F87"/>
    <w:rsid w:val="00784920"/>
    <w:rsid w:val="0078494A"/>
    <w:rsid w:val="007849E9"/>
    <w:rsid w:val="00784C74"/>
    <w:rsid w:val="00784F03"/>
    <w:rsid w:val="00784FFF"/>
    <w:rsid w:val="00785163"/>
    <w:rsid w:val="0078543B"/>
    <w:rsid w:val="00785451"/>
    <w:rsid w:val="00785D3C"/>
    <w:rsid w:val="0078618E"/>
    <w:rsid w:val="007862CF"/>
    <w:rsid w:val="00786449"/>
    <w:rsid w:val="007869D0"/>
    <w:rsid w:val="007870F6"/>
    <w:rsid w:val="0078757E"/>
    <w:rsid w:val="00787F7D"/>
    <w:rsid w:val="00787FE7"/>
    <w:rsid w:val="00790024"/>
    <w:rsid w:val="00790072"/>
    <w:rsid w:val="0079007A"/>
    <w:rsid w:val="007901E7"/>
    <w:rsid w:val="0079099E"/>
    <w:rsid w:val="00790B85"/>
    <w:rsid w:val="007915F1"/>
    <w:rsid w:val="0079188F"/>
    <w:rsid w:val="00792130"/>
    <w:rsid w:val="00792417"/>
    <w:rsid w:val="007927BA"/>
    <w:rsid w:val="0079292C"/>
    <w:rsid w:val="0079302E"/>
    <w:rsid w:val="0079379E"/>
    <w:rsid w:val="00794565"/>
    <w:rsid w:val="007952B7"/>
    <w:rsid w:val="0079599B"/>
    <w:rsid w:val="00795F69"/>
    <w:rsid w:val="00796811"/>
    <w:rsid w:val="00796C0D"/>
    <w:rsid w:val="00797083"/>
    <w:rsid w:val="0079771B"/>
    <w:rsid w:val="00797982"/>
    <w:rsid w:val="007A0521"/>
    <w:rsid w:val="007A0553"/>
    <w:rsid w:val="007A0797"/>
    <w:rsid w:val="007A0A0C"/>
    <w:rsid w:val="007A1B5D"/>
    <w:rsid w:val="007A1BEC"/>
    <w:rsid w:val="007A2202"/>
    <w:rsid w:val="007A2A0C"/>
    <w:rsid w:val="007A2A38"/>
    <w:rsid w:val="007A2F7F"/>
    <w:rsid w:val="007A354F"/>
    <w:rsid w:val="007A36CE"/>
    <w:rsid w:val="007A3873"/>
    <w:rsid w:val="007A4357"/>
    <w:rsid w:val="007A4DCC"/>
    <w:rsid w:val="007A555B"/>
    <w:rsid w:val="007A56CE"/>
    <w:rsid w:val="007A575B"/>
    <w:rsid w:val="007A633D"/>
    <w:rsid w:val="007A6377"/>
    <w:rsid w:val="007A63B3"/>
    <w:rsid w:val="007A643C"/>
    <w:rsid w:val="007A6795"/>
    <w:rsid w:val="007A6FDA"/>
    <w:rsid w:val="007A72DD"/>
    <w:rsid w:val="007A73E3"/>
    <w:rsid w:val="007A741B"/>
    <w:rsid w:val="007A7A7F"/>
    <w:rsid w:val="007A7AF6"/>
    <w:rsid w:val="007A7F56"/>
    <w:rsid w:val="007B1F24"/>
    <w:rsid w:val="007B274F"/>
    <w:rsid w:val="007B2E5B"/>
    <w:rsid w:val="007B3240"/>
    <w:rsid w:val="007B32C0"/>
    <w:rsid w:val="007B369E"/>
    <w:rsid w:val="007B38AB"/>
    <w:rsid w:val="007B38FE"/>
    <w:rsid w:val="007B3BAE"/>
    <w:rsid w:val="007B3D25"/>
    <w:rsid w:val="007B3FD2"/>
    <w:rsid w:val="007B4BDA"/>
    <w:rsid w:val="007B6246"/>
    <w:rsid w:val="007B670A"/>
    <w:rsid w:val="007B6E9C"/>
    <w:rsid w:val="007B70A1"/>
    <w:rsid w:val="007B7399"/>
    <w:rsid w:val="007B763C"/>
    <w:rsid w:val="007B7CB5"/>
    <w:rsid w:val="007C01C5"/>
    <w:rsid w:val="007C08CB"/>
    <w:rsid w:val="007C0A41"/>
    <w:rsid w:val="007C0E72"/>
    <w:rsid w:val="007C17DE"/>
    <w:rsid w:val="007C1BB8"/>
    <w:rsid w:val="007C1D57"/>
    <w:rsid w:val="007C1DAD"/>
    <w:rsid w:val="007C1E9F"/>
    <w:rsid w:val="007C257A"/>
    <w:rsid w:val="007C27EC"/>
    <w:rsid w:val="007C2891"/>
    <w:rsid w:val="007C2AD3"/>
    <w:rsid w:val="007C2DAE"/>
    <w:rsid w:val="007C328A"/>
    <w:rsid w:val="007C340E"/>
    <w:rsid w:val="007C4048"/>
    <w:rsid w:val="007C4BD4"/>
    <w:rsid w:val="007C56F3"/>
    <w:rsid w:val="007C584F"/>
    <w:rsid w:val="007C5A73"/>
    <w:rsid w:val="007C6125"/>
    <w:rsid w:val="007C638F"/>
    <w:rsid w:val="007C6993"/>
    <w:rsid w:val="007C71E4"/>
    <w:rsid w:val="007C7E32"/>
    <w:rsid w:val="007D0447"/>
    <w:rsid w:val="007D04A9"/>
    <w:rsid w:val="007D09DD"/>
    <w:rsid w:val="007D0B6B"/>
    <w:rsid w:val="007D0C25"/>
    <w:rsid w:val="007D158A"/>
    <w:rsid w:val="007D1ADF"/>
    <w:rsid w:val="007D1DC2"/>
    <w:rsid w:val="007D28A6"/>
    <w:rsid w:val="007D2C8D"/>
    <w:rsid w:val="007D31AA"/>
    <w:rsid w:val="007D3579"/>
    <w:rsid w:val="007D3A88"/>
    <w:rsid w:val="007D3B25"/>
    <w:rsid w:val="007D424F"/>
    <w:rsid w:val="007D471A"/>
    <w:rsid w:val="007D4AB9"/>
    <w:rsid w:val="007D595E"/>
    <w:rsid w:val="007D60EC"/>
    <w:rsid w:val="007D61DB"/>
    <w:rsid w:val="007D634E"/>
    <w:rsid w:val="007D6393"/>
    <w:rsid w:val="007D6663"/>
    <w:rsid w:val="007D66F3"/>
    <w:rsid w:val="007D77E7"/>
    <w:rsid w:val="007E097D"/>
    <w:rsid w:val="007E0AEC"/>
    <w:rsid w:val="007E198C"/>
    <w:rsid w:val="007E1C16"/>
    <w:rsid w:val="007E1DA2"/>
    <w:rsid w:val="007E1DC3"/>
    <w:rsid w:val="007E1EDE"/>
    <w:rsid w:val="007E1F75"/>
    <w:rsid w:val="007E29B6"/>
    <w:rsid w:val="007E2F7C"/>
    <w:rsid w:val="007E3008"/>
    <w:rsid w:val="007E30DC"/>
    <w:rsid w:val="007E3AFE"/>
    <w:rsid w:val="007E3C3F"/>
    <w:rsid w:val="007E3F65"/>
    <w:rsid w:val="007E433F"/>
    <w:rsid w:val="007E4687"/>
    <w:rsid w:val="007E59D8"/>
    <w:rsid w:val="007E7354"/>
    <w:rsid w:val="007E75CA"/>
    <w:rsid w:val="007E7A6F"/>
    <w:rsid w:val="007E7D9B"/>
    <w:rsid w:val="007F035C"/>
    <w:rsid w:val="007F054F"/>
    <w:rsid w:val="007F1E16"/>
    <w:rsid w:val="007F2480"/>
    <w:rsid w:val="007F3202"/>
    <w:rsid w:val="007F3316"/>
    <w:rsid w:val="007F3497"/>
    <w:rsid w:val="007F36A4"/>
    <w:rsid w:val="007F3E0D"/>
    <w:rsid w:val="007F464E"/>
    <w:rsid w:val="007F4F71"/>
    <w:rsid w:val="007F50C0"/>
    <w:rsid w:val="007F5C35"/>
    <w:rsid w:val="007F5DFB"/>
    <w:rsid w:val="007F67B4"/>
    <w:rsid w:val="007F73C9"/>
    <w:rsid w:val="007F75D6"/>
    <w:rsid w:val="007F760A"/>
    <w:rsid w:val="007F7B86"/>
    <w:rsid w:val="007F7EC0"/>
    <w:rsid w:val="00800358"/>
    <w:rsid w:val="00800E83"/>
    <w:rsid w:val="008018C7"/>
    <w:rsid w:val="00801C99"/>
    <w:rsid w:val="008020DA"/>
    <w:rsid w:val="00802370"/>
    <w:rsid w:val="008029E3"/>
    <w:rsid w:val="00802A23"/>
    <w:rsid w:val="00802B82"/>
    <w:rsid w:val="00802D31"/>
    <w:rsid w:val="0080332F"/>
    <w:rsid w:val="008038A8"/>
    <w:rsid w:val="00803E1B"/>
    <w:rsid w:val="0080419F"/>
    <w:rsid w:val="00804733"/>
    <w:rsid w:val="00804AF3"/>
    <w:rsid w:val="00805091"/>
    <w:rsid w:val="0080517E"/>
    <w:rsid w:val="00805596"/>
    <w:rsid w:val="00805DDE"/>
    <w:rsid w:val="00805EAC"/>
    <w:rsid w:val="00805FDB"/>
    <w:rsid w:val="00806286"/>
    <w:rsid w:val="00806421"/>
    <w:rsid w:val="008066C3"/>
    <w:rsid w:val="00807110"/>
    <w:rsid w:val="00807229"/>
    <w:rsid w:val="0080781D"/>
    <w:rsid w:val="0080792C"/>
    <w:rsid w:val="00807D65"/>
    <w:rsid w:val="00807E2B"/>
    <w:rsid w:val="00811382"/>
    <w:rsid w:val="00811630"/>
    <w:rsid w:val="00811699"/>
    <w:rsid w:val="0081195D"/>
    <w:rsid w:val="00811AC4"/>
    <w:rsid w:val="00811F5F"/>
    <w:rsid w:val="0081243A"/>
    <w:rsid w:val="008124A3"/>
    <w:rsid w:val="008124AB"/>
    <w:rsid w:val="00812508"/>
    <w:rsid w:val="00812599"/>
    <w:rsid w:val="00812A30"/>
    <w:rsid w:val="00812CBC"/>
    <w:rsid w:val="0081347C"/>
    <w:rsid w:val="0081389F"/>
    <w:rsid w:val="00813ADD"/>
    <w:rsid w:val="00813DF3"/>
    <w:rsid w:val="00814401"/>
    <w:rsid w:val="0081479E"/>
    <w:rsid w:val="00815176"/>
    <w:rsid w:val="00815531"/>
    <w:rsid w:val="00815EF6"/>
    <w:rsid w:val="00816690"/>
    <w:rsid w:val="00817CF7"/>
    <w:rsid w:val="008208FD"/>
    <w:rsid w:val="00820F3F"/>
    <w:rsid w:val="008217F5"/>
    <w:rsid w:val="00821B0A"/>
    <w:rsid w:val="00823171"/>
    <w:rsid w:val="00823180"/>
    <w:rsid w:val="00823556"/>
    <w:rsid w:val="00823810"/>
    <w:rsid w:val="008242DE"/>
    <w:rsid w:val="00824455"/>
    <w:rsid w:val="00824B8D"/>
    <w:rsid w:val="00824F0F"/>
    <w:rsid w:val="008258A2"/>
    <w:rsid w:val="00825ECA"/>
    <w:rsid w:val="0082647F"/>
    <w:rsid w:val="00826DE2"/>
    <w:rsid w:val="00826E74"/>
    <w:rsid w:val="00830AB1"/>
    <w:rsid w:val="00830BB4"/>
    <w:rsid w:val="00830FAB"/>
    <w:rsid w:val="00831F40"/>
    <w:rsid w:val="00832323"/>
    <w:rsid w:val="00832355"/>
    <w:rsid w:val="008327F8"/>
    <w:rsid w:val="0083292F"/>
    <w:rsid w:val="008330A7"/>
    <w:rsid w:val="00833311"/>
    <w:rsid w:val="00833629"/>
    <w:rsid w:val="0083389D"/>
    <w:rsid w:val="00833F06"/>
    <w:rsid w:val="00833FED"/>
    <w:rsid w:val="008340B0"/>
    <w:rsid w:val="0083498E"/>
    <w:rsid w:val="00835830"/>
    <w:rsid w:val="00835AF5"/>
    <w:rsid w:val="00835D29"/>
    <w:rsid w:val="008363E1"/>
    <w:rsid w:val="008364CD"/>
    <w:rsid w:val="00836AC0"/>
    <w:rsid w:val="00837C37"/>
    <w:rsid w:val="00840338"/>
    <w:rsid w:val="008403C6"/>
    <w:rsid w:val="008403F7"/>
    <w:rsid w:val="0084047C"/>
    <w:rsid w:val="008405D2"/>
    <w:rsid w:val="008408B7"/>
    <w:rsid w:val="00840B4F"/>
    <w:rsid w:val="00840E07"/>
    <w:rsid w:val="008410AA"/>
    <w:rsid w:val="00841438"/>
    <w:rsid w:val="00841DB4"/>
    <w:rsid w:val="008426B3"/>
    <w:rsid w:val="008429E6"/>
    <w:rsid w:val="00843083"/>
    <w:rsid w:val="008434F7"/>
    <w:rsid w:val="0084399A"/>
    <w:rsid w:val="00843A71"/>
    <w:rsid w:val="0084472E"/>
    <w:rsid w:val="00844795"/>
    <w:rsid w:val="0084528F"/>
    <w:rsid w:val="0084585E"/>
    <w:rsid w:val="00845BC1"/>
    <w:rsid w:val="00845D3D"/>
    <w:rsid w:val="00845DBB"/>
    <w:rsid w:val="0084652E"/>
    <w:rsid w:val="00846716"/>
    <w:rsid w:val="00846E8C"/>
    <w:rsid w:val="00847166"/>
    <w:rsid w:val="00847581"/>
    <w:rsid w:val="0085019A"/>
    <w:rsid w:val="00850296"/>
    <w:rsid w:val="00850408"/>
    <w:rsid w:val="0085044B"/>
    <w:rsid w:val="0085050B"/>
    <w:rsid w:val="008507CB"/>
    <w:rsid w:val="00850812"/>
    <w:rsid w:val="00850AD8"/>
    <w:rsid w:val="00850CBC"/>
    <w:rsid w:val="008513C0"/>
    <w:rsid w:val="00851469"/>
    <w:rsid w:val="00851496"/>
    <w:rsid w:val="008519B0"/>
    <w:rsid w:val="00851F72"/>
    <w:rsid w:val="00851FF9"/>
    <w:rsid w:val="008522B5"/>
    <w:rsid w:val="008527CA"/>
    <w:rsid w:val="008528E2"/>
    <w:rsid w:val="00852C59"/>
    <w:rsid w:val="00853427"/>
    <w:rsid w:val="00853D75"/>
    <w:rsid w:val="008543CA"/>
    <w:rsid w:val="00854597"/>
    <w:rsid w:val="008550A9"/>
    <w:rsid w:val="008551CA"/>
    <w:rsid w:val="00855575"/>
    <w:rsid w:val="008557CC"/>
    <w:rsid w:val="00856EA9"/>
    <w:rsid w:val="00856FB2"/>
    <w:rsid w:val="0085740A"/>
    <w:rsid w:val="00857999"/>
    <w:rsid w:val="00857C8A"/>
    <w:rsid w:val="008602BD"/>
    <w:rsid w:val="008603A6"/>
    <w:rsid w:val="00860463"/>
    <w:rsid w:val="008604A0"/>
    <w:rsid w:val="00860A9C"/>
    <w:rsid w:val="00860F60"/>
    <w:rsid w:val="0086112A"/>
    <w:rsid w:val="00861991"/>
    <w:rsid w:val="008619DE"/>
    <w:rsid w:val="008621E2"/>
    <w:rsid w:val="0086223A"/>
    <w:rsid w:val="00862AA7"/>
    <w:rsid w:val="00864812"/>
    <w:rsid w:val="00864B2A"/>
    <w:rsid w:val="00864C69"/>
    <w:rsid w:val="00864D78"/>
    <w:rsid w:val="00864E31"/>
    <w:rsid w:val="00865001"/>
    <w:rsid w:val="0086516E"/>
    <w:rsid w:val="00865F64"/>
    <w:rsid w:val="00866046"/>
    <w:rsid w:val="008667C5"/>
    <w:rsid w:val="0086707E"/>
    <w:rsid w:val="008671B3"/>
    <w:rsid w:val="00867748"/>
    <w:rsid w:val="00867B36"/>
    <w:rsid w:val="00867E55"/>
    <w:rsid w:val="00870D33"/>
    <w:rsid w:val="00870D7E"/>
    <w:rsid w:val="00870E6A"/>
    <w:rsid w:val="0087166C"/>
    <w:rsid w:val="00871C63"/>
    <w:rsid w:val="00871C86"/>
    <w:rsid w:val="00873003"/>
    <w:rsid w:val="008745CD"/>
    <w:rsid w:val="0087476A"/>
    <w:rsid w:val="008749BC"/>
    <w:rsid w:val="00874D1F"/>
    <w:rsid w:val="0087507E"/>
    <w:rsid w:val="00875AFB"/>
    <w:rsid w:val="00875B12"/>
    <w:rsid w:val="00875D71"/>
    <w:rsid w:val="00875EA2"/>
    <w:rsid w:val="008765B9"/>
    <w:rsid w:val="008765BE"/>
    <w:rsid w:val="0087674B"/>
    <w:rsid w:val="00876A40"/>
    <w:rsid w:val="008770C6"/>
    <w:rsid w:val="008778A4"/>
    <w:rsid w:val="00877D0A"/>
    <w:rsid w:val="00877D1A"/>
    <w:rsid w:val="0088038B"/>
    <w:rsid w:val="0088048B"/>
    <w:rsid w:val="00880B55"/>
    <w:rsid w:val="00880E4A"/>
    <w:rsid w:val="00881277"/>
    <w:rsid w:val="0088134C"/>
    <w:rsid w:val="008815E6"/>
    <w:rsid w:val="00881F9B"/>
    <w:rsid w:val="008820DB"/>
    <w:rsid w:val="008827DB"/>
    <w:rsid w:val="0088289A"/>
    <w:rsid w:val="00883077"/>
    <w:rsid w:val="00883C02"/>
    <w:rsid w:val="00883C5A"/>
    <w:rsid w:val="008840C2"/>
    <w:rsid w:val="008846C1"/>
    <w:rsid w:val="0088521E"/>
    <w:rsid w:val="0088553A"/>
    <w:rsid w:val="00885F4F"/>
    <w:rsid w:val="008861FF"/>
    <w:rsid w:val="00886214"/>
    <w:rsid w:val="00886367"/>
    <w:rsid w:val="008869FA"/>
    <w:rsid w:val="00886EA1"/>
    <w:rsid w:val="00887060"/>
    <w:rsid w:val="00887288"/>
    <w:rsid w:val="00887455"/>
    <w:rsid w:val="00887909"/>
    <w:rsid w:val="00887B64"/>
    <w:rsid w:val="00887BDE"/>
    <w:rsid w:val="00890263"/>
    <w:rsid w:val="00890859"/>
    <w:rsid w:val="0089160E"/>
    <w:rsid w:val="00891989"/>
    <w:rsid w:val="0089229F"/>
    <w:rsid w:val="0089283B"/>
    <w:rsid w:val="00892CD5"/>
    <w:rsid w:val="00892F20"/>
    <w:rsid w:val="00892FD9"/>
    <w:rsid w:val="00893018"/>
    <w:rsid w:val="00893F06"/>
    <w:rsid w:val="00894D29"/>
    <w:rsid w:val="00894EAA"/>
    <w:rsid w:val="0089511F"/>
    <w:rsid w:val="00896111"/>
    <w:rsid w:val="00896746"/>
    <w:rsid w:val="008969CE"/>
    <w:rsid w:val="0089716B"/>
    <w:rsid w:val="00897238"/>
    <w:rsid w:val="00897A01"/>
    <w:rsid w:val="00897F5E"/>
    <w:rsid w:val="008A002B"/>
    <w:rsid w:val="008A02B9"/>
    <w:rsid w:val="008A0F94"/>
    <w:rsid w:val="008A1142"/>
    <w:rsid w:val="008A1550"/>
    <w:rsid w:val="008A181F"/>
    <w:rsid w:val="008A1A99"/>
    <w:rsid w:val="008A1CC6"/>
    <w:rsid w:val="008A1CCF"/>
    <w:rsid w:val="008A1F92"/>
    <w:rsid w:val="008A2034"/>
    <w:rsid w:val="008A267A"/>
    <w:rsid w:val="008A2C8D"/>
    <w:rsid w:val="008A300E"/>
    <w:rsid w:val="008A31A7"/>
    <w:rsid w:val="008A3303"/>
    <w:rsid w:val="008A476F"/>
    <w:rsid w:val="008A4932"/>
    <w:rsid w:val="008A5505"/>
    <w:rsid w:val="008A5715"/>
    <w:rsid w:val="008A5DBA"/>
    <w:rsid w:val="008A65E5"/>
    <w:rsid w:val="008A692A"/>
    <w:rsid w:val="008A6D03"/>
    <w:rsid w:val="008A6D89"/>
    <w:rsid w:val="008A7075"/>
    <w:rsid w:val="008A757F"/>
    <w:rsid w:val="008A795E"/>
    <w:rsid w:val="008A7A7F"/>
    <w:rsid w:val="008B0488"/>
    <w:rsid w:val="008B0639"/>
    <w:rsid w:val="008B0BB1"/>
    <w:rsid w:val="008B0C90"/>
    <w:rsid w:val="008B0DA9"/>
    <w:rsid w:val="008B1FD2"/>
    <w:rsid w:val="008B21BE"/>
    <w:rsid w:val="008B226D"/>
    <w:rsid w:val="008B2694"/>
    <w:rsid w:val="008B2D3D"/>
    <w:rsid w:val="008B351B"/>
    <w:rsid w:val="008B35A1"/>
    <w:rsid w:val="008B4280"/>
    <w:rsid w:val="008B42CE"/>
    <w:rsid w:val="008B42F6"/>
    <w:rsid w:val="008B437C"/>
    <w:rsid w:val="008B44F1"/>
    <w:rsid w:val="008B4667"/>
    <w:rsid w:val="008B4A51"/>
    <w:rsid w:val="008B4D64"/>
    <w:rsid w:val="008B4D6A"/>
    <w:rsid w:val="008B52B2"/>
    <w:rsid w:val="008B5BB2"/>
    <w:rsid w:val="008B5F50"/>
    <w:rsid w:val="008B6BFC"/>
    <w:rsid w:val="008B7214"/>
    <w:rsid w:val="008B72B7"/>
    <w:rsid w:val="008B7351"/>
    <w:rsid w:val="008B7916"/>
    <w:rsid w:val="008C0101"/>
    <w:rsid w:val="008C10A5"/>
    <w:rsid w:val="008C1374"/>
    <w:rsid w:val="008C1CB9"/>
    <w:rsid w:val="008C1F0E"/>
    <w:rsid w:val="008C262B"/>
    <w:rsid w:val="008C2F26"/>
    <w:rsid w:val="008C3162"/>
    <w:rsid w:val="008C31B5"/>
    <w:rsid w:val="008C32E2"/>
    <w:rsid w:val="008C3454"/>
    <w:rsid w:val="008C3476"/>
    <w:rsid w:val="008C3937"/>
    <w:rsid w:val="008C3A46"/>
    <w:rsid w:val="008C3BBF"/>
    <w:rsid w:val="008C3CDD"/>
    <w:rsid w:val="008C3F30"/>
    <w:rsid w:val="008C4062"/>
    <w:rsid w:val="008C472F"/>
    <w:rsid w:val="008C4B36"/>
    <w:rsid w:val="008C4FF1"/>
    <w:rsid w:val="008C51E3"/>
    <w:rsid w:val="008C54CD"/>
    <w:rsid w:val="008C5B77"/>
    <w:rsid w:val="008C5E1F"/>
    <w:rsid w:val="008C5E5B"/>
    <w:rsid w:val="008C667A"/>
    <w:rsid w:val="008C744B"/>
    <w:rsid w:val="008C7559"/>
    <w:rsid w:val="008C7813"/>
    <w:rsid w:val="008D00A8"/>
    <w:rsid w:val="008D04BF"/>
    <w:rsid w:val="008D0705"/>
    <w:rsid w:val="008D0A1B"/>
    <w:rsid w:val="008D0C4E"/>
    <w:rsid w:val="008D1500"/>
    <w:rsid w:val="008D1E38"/>
    <w:rsid w:val="008D1EC7"/>
    <w:rsid w:val="008D24DE"/>
    <w:rsid w:val="008D2511"/>
    <w:rsid w:val="008D29E1"/>
    <w:rsid w:val="008D2A57"/>
    <w:rsid w:val="008D2ACF"/>
    <w:rsid w:val="008D2F6C"/>
    <w:rsid w:val="008D40D2"/>
    <w:rsid w:val="008D414E"/>
    <w:rsid w:val="008D426D"/>
    <w:rsid w:val="008D43AB"/>
    <w:rsid w:val="008D5153"/>
    <w:rsid w:val="008D52E1"/>
    <w:rsid w:val="008D57EC"/>
    <w:rsid w:val="008D5B45"/>
    <w:rsid w:val="008D5EDB"/>
    <w:rsid w:val="008D624E"/>
    <w:rsid w:val="008D6BA9"/>
    <w:rsid w:val="008D6D3E"/>
    <w:rsid w:val="008D75E9"/>
    <w:rsid w:val="008D7607"/>
    <w:rsid w:val="008D778E"/>
    <w:rsid w:val="008D79BC"/>
    <w:rsid w:val="008D7B12"/>
    <w:rsid w:val="008E05F1"/>
    <w:rsid w:val="008E0F6E"/>
    <w:rsid w:val="008E1348"/>
    <w:rsid w:val="008E1BAF"/>
    <w:rsid w:val="008E2301"/>
    <w:rsid w:val="008E3851"/>
    <w:rsid w:val="008E41F5"/>
    <w:rsid w:val="008E4941"/>
    <w:rsid w:val="008E567F"/>
    <w:rsid w:val="008E6328"/>
    <w:rsid w:val="008E6612"/>
    <w:rsid w:val="008E6839"/>
    <w:rsid w:val="008E6CE0"/>
    <w:rsid w:val="008E7866"/>
    <w:rsid w:val="008E7B3F"/>
    <w:rsid w:val="008F073D"/>
    <w:rsid w:val="008F0D33"/>
    <w:rsid w:val="008F0D6D"/>
    <w:rsid w:val="008F123E"/>
    <w:rsid w:val="008F16C6"/>
    <w:rsid w:val="008F16DE"/>
    <w:rsid w:val="008F175B"/>
    <w:rsid w:val="008F1846"/>
    <w:rsid w:val="008F1AB9"/>
    <w:rsid w:val="008F1C1C"/>
    <w:rsid w:val="008F24EE"/>
    <w:rsid w:val="008F2835"/>
    <w:rsid w:val="008F29FD"/>
    <w:rsid w:val="008F2B12"/>
    <w:rsid w:val="008F2F8F"/>
    <w:rsid w:val="008F32F3"/>
    <w:rsid w:val="008F348A"/>
    <w:rsid w:val="008F349D"/>
    <w:rsid w:val="008F38EC"/>
    <w:rsid w:val="008F39E6"/>
    <w:rsid w:val="008F3C10"/>
    <w:rsid w:val="008F3F8A"/>
    <w:rsid w:val="008F40E3"/>
    <w:rsid w:val="008F429B"/>
    <w:rsid w:val="008F5339"/>
    <w:rsid w:val="008F5942"/>
    <w:rsid w:val="008F643B"/>
    <w:rsid w:val="008F65CB"/>
    <w:rsid w:val="008F65EA"/>
    <w:rsid w:val="008F6756"/>
    <w:rsid w:val="008F6937"/>
    <w:rsid w:val="008F6A2B"/>
    <w:rsid w:val="008F6A70"/>
    <w:rsid w:val="008F6D31"/>
    <w:rsid w:val="008F73F5"/>
    <w:rsid w:val="008F7815"/>
    <w:rsid w:val="008F7BBA"/>
    <w:rsid w:val="008F7F1D"/>
    <w:rsid w:val="00900B8D"/>
    <w:rsid w:val="00900D0C"/>
    <w:rsid w:val="00900D85"/>
    <w:rsid w:val="00900E10"/>
    <w:rsid w:val="009014C9"/>
    <w:rsid w:val="0090152D"/>
    <w:rsid w:val="009015C5"/>
    <w:rsid w:val="009016E6"/>
    <w:rsid w:val="00901CC4"/>
    <w:rsid w:val="0090201D"/>
    <w:rsid w:val="009024D1"/>
    <w:rsid w:val="00902A0C"/>
    <w:rsid w:val="00902D3B"/>
    <w:rsid w:val="00902D4A"/>
    <w:rsid w:val="00902FDA"/>
    <w:rsid w:val="009032A4"/>
    <w:rsid w:val="0090357B"/>
    <w:rsid w:val="0090370E"/>
    <w:rsid w:val="00903723"/>
    <w:rsid w:val="00903AC8"/>
    <w:rsid w:val="009047FD"/>
    <w:rsid w:val="0090482B"/>
    <w:rsid w:val="0090483E"/>
    <w:rsid w:val="00905084"/>
    <w:rsid w:val="0090539C"/>
    <w:rsid w:val="009055A0"/>
    <w:rsid w:val="00905D6C"/>
    <w:rsid w:val="00906AAE"/>
    <w:rsid w:val="0090785C"/>
    <w:rsid w:val="0091093D"/>
    <w:rsid w:val="00910B34"/>
    <w:rsid w:val="00910C56"/>
    <w:rsid w:val="00910CF3"/>
    <w:rsid w:val="00911190"/>
    <w:rsid w:val="00911298"/>
    <w:rsid w:val="00911308"/>
    <w:rsid w:val="009114C4"/>
    <w:rsid w:val="00911DC9"/>
    <w:rsid w:val="009133DD"/>
    <w:rsid w:val="009134FC"/>
    <w:rsid w:val="00913771"/>
    <w:rsid w:val="009138FC"/>
    <w:rsid w:val="00913A44"/>
    <w:rsid w:val="00915082"/>
    <w:rsid w:val="009152C7"/>
    <w:rsid w:val="00915418"/>
    <w:rsid w:val="00915512"/>
    <w:rsid w:val="00915E7A"/>
    <w:rsid w:val="00916089"/>
    <w:rsid w:val="00916124"/>
    <w:rsid w:val="009168EF"/>
    <w:rsid w:val="0091698B"/>
    <w:rsid w:val="00916C06"/>
    <w:rsid w:val="00916EEA"/>
    <w:rsid w:val="0091709D"/>
    <w:rsid w:val="00917D08"/>
    <w:rsid w:val="00920673"/>
    <w:rsid w:val="00920AF1"/>
    <w:rsid w:val="0092125D"/>
    <w:rsid w:val="0092131B"/>
    <w:rsid w:val="00921336"/>
    <w:rsid w:val="00921747"/>
    <w:rsid w:val="0092194A"/>
    <w:rsid w:val="00923154"/>
    <w:rsid w:val="00923DE8"/>
    <w:rsid w:val="00924642"/>
    <w:rsid w:val="00924863"/>
    <w:rsid w:val="00924BD6"/>
    <w:rsid w:val="00924E39"/>
    <w:rsid w:val="00924F3D"/>
    <w:rsid w:val="0092519A"/>
    <w:rsid w:val="00925F82"/>
    <w:rsid w:val="0092680D"/>
    <w:rsid w:val="00927A35"/>
    <w:rsid w:val="00927B41"/>
    <w:rsid w:val="009303B7"/>
    <w:rsid w:val="00931001"/>
    <w:rsid w:val="0093124B"/>
    <w:rsid w:val="009314E1"/>
    <w:rsid w:val="009319F3"/>
    <w:rsid w:val="00931C80"/>
    <w:rsid w:val="00931E85"/>
    <w:rsid w:val="00932135"/>
    <w:rsid w:val="00932518"/>
    <w:rsid w:val="00933792"/>
    <w:rsid w:val="00933C77"/>
    <w:rsid w:val="00933FD9"/>
    <w:rsid w:val="00934880"/>
    <w:rsid w:val="00934B67"/>
    <w:rsid w:val="00934F4D"/>
    <w:rsid w:val="00935F11"/>
    <w:rsid w:val="009366C0"/>
    <w:rsid w:val="00936A22"/>
    <w:rsid w:val="00936D89"/>
    <w:rsid w:val="00937442"/>
    <w:rsid w:val="009374B6"/>
    <w:rsid w:val="0093767B"/>
    <w:rsid w:val="00937B7C"/>
    <w:rsid w:val="00940404"/>
    <w:rsid w:val="0094070D"/>
    <w:rsid w:val="00940B90"/>
    <w:rsid w:val="00940C21"/>
    <w:rsid w:val="009418F8"/>
    <w:rsid w:val="00941F7B"/>
    <w:rsid w:val="009425E4"/>
    <w:rsid w:val="009426AA"/>
    <w:rsid w:val="00942BFF"/>
    <w:rsid w:val="009438D9"/>
    <w:rsid w:val="009439D3"/>
    <w:rsid w:val="00943A65"/>
    <w:rsid w:val="00944011"/>
    <w:rsid w:val="00944205"/>
    <w:rsid w:val="0094616B"/>
    <w:rsid w:val="009468E0"/>
    <w:rsid w:val="00947815"/>
    <w:rsid w:val="00947A2D"/>
    <w:rsid w:val="009504A4"/>
    <w:rsid w:val="009504A7"/>
    <w:rsid w:val="00950770"/>
    <w:rsid w:val="009514EB"/>
    <w:rsid w:val="0095158F"/>
    <w:rsid w:val="00951C71"/>
    <w:rsid w:val="009523F6"/>
    <w:rsid w:val="00952705"/>
    <w:rsid w:val="0095344F"/>
    <w:rsid w:val="009536EA"/>
    <w:rsid w:val="00953AA5"/>
    <w:rsid w:val="009546E4"/>
    <w:rsid w:val="00954EE0"/>
    <w:rsid w:val="00955A05"/>
    <w:rsid w:val="00955EF5"/>
    <w:rsid w:val="009564BF"/>
    <w:rsid w:val="009564D9"/>
    <w:rsid w:val="00956759"/>
    <w:rsid w:val="00956896"/>
    <w:rsid w:val="00957600"/>
    <w:rsid w:val="00961AAB"/>
    <w:rsid w:val="00961C28"/>
    <w:rsid w:val="00962952"/>
    <w:rsid w:val="00962D47"/>
    <w:rsid w:val="009630F0"/>
    <w:rsid w:val="00963452"/>
    <w:rsid w:val="0096373D"/>
    <w:rsid w:val="00963BB9"/>
    <w:rsid w:val="00963D68"/>
    <w:rsid w:val="0096409F"/>
    <w:rsid w:val="0096465A"/>
    <w:rsid w:val="00964682"/>
    <w:rsid w:val="00965090"/>
    <w:rsid w:val="0096511A"/>
    <w:rsid w:val="009652BD"/>
    <w:rsid w:val="00965432"/>
    <w:rsid w:val="00965614"/>
    <w:rsid w:val="009661CF"/>
    <w:rsid w:val="0096620A"/>
    <w:rsid w:val="009663F4"/>
    <w:rsid w:val="00966CCF"/>
    <w:rsid w:val="00966EA7"/>
    <w:rsid w:val="0096707B"/>
    <w:rsid w:val="009671DF"/>
    <w:rsid w:val="0096797C"/>
    <w:rsid w:val="00967C4D"/>
    <w:rsid w:val="00970011"/>
    <w:rsid w:val="009702CA"/>
    <w:rsid w:val="00970801"/>
    <w:rsid w:val="00970A19"/>
    <w:rsid w:val="00970A3B"/>
    <w:rsid w:val="00970D04"/>
    <w:rsid w:val="00970E26"/>
    <w:rsid w:val="00970F4F"/>
    <w:rsid w:val="00971218"/>
    <w:rsid w:val="00971241"/>
    <w:rsid w:val="00971AC5"/>
    <w:rsid w:val="009728D7"/>
    <w:rsid w:val="00972E77"/>
    <w:rsid w:val="00972E9C"/>
    <w:rsid w:val="00973393"/>
    <w:rsid w:val="00973675"/>
    <w:rsid w:val="00973DC7"/>
    <w:rsid w:val="00974027"/>
    <w:rsid w:val="00974713"/>
    <w:rsid w:val="00975071"/>
    <w:rsid w:val="00975294"/>
    <w:rsid w:val="009758E0"/>
    <w:rsid w:val="00976188"/>
    <w:rsid w:val="009767B2"/>
    <w:rsid w:val="00976BF1"/>
    <w:rsid w:val="00976F50"/>
    <w:rsid w:val="00977262"/>
    <w:rsid w:val="00977305"/>
    <w:rsid w:val="0098000C"/>
    <w:rsid w:val="00980344"/>
    <w:rsid w:val="009803D7"/>
    <w:rsid w:val="0098070A"/>
    <w:rsid w:val="0098074D"/>
    <w:rsid w:val="009807FA"/>
    <w:rsid w:val="00980D40"/>
    <w:rsid w:val="009812F5"/>
    <w:rsid w:val="00981E7B"/>
    <w:rsid w:val="00982239"/>
    <w:rsid w:val="009829C5"/>
    <w:rsid w:val="00982E6F"/>
    <w:rsid w:val="00983050"/>
    <w:rsid w:val="00983304"/>
    <w:rsid w:val="00983351"/>
    <w:rsid w:val="00984010"/>
    <w:rsid w:val="009844F6"/>
    <w:rsid w:val="00984897"/>
    <w:rsid w:val="00984B9D"/>
    <w:rsid w:val="00984D89"/>
    <w:rsid w:val="00984DAD"/>
    <w:rsid w:val="00984E0D"/>
    <w:rsid w:val="009856B0"/>
    <w:rsid w:val="0098591D"/>
    <w:rsid w:val="00985C75"/>
    <w:rsid w:val="00986056"/>
    <w:rsid w:val="0098605B"/>
    <w:rsid w:val="009861D1"/>
    <w:rsid w:val="009862BC"/>
    <w:rsid w:val="00986477"/>
    <w:rsid w:val="009864C4"/>
    <w:rsid w:val="00986DE9"/>
    <w:rsid w:val="00986F2D"/>
    <w:rsid w:val="00987058"/>
    <w:rsid w:val="009870AD"/>
    <w:rsid w:val="00987158"/>
    <w:rsid w:val="009874C3"/>
    <w:rsid w:val="009905DC"/>
    <w:rsid w:val="00990784"/>
    <w:rsid w:val="00990C82"/>
    <w:rsid w:val="009920C6"/>
    <w:rsid w:val="009923F8"/>
    <w:rsid w:val="009924A4"/>
    <w:rsid w:val="009928DA"/>
    <w:rsid w:val="00992BA0"/>
    <w:rsid w:val="00992C83"/>
    <w:rsid w:val="00992E28"/>
    <w:rsid w:val="00992ED9"/>
    <w:rsid w:val="009931A0"/>
    <w:rsid w:val="009936B2"/>
    <w:rsid w:val="00993847"/>
    <w:rsid w:val="009938A9"/>
    <w:rsid w:val="00993C46"/>
    <w:rsid w:val="00993D01"/>
    <w:rsid w:val="00993F88"/>
    <w:rsid w:val="00994708"/>
    <w:rsid w:val="0099485F"/>
    <w:rsid w:val="00995036"/>
    <w:rsid w:val="00995DB2"/>
    <w:rsid w:val="0099776B"/>
    <w:rsid w:val="00997AEE"/>
    <w:rsid w:val="00997F24"/>
    <w:rsid w:val="009A038A"/>
    <w:rsid w:val="009A06D7"/>
    <w:rsid w:val="009A0E98"/>
    <w:rsid w:val="009A1117"/>
    <w:rsid w:val="009A1266"/>
    <w:rsid w:val="009A1DCE"/>
    <w:rsid w:val="009A2A24"/>
    <w:rsid w:val="009A31BF"/>
    <w:rsid w:val="009A3228"/>
    <w:rsid w:val="009A36AB"/>
    <w:rsid w:val="009A3C9A"/>
    <w:rsid w:val="009A430F"/>
    <w:rsid w:val="009A5359"/>
    <w:rsid w:val="009A5410"/>
    <w:rsid w:val="009A5422"/>
    <w:rsid w:val="009A6578"/>
    <w:rsid w:val="009A685C"/>
    <w:rsid w:val="009A6870"/>
    <w:rsid w:val="009A69F3"/>
    <w:rsid w:val="009A6D0E"/>
    <w:rsid w:val="009A6D2B"/>
    <w:rsid w:val="009A6EA6"/>
    <w:rsid w:val="009A7426"/>
    <w:rsid w:val="009A7494"/>
    <w:rsid w:val="009A7CF5"/>
    <w:rsid w:val="009A7F04"/>
    <w:rsid w:val="009A7F21"/>
    <w:rsid w:val="009B0357"/>
    <w:rsid w:val="009B0664"/>
    <w:rsid w:val="009B06D5"/>
    <w:rsid w:val="009B085C"/>
    <w:rsid w:val="009B0B2E"/>
    <w:rsid w:val="009B1BA6"/>
    <w:rsid w:val="009B1D2B"/>
    <w:rsid w:val="009B1DC2"/>
    <w:rsid w:val="009B1DDE"/>
    <w:rsid w:val="009B3589"/>
    <w:rsid w:val="009B358B"/>
    <w:rsid w:val="009B38C9"/>
    <w:rsid w:val="009B39B1"/>
    <w:rsid w:val="009B4E1D"/>
    <w:rsid w:val="009B4E38"/>
    <w:rsid w:val="009B4E7E"/>
    <w:rsid w:val="009B4ECB"/>
    <w:rsid w:val="009B5598"/>
    <w:rsid w:val="009B5746"/>
    <w:rsid w:val="009B5B27"/>
    <w:rsid w:val="009B5ED8"/>
    <w:rsid w:val="009B7268"/>
    <w:rsid w:val="009B7CA2"/>
    <w:rsid w:val="009B7DE0"/>
    <w:rsid w:val="009C00BF"/>
    <w:rsid w:val="009C012E"/>
    <w:rsid w:val="009C085D"/>
    <w:rsid w:val="009C114C"/>
    <w:rsid w:val="009C1E2D"/>
    <w:rsid w:val="009C2CEB"/>
    <w:rsid w:val="009C2FAA"/>
    <w:rsid w:val="009C3574"/>
    <w:rsid w:val="009C37C3"/>
    <w:rsid w:val="009C3F82"/>
    <w:rsid w:val="009C40DC"/>
    <w:rsid w:val="009C488B"/>
    <w:rsid w:val="009C4C99"/>
    <w:rsid w:val="009C58D2"/>
    <w:rsid w:val="009C59DA"/>
    <w:rsid w:val="009C5B4A"/>
    <w:rsid w:val="009C60A5"/>
    <w:rsid w:val="009C60D5"/>
    <w:rsid w:val="009C6C07"/>
    <w:rsid w:val="009C6C7E"/>
    <w:rsid w:val="009C7240"/>
    <w:rsid w:val="009C74C3"/>
    <w:rsid w:val="009C79D6"/>
    <w:rsid w:val="009C7B25"/>
    <w:rsid w:val="009C7EC5"/>
    <w:rsid w:val="009D0E1B"/>
    <w:rsid w:val="009D0FC6"/>
    <w:rsid w:val="009D154F"/>
    <w:rsid w:val="009D16D0"/>
    <w:rsid w:val="009D245A"/>
    <w:rsid w:val="009D2A09"/>
    <w:rsid w:val="009D2F7A"/>
    <w:rsid w:val="009D32CE"/>
    <w:rsid w:val="009D34CF"/>
    <w:rsid w:val="009D3633"/>
    <w:rsid w:val="009D38FD"/>
    <w:rsid w:val="009D4175"/>
    <w:rsid w:val="009D432B"/>
    <w:rsid w:val="009D4352"/>
    <w:rsid w:val="009D4400"/>
    <w:rsid w:val="009D49EB"/>
    <w:rsid w:val="009D54E1"/>
    <w:rsid w:val="009D5708"/>
    <w:rsid w:val="009D5CB4"/>
    <w:rsid w:val="009D5CC6"/>
    <w:rsid w:val="009D60A4"/>
    <w:rsid w:val="009D61A8"/>
    <w:rsid w:val="009D61DB"/>
    <w:rsid w:val="009D6898"/>
    <w:rsid w:val="009D6A80"/>
    <w:rsid w:val="009D6E43"/>
    <w:rsid w:val="009D6F0E"/>
    <w:rsid w:val="009D76B7"/>
    <w:rsid w:val="009E0193"/>
    <w:rsid w:val="009E0382"/>
    <w:rsid w:val="009E11B8"/>
    <w:rsid w:val="009E1CBD"/>
    <w:rsid w:val="009E2FED"/>
    <w:rsid w:val="009E3965"/>
    <w:rsid w:val="009E4096"/>
    <w:rsid w:val="009E5328"/>
    <w:rsid w:val="009E548E"/>
    <w:rsid w:val="009E5757"/>
    <w:rsid w:val="009E5B81"/>
    <w:rsid w:val="009E5BFE"/>
    <w:rsid w:val="009E5C4A"/>
    <w:rsid w:val="009E611E"/>
    <w:rsid w:val="009E649E"/>
    <w:rsid w:val="009E6DD0"/>
    <w:rsid w:val="009E75C5"/>
    <w:rsid w:val="009E7724"/>
    <w:rsid w:val="009E7C45"/>
    <w:rsid w:val="009F00DF"/>
    <w:rsid w:val="009F08BE"/>
    <w:rsid w:val="009F0AD5"/>
    <w:rsid w:val="009F0FEF"/>
    <w:rsid w:val="009F127F"/>
    <w:rsid w:val="009F13E8"/>
    <w:rsid w:val="009F1ADA"/>
    <w:rsid w:val="009F2A89"/>
    <w:rsid w:val="009F2AC7"/>
    <w:rsid w:val="009F3427"/>
    <w:rsid w:val="009F3657"/>
    <w:rsid w:val="009F3DCC"/>
    <w:rsid w:val="009F3DD0"/>
    <w:rsid w:val="009F4939"/>
    <w:rsid w:val="009F4BB9"/>
    <w:rsid w:val="009F4CC7"/>
    <w:rsid w:val="009F6301"/>
    <w:rsid w:val="009F6539"/>
    <w:rsid w:val="009F658D"/>
    <w:rsid w:val="009F65D8"/>
    <w:rsid w:val="009F7133"/>
    <w:rsid w:val="009F725E"/>
    <w:rsid w:val="009F73D0"/>
    <w:rsid w:val="009F7838"/>
    <w:rsid w:val="009F7DFC"/>
    <w:rsid w:val="00A000B2"/>
    <w:rsid w:val="00A000F6"/>
    <w:rsid w:val="00A003B6"/>
    <w:rsid w:val="00A005C4"/>
    <w:rsid w:val="00A0069B"/>
    <w:rsid w:val="00A00C45"/>
    <w:rsid w:val="00A019EC"/>
    <w:rsid w:val="00A01AEE"/>
    <w:rsid w:val="00A01B8F"/>
    <w:rsid w:val="00A01D7A"/>
    <w:rsid w:val="00A01F76"/>
    <w:rsid w:val="00A02381"/>
    <w:rsid w:val="00A028F8"/>
    <w:rsid w:val="00A02BB9"/>
    <w:rsid w:val="00A02C49"/>
    <w:rsid w:val="00A03018"/>
    <w:rsid w:val="00A03863"/>
    <w:rsid w:val="00A03D5A"/>
    <w:rsid w:val="00A04171"/>
    <w:rsid w:val="00A05177"/>
    <w:rsid w:val="00A053D4"/>
    <w:rsid w:val="00A0596E"/>
    <w:rsid w:val="00A05A6B"/>
    <w:rsid w:val="00A05B77"/>
    <w:rsid w:val="00A0693C"/>
    <w:rsid w:val="00A06BF9"/>
    <w:rsid w:val="00A06EBA"/>
    <w:rsid w:val="00A072A0"/>
    <w:rsid w:val="00A072D4"/>
    <w:rsid w:val="00A07558"/>
    <w:rsid w:val="00A07B4A"/>
    <w:rsid w:val="00A104ED"/>
    <w:rsid w:val="00A10690"/>
    <w:rsid w:val="00A10F0B"/>
    <w:rsid w:val="00A10F39"/>
    <w:rsid w:val="00A11466"/>
    <w:rsid w:val="00A114DE"/>
    <w:rsid w:val="00A11701"/>
    <w:rsid w:val="00A11A31"/>
    <w:rsid w:val="00A11B72"/>
    <w:rsid w:val="00A120FB"/>
    <w:rsid w:val="00A124BE"/>
    <w:rsid w:val="00A1253A"/>
    <w:rsid w:val="00A1276A"/>
    <w:rsid w:val="00A130D2"/>
    <w:rsid w:val="00A13858"/>
    <w:rsid w:val="00A13EAE"/>
    <w:rsid w:val="00A1424A"/>
    <w:rsid w:val="00A14B20"/>
    <w:rsid w:val="00A15593"/>
    <w:rsid w:val="00A155CD"/>
    <w:rsid w:val="00A168BF"/>
    <w:rsid w:val="00A16DE5"/>
    <w:rsid w:val="00A175E2"/>
    <w:rsid w:val="00A17B4E"/>
    <w:rsid w:val="00A2029A"/>
    <w:rsid w:val="00A20BA0"/>
    <w:rsid w:val="00A21708"/>
    <w:rsid w:val="00A22B82"/>
    <w:rsid w:val="00A22C71"/>
    <w:rsid w:val="00A247C9"/>
    <w:rsid w:val="00A24CC6"/>
    <w:rsid w:val="00A24FD4"/>
    <w:rsid w:val="00A258C7"/>
    <w:rsid w:val="00A26598"/>
    <w:rsid w:val="00A26D4B"/>
    <w:rsid w:val="00A277AC"/>
    <w:rsid w:val="00A3001A"/>
    <w:rsid w:val="00A30765"/>
    <w:rsid w:val="00A3183D"/>
    <w:rsid w:val="00A31CF8"/>
    <w:rsid w:val="00A32820"/>
    <w:rsid w:val="00A32C0A"/>
    <w:rsid w:val="00A32F68"/>
    <w:rsid w:val="00A33147"/>
    <w:rsid w:val="00A33210"/>
    <w:rsid w:val="00A33726"/>
    <w:rsid w:val="00A33BF8"/>
    <w:rsid w:val="00A33DC3"/>
    <w:rsid w:val="00A33F89"/>
    <w:rsid w:val="00A3480D"/>
    <w:rsid w:val="00A34AC9"/>
    <w:rsid w:val="00A3564A"/>
    <w:rsid w:val="00A35A6D"/>
    <w:rsid w:val="00A3608F"/>
    <w:rsid w:val="00A360FC"/>
    <w:rsid w:val="00A363A6"/>
    <w:rsid w:val="00A3677E"/>
    <w:rsid w:val="00A36A9A"/>
    <w:rsid w:val="00A36C93"/>
    <w:rsid w:val="00A36F9E"/>
    <w:rsid w:val="00A371F0"/>
    <w:rsid w:val="00A372C1"/>
    <w:rsid w:val="00A377C7"/>
    <w:rsid w:val="00A4022E"/>
    <w:rsid w:val="00A407D6"/>
    <w:rsid w:val="00A407DA"/>
    <w:rsid w:val="00A41878"/>
    <w:rsid w:val="00A423D8"/>
    <w:rsid w:val="00A424BD"/>
    <w:rsid w:val="00A42AE0"/>
    <w:rsid w:val="00A42C2B"/>
    <w:rsid w:val="00A4335A"/>
    <w:rsid w:val="00A43A94"/>
    <w:rsid w:val="00A43B84"/>
    <w:rsid w:val="00A4430E"/>
    <w:rsid w:val="00A44597"/>
    <w:rsid w:val="00A44D7A"/>
    <w:rsid w:val="00A44EF0"/>
    <w:rsid w:val="00A44F07"/>
    <w:rsid w:val="00A45E3B"/>
    <w:rsid w:val="00A46335"/>
    <w:rsid w:val="00A46553"/>
    <w:rsid w:val="00A4660A"/>
    <w:rsid w:val="00A4672E"/>
    <w:rsid w:val="00A46C26"/>
    <w:rsid w:val="00A470E2"/>
    <w:rsid w:val="00A47266"/>
    <w:rsid w:val="00A47707"/>
    <w:rsid w:val="00A505D0"/>
    <w:rsid w:val="00A5074F"/>
    <w:rsid w:val="00A507D6"/>
    <w:rsid w:val="00A50A53"/>
    <w:rsid w:val="00A5137A"/>
    <w:rsid w:val="00A514BE"/>
    <w:rsid w:val="00A51747"/>
    <w:rsid w:val="00A51CFC"/>
    <w:rsid w:val="00A526B4"/>
    <w:rsid w:val="00A5278A"/>
    <w:rsid w:val="00A529AB"/>
    <w:rsid w:val="00A53469"/>
    <w:rsid w:val="00A534B6"/>
    <w:rsid w:val="00A53990"/>
    <w:rsid w:val="00A54775"/>
    <w:rsid w:val="00A54C39"/>
    <w:rsid w:val="00A54ED7"/>
    <w:rsid w:val="00A552AF"/>
    <w:rsid w:val="00A5538A"/>
    <w:rsid w:val="00A5545C"/>
    <w:rsid w:val="00A55C09"/>
    <w:rsid w:val="00A55CC3"/>
    <w:rsid w:val="00A55D22"/>
    <w:rsid w:val="00A55EB0"/>
    <w:rsid w:val="00A55FEB"/>
    <w:rsid w:val="00A5654D"/>
    <w:rsid w:val="00A5663E"/>
    <w:rsid w:val="00A569D3"/>
    <w:rsid w:val="00A56ECD"/>
    <w:rsid w:val="00A571E3"/>
    <w:rsid w:val="00A57215"/>
    <w:rsid w:val="00A57C14"/>
    <w:rsid w:val="00A57CAC"/>
    <w:rsid w:val="00A57E95"/>
    <w:rsid w:val="00A6035E"/>
    <w:rsid w:val="00A60691"/>
    <w:rsid w:val="00A6098F"/>
    <w:rsid w:val="00A60ED2"/>
    <w:rsid w:val="00A610F1"/>
    <w:rsid w:val="00A614FF"/>
    <w:rsid w:val="00A616FA"/>
    <w:rsid w:val="00A62369"/>
    <w:rsid w:val="00A627E7"/>
    <w:rsid w:val="00A63B6F"/>
    <w:rsid w:val="00A64485"/>
    <w:rsid w:val="00A64AE0"/>
    <w:rsid w:val="00A652E4"/>
    <w:rsid w:val="00A65720"/>
    <w:rsid w:val="00A658AD"/>
    <w:rsid w:val="00A65960"/>
    <w:rsid w:val="00A661BF"/>
    <w:rsid w:val="00A666CB"/>
    <w:rsid w:val="00A66757"/>
    <w:rsid w:val="00A705EE"/>
    <w:rsid w:val="00A71266"/>
    <w:rsid w:val="00A712C0"/>
    <w:rsid w:val="00A7142B"/>
    <w:rsid w:val="00A714AC"/>
    <w:rsid w:val="00A719A6"/>
    <w:rsid w:val="00A71B39"/>
    <w:rsid w:val="00A71D96"/>
    <w:rsid w:val="00A71FD3"/>
    <w:rsid w:val="00A72149"/>
    <w:rsid w:val="00A7251E"/>
    <w:rsid w:val="00A7258A"/>
    <w:rsid w:val="00A7277B"/>
    <w:rsid w:val="00A728AC"/>
    <w:rsid w:val="00A72C3A"/>
    <w:rsid w:val="00A72C6E"/>
    <w:rsid w:val="00A72F75"/>
    <w:rsid w:val="00A7392F"/>
    <w:rsid w:val="00A743FC"/>
    <w:rsid w:val="00A75036"/>
    <w:rsid w:val="00A75963"/>
    <w:rsid w:val="00A7619C"/>
    <w:rsid w:val="00A762C6"/>
    <w:rsid w:val="00A766CC"/>
    <w:rsid w:val="00A76DEA"/>
    <w:rsid w:val="00A80580"/>
    <w:rsid w:val="00A80848"/>
    <w:rsid w:val="00A80B34"/>
    <w:rsid w:val="00A816C3"/>
    <w:rsid w:val="00A819A1"/>
    <w:rsid w:val="00A81BAD"/>
    <w:rsid w:val="00A823B5"/>
    <w:rsid w:val="00A82666"/>
    <w:rsid w:val="00A8298C"/>
    <w:rsid w:val="00A82D42"/>
    <w:rsid w:val="00A82F0B"/>
    <w:rsid w:val="00A83D72"/>
    <w:rsid w:val="00A83FB8"/>
    <w:rsid w:val="00A849B6"/>
    <w:rsid w:val="00A84CB1"/>
    <w:rsid w:val="00A84E17"/>
    <w:rsid w:val="00A85232"/>
    <w:rsid w:val="00A85361"/>
    <w:rsid w:val="00A857AB"/>
    <w:rsid w:val="00A8580B"/>
    <w:rsid w:val="00A86191"/>
    <w:rsid w:val="00A86C9B"/>
    <w:rsid w:val="00A87435"/>
    <w:rsid w:val="00A877DE"/>
    <w:rsid w:val="00A87CEE"/>
    <w:rsid w:val="00A9017D"/>
    <w:rsid w:val="00A9032A"/>
    <w:rsid w:val="00A90564"/>
    <w:rsid w:val="00A90A0F"/>
    <w:rsid w:val="00A90C48"/>
    <w:rsid w:val="00A90D5F"/>
    <w:rsid w:val="00A912DC"/>
    <w:rsid w:val="00A914AA"/>
    <w:rsid w:val="00A915B4"/>
    <w:rsid w:val="00A92E7B"/>
    <w:rsid w:val="00A93625"/>
    <w:rsid w:val="00A93C21"/>
    <w:rsid w:val="00A93F05"/>
    <w:rsid w:val="00A93F5B"/>
    <w:rsid w:val="00A9412C"/>
    <w:rsid w:val="00A94637"/>
    <w:rsid w:val="00A94925"/>
    <w:rsid w:val="00A94BAB"/>
    <w:rsid w:val="00A95CC7"/>
    <w:rsid w:val="00A96477"/>
    <w:rsid w:val="00A9657E"/>
    <w:rsid w:val="00A965CD"/>
    <w:rsid w:val="00A9710B"/>
    <w:rsid w:val="00A972E1"/>
    <w:rsid w:val="00A977CA"/>
    <w:rsid w:val="00A977D8"/>
    <w:rsid w:val="00A97D32"/>
    <w:rsid w:val="00AA0016"/>
    <w:rsid w:val="00AA01B1"/>
    <w:rsid w:val="00AA0239"/>
    <w:rsid w:val="00AA0737"/>
    <w:rsid w:val="00AA0D28"/>
    <w:rsid w:val="00AA11A1"/>
    <w:rsid w:val="00AA1636"/>
    <w:rsid w:val="00AA16D4"/>
    <w:rsid w:val="00AA1948"/>
    <w:rsid w:val="00AA19ED"/>
    <w:rsid w:val="00AA19FE"/>
    <w:rsid w:val="00AA1CCD"/>
    <w:rsid w:val="00AA1FB5"/>
    <w:rsid w:val="00AA2180"/>
    <w:rsid w:val="00AA241E"/>
    <w:rsid w:val="00AA2BEC"/>
    <w:rsid w:val="00AA2D44"/>
    <w:rsid w:val="00AA352C"/>
    <w:rsid w:val="00AA397F"/>
    <w:rsid w:val="00AA3ACA"/>
    <w:rsid w:val="00AA43F1"/>
    <w:rsid w:val="00AA4441"/>
    <w:rsid w:val="00AA455B"/>
    <w:rsid w:val="00AA45D5"/>
    <w:rsid w:val="00AA54C2"/>
    <w:rsid w:val="00AA55E8"/>
    <w:rsid w:val="00AA5DC9"/>
    <w:rsid w:val="00AA63A7"/>
    <w:rsid w:val="00AA63C6"/>
    <w:rsid w:val="00AA6478"/>
    <w:rsid w:val="00AA652B"/>
    <w:rsid w:val="00AA67C9"/>
    <w:rsid w:val="00AA6BA3"/>
    <w:rsid w:val="00AA74E8"/>
    <w:rsid w:val="00AA7B28"/>
    <w:rsid w:val="00AA7F13"/>
    <w:rsid w:val="00AB0B16"/>
    <w:rsid w:val="00AB0B2C"/>
    <w:rsid w:val="00AB0DC0"/>
    <w:rsid w:val="00AB0DE5"/>
    <w:rsid w:val="00AB0F32"/>
    <w:rsid w:val="00AB1261"/>
    <w:rsid w:val="00AB17E9"/>
    <w:rsid w:val="00AB1802"/>
    <w:rsid w:val="00AB1B04"/>
    <w:rsid w:val="00AB28BA"/>
    <w:rsid w:val="00AB2B4E"/>
    <w:rsid w:val="00AB3AAA"/>
    <w:rsid w:val="00AB3B51"/>
    <w:rsid w:val="00AB3EB5"/>
    <w:rsid w:val="00AB4354"/>
    <w:rsid w:val="00AB495E"/>
    <w:rsid w:val="00AB4996"/>
    <w:rsid w:val="00AB4C0A"/>
    <w:rsid w:val="00AB5643"/>
    <w:rsid w:val="00AB60C3"/>
    <w:rsid w:val="00AB6577"/>
    <w:rsid w:val="00AB73EB"/>
    <w:rsid w:val="00AB7F00"/>
    <w:rsid w:val="00AC0485"/>
    <w:rsid w:val="00AC0549"/>
    <w:rsid w:val="00AC0591"/>
    <w:rsid w:val="00AC05F3"/>
    <w:rsid w:val="00AC08A8"/>
    <w:rsid w:val="00AC0909"/>
    <w:rsid w:val="00AC0974"/>
    <w:rsid w:val="00AC0AF4"/>
    <w:rsid w:val="00AC12C6"/>
    <w:rsid w:val="00AC1561"/>
    <w:rsid w:val="00AC18DB"/>
    <w:rsid w:val="00AC194A"/>
    <w:rsid w:val="00AC1BEA"/>
    <w:rsid w:val="00AC26AB"/>
    <w:rsid w:val="00AC2CFE"/>
    <w:rsid w:val="00AC3948"/>
    <w:rsid w:val="00AC4D44"/>
    <w:rsid w:val="00AC4FDE"/>
    <w:rsid w:val="00AC502A"/>
    <w:rsid w:val="00AC5179"/>
    <w:rsid w:val="00AC5220"/>
    <w:rsid w:val="00AC542A"/>
    <w:rsid w:val="00AC5B48"/>
    <w:rsid w:val="00AC6053"/>
    <w:rsid w:val="00AC6407"/>
    <w:rsid w:val="00AC6B44"/>
    <w:rsid w:val="00AC6D9B"/>
    <w:rsid w:val="00AC6FAE"/>
    <w:rsid w:val="00AC7369"/>
    <w:rsid w:val="00AC79F1"/>
    <w:rsid w:val="00AC7F2D"/>
    <w:rsid w:val="00AC7FFE"/>
    <w:rsid w:val="00AD0309"/>
    <w:rsid w:val="00AD074F"/>
    <w:rsid w:val="00AD07DD"/>
    <w:rsid w:val="00AD0D22"/>
    <w:rsid w:val="00AD10A7"/>
    <w:rsid w:val="00AD10D4"/>
    <w:rsid w:val="00AD140A"/>
    <w:rsid w:val="00AD14F8"/>
    <w:rsid w:val="00AD20CC"/>
    <w:rsid w:val="00AD23B3"/>
    <w:rsid w:val="00AD28A4"/>
    <w:rsid w:val="00AD2956"/>
    <w:rsid w:val="00AD2981"/>
    <w:rsid w:val="00AD2B79"/>
    <w:rsid w:val="00AD34D2"/>
    <w:rsid w:val="00AD355F"/>
    <w:rsid w:val="00AD3810"/>
    <w:rsid w:val="00AD3965"/>
    <w:rsid w:val="00AD39F8"/>
    <w:rsid w:val="00AD3DB2"/>
    <w:rsid w:val="00AD4B00"/>
    <w:rsid w:val="00AD50A2"/>
    <w:rsid w:val="00AD52DD"/>
    <w:rsid w:val="00AD54BE"/>
    <w:rsid w:val="00AD5802"/>
    <w:rsid w:val="00AD5983"/>
    <w:rsid w:val="00AD5A34"/>
    <w:rsid w:val="00AD5BA9"/>
    <w:rsid w:val="00AD6A8A"/>
    <w:rsid w:val="00AD71FB"/>
    <w:rsid w:val="00AD7F23"/>
    <w:rsid w:val="00AD7F2C"/>
    <w:rsid w:val="00AE02B8"/>
    <w:rsid w:val="00AE0505"/>
    <w:rsid w:val="00AE0603"/>
    <w:rsid w:val="00AE0853"/>
    <w:rsid w:val="00AE0FAF"/>
    <w:rsid w:val="00AE1A3B"/>
    <w:rsid w:val="00AE1DCA"/>
    <w:rsid w:val="00AE1EA0"/>
    <w:rsid w:val="00AE273D"/>
    <w:rsid w:val="00AE2A0E"/>
    <w:rsid w:val="00AE3764"/>
    <w:rsid w:val="00AE3934"/>
    <w:rsid w:val="00AE39C8"/>
    <w:rsid w:val="00AE3A6C"/>
    <w:rsid w:val="00AE4A2E"/>
    <w:rsid w:val="00AE4AB2"/>
    <w:rsid w:val="00AE5000"/>
    <w:rsid w:val="00AE50AB"/>
    <w:rsid w:val="00AE572B"/>
    <w:rsid w:val="00AE5A11"/>
    <w:rsid w:val="00AE5CB3"/>
    <w:rsid w:val="00AE5CD1"/>
    <w:rsid w:val="00AE6212"/>
    <w:rsid w:val="00AE6674"/>
    <w:rsid w:val="00AE6D67"/>
    <w:rsid w:val="00AE6DA5"/>
    <w:rsid w:val="00AE7664"/>
    <w:rsid w:val="00AE7AC9"/>
    <w:rsid w:val="00AF061C"/>
    <w:rsid w:val="00AF0C16"/>
    <w:rsid w:val="00AF14D4"/>
    <w:rsid w:val="00AF1B01"/>
    <w:rsid w:val="00AF1B74"/>
    <w:rsid w:val="00AF1ED3"/>
    <w:rsid w:val="00AF1F72"/>
    <w:rsid w:val="00AF27B4"/>
    <w:rsid w:val="00AF2A71"/>
    <w:rsid w:val="00AF2BFD"/>
    <w:rsid w:val="00AF2D92"/>
    <w:rsid w:val="00AF2E9C"/>
    <w:rsid w:val="00AF3129"/>
    <w:rsid w:val="00AF33B6"/>
    <w:rsid w:val="00AF35A5"/>
    <w:rsid w:val="00AF38E9"/>
    <w:rsid w:val="00AF3937"/>
    <w:rsid w:val="00AF45BC"/>
    <w:rsid w:val="00AF4E5B"/>
    <w:rsid w:val="00AF5324"/>
    <w:rsid w:val="00AF533D"/>
    <w:rsid w:val="00AF5412"/>
    <w:rsid w:val="00AF604B"/>
    <w:rsid w:val="00AF61F1"/>
    <w:rsid w:val="00AF63CD"/>
    <w:rsid w:val="00AF6B04"/>
    <w:rsid w:val="00AF6BA8"/>
    <w:rsid w:val="00AF6F0C"/>
    <w:rsid w:val="00AF7358"/>
    <w:rsid w:val="00AF7635"/>
    <w:rsid w:val="00AF797F"/>
    <w:rsid w:val="00AF7A80"/>
    <w:rsid w:val="00B0010A"/>
    <w:rsid w:val="00B00180"/>
    <w:rsid w:val="00B0065B"/>
    <w:rsid w:val="00B006F9"/>
    <w:rsid w:val="00B014B8"/>
    <w:rsid w:val="00B01F3C"/>
    <w:rsid w:val="00B02022"/>
    <w:rsid w:val="00B022A1"/>
    <w:rsid w:val="00B0272C"/>
    <w:rsid w:val="00B02A74"/>
    <w:rsid w:val="00B02B8E"/>
    <w:rsid w:val="00B02E1F"/>
    <w:rsid w:val="00B0349A"/>
    <w:rsid w:val="00B03BFB"/>
    <w:rsid w:val="00B04594"/>
    <w:rsid w:val="00B05395"/>
    <w:rsid w:val="00B053C6"/>
    <w:rsid w:val="00B05446"/>
    <w:rsid w:val="00B05583"/>
    <w:rsid w:val="00B0591A"/>
    <w:rsid w:val="00B05B5F"/>
    <w:rsid w:val="00B05B9C"/>
    <w:rsid w:val="00B06353"/>
    <w:rsid w:val="00B064BF"/>
    <w:rsid w:val="00B06D4E"/>
    <w:rsid w:val="00B07326"/>
    <w:rsid w:val="00B07386"/>
    <w:rsid w:val="00B07D92"/>
    <w:rsid w:val="00B07E80"/>
    <w:rsid w:val="00B07F5F"/>
    <w:rsid w:val="00B10569"/>
    <w:rsid w:val="00B105EF"/>
    <w:rsid w:val="00B1072A"/>
    <w:rsid w:val="00B10C1C"/>
    <w:rsid w:val="00B10F00"/>
    <w:rsid w:val="00B10F13"/>
    <w:rsid w:val="00B116C3"/>
    <w:rsid w:val="00B124E4"/>
    <w:rsid w:val="00B13B68"/>
    <w:rsid w:val="00B13BF3"/>
    <w:rsid w:val="00B13DD4"/>
    <w:rsid w:val="00B14889"/>
    <w:rsid w:val="00B15189"/>
    <w:rsid w:val="00B158D2"/>
    <w:rsid w:val="00B16109"/>
    <w:rsid w:val="00B1623E"/>
    <w:rsid w:val="00B16674"/>
    <w:rsid w:val="00B16722"/>
    <w:rsid w:val="00B1749D"/>
    <w:rsid w:val="00B174D2"/>
    <w:rsid w:val="00B177C7"/>
    <w:rsid w:val="00B1793F"/>
    <w:rsid w:val="00B17F18"/>
    <w:rsid w:val="00B20166"/>
    <w:rsid w:val="00B212F9"/>
    <w:rsid w:val="00B215E5"/>
    <w:rsid w:val="00B216FA"/>
    <w:rsid w:val="00B21BE7"/>
    <w:rsid w:val="00B21C5F"/>
    <w:rsid w:val="00B21DC1"/>
    <w:rsid w:val="00B228DA"/>
    <w:rsid w:val="00B229C6"/>
    <w:rsid w:val="00B236AA"/>
    <w:rsid w:val="00B2399A"/>
    <w:rsid w:val="00B24324"/>
    <w:rsid w:val="00B2432A"/>
    <w:rsid w:val="00B24B62"/>
    <w:rsid w:val="00B25B38"/>
    <w:rsid w:val="00B26782"/>
    <w:rsid w:val="00B26CAA"/>
    <w:rsid w:val="00B27920"/>
    <w:rsid w:val="00B3049F"/>
    <w:rsid w:val="00B312BA"/>
    <w:rsid w:val="00B314FB"/>
    <w:rsid w:val="00B31558"/>
    <w:rsid w:val="00B31A50"/>
    <w:rsid w:val="00B32586"/>
    <w:rsid w:val="00B329B1"/>
    <w:rsid w:val="00B329BF"/>
    <w:rsid w:val="00B32B53"/>
    <w:rsid w:val="00B33442"/>
    <w:rsid w:val="00B337C1"/>
    <w:rsid w:val="00B3385B"/>
    <w:rsid w:val="00B33886"/>
    <w:rsid w:val="00B338C2"/>
    <w:rsid w:val="00B33AF1"/>
    <w:rsid w:val="00B346EB"/>
    <w:rsid w:val="00B35AD9"/>
    <w:rsid w:val="00B35B9A"/>
    <w:rsid w:val="00B3626A"/>
    <w:rsid w:val="00B36723"/>
    <w:rsid w:val="00B3737D"/>
    <w:rsid w:val="00B374FD"/>
    <w:rsid w:val="00B37932"/>
    <w:rsid w:val="00B37B4C"/>
    <w:rsid w:val="00B40479"/>
    <w:rsid w:val="00B40521"/>
    <w:rsid w:val="00B40740"/>
    <w:rsid w:val="00B41020"/>
    <w:rsid w:val="00B410C2"/>
    <w:rsid w:val="00B410E6"/>
    <w:rsid w:val="00B413C9"/>
    <w:rsid w:val="00B4181F"/>
    <w:rsid w:val="00B418E7"/>
    <w:rsid w:val="00B42287"/>
    <w:rsid w:val="00B42886"/>
    <w:rsid w:val="00B4290F"/>
    <w:rsid w:val="00B42A9C"/>
    <w:rsid w:val="00B42B45"/>
    <w:rsid w:val="00B42B50"/>
    <w:rsid w:val="00B433DE"/>
    <w:rsid w:val="00B4347F"/>
    <w:rsid w:val="00B434A2"/>
    <w:rsid w:val="00B4366B"/>
    <w:rsid w:val="00B444FD"/>
    <w:rsid w:val="00B447C9"/>
    <w:rsid w:val="00B4496B"/>
    <w:rsid w:val="00B45007"/>
    <w:rsid w:val="00B4507A"/>
    <w:rsid w:val="00B452EA"/>
    <w:rsid w:val="00B46070"/>
    <w:rsid w:val="00B477BF"/>
    <w:rsid w:val="00B479F9"/>
    <w:rsid w:val="00B47B4C"/>
    <w:rsid w:val="00B47E0D"/>
    <w:rsid w:val="00B51105"/>
    <w:rsid w:val="00B51564"/>
    <w:rsid w:val="00B5173E"/>
    <w:rsid w:val="00B51A47"/>
    <w:rsid w:val="00B52542"/>
    <w:rsid w:val="00B526F1"/>
    <w:rsid w:val="00B53735"/>
    <w:rsid w:val="00B53872"/>
    <w:rsid w:val="00B53874"/>
    <w:rsid w:val="00B5391F"/>
    <w:rsid w:val="00B54235"/>
    <w:rsid w:val="00B547B7"/>
    <w:rsid w:val="00B5576B"/>
    <w:rsid w:val="00B558D8"/>
    <w:rsid w:val="00B55BF1"/>
    <w:rsid w:val="00B55C2D"/>
    <w:rsid w:val="00B55E4D"/>
    <w:rsid w:val="00B56826"/>
    <w:rsid w:val="00B5684B"/>
    <w:rsid w:val="00B56A67"/>
    <w:rsid w:val="00B57421"/>
    <w:rsid w:val="00B579A4"/>
    <w:rsid w:val="00B57DFA"/>
    <w:rsid w:val="00B60635"/>
    <w:rsid w:val="00B607B2"/>
    <w:rsid w:val="00B60C9B"/>
    <w:rsid w:val="00B60F81"/>
    <w:rsid w:val="00B61968"/>
    <w:rsid w:val="00B61BC5"/>
    <w:rsid w:val="00B61C1E"/>
    <w:rsid w:val="00B62AB0"/>
    <w:rsid w:val="00B62D19"/>
    <w:rsid w:val="00B62EEB"/>
    <w:rsid w:val="00B6333B"/>
    <w:rsid w:val="00B63FD5"/>
    <w:rsid w:val="00B645A4"/>
    <w:rsid w:val="00B647E2"/>
    <w:rsid w:val="00B64820"/>
    <w:rsid w:val="00B64A31"/>
    <w:rsid w:val="00B64A37"/>
    <w:rsid w:val="00B64B23"/>
    <w:rsid w:val="00B64F59"/>
    <w:rsid w:val="00B6504A"/>
    <w:rsid w:val="00B65232"/>
    <w:rsid w:val="00B65969"/>
    <w:rsid w:val="00B6607F"/>
    <w:rsid w:val="00B665EB"/>
    <w:rsid w:val="00B6782B"/>
    <w:rsid w:val="00B70102"/>
    <w:rsid w:val="00B70819"/>
    <w:rsid w:val="00B7105D"/>
    <w:rsid w:val="00B710F6"/>
    <w:rsid w:val="00B7118E"/>
    <w:rsid w:val="00B71309"/>
    <w:rsid w:val="00B72533"/>
    <w:rsid w:val="00B7253B"/>
    <w:rsid w:val="00B725E1"/>
    <w:rsid w:val="00B72954"/>
    <w:rsid w:val="00B72D2D"/>
    <w:rsid w:val="00B72F78"/>
    <w:rsid w:val="00B73127"/>
    <w:rsid w:val="00B73146"/>
    <w:rsid w:val="00B734E0"/>
    <w:rsid w:val="00B73645"/>
    <w:rsid w:val="00B736D5"/>
    <w:rsid w:val="00B73A44"/>
    <w:rsid w:val="00B73B69"/>
    <w:rsid w:val="00B742F9"/>
    <w:rsid w:val="00B75050"/>
    <w:rsid w:val="00B752BD"/>
    <w:rsid w:val="00B757F6"/>
    <w:rsid w:val="00B75963"/>
    <w:rsid w:val="00B75A68"/>
    <w:rsid w:val="00B75D0C"/>
    <w:rsid w:val="00B760F4"/>
    <w:rsid w:val="00B76171"/>
    <w:rsid w:val="00B7682F"/>
    <w:rsid w:val="00B7734E"/>
    <w:rsid w:val="00B7747B"/>
    <w:rsid w:val="00B77AE8"/>
    <w:rsid w:val="00B77CEC"/>
    <w:rsid w:val="00B805C3"/>
    <w:rsid w:val="00B807E2"/>
    <w:rsid w:val="00B810F1"/>
    <w:rsid w:val="00B81763"/>
    <w:rsid w:val="00B81DE0"/>
    <w:rsid w:val="00B81F19"/>
    <w:rsid w:val="00B825DB"/>
    <w:rsid w:val="00B82657"/>
    <w:rsid w:val="00B82CF9"/>
    <w:rsid w:val="00B82E87"/>
    <w:rsid w:val="00B8317E"/>
    <w:rsid w:val="00B831AA"/>
    <w:rsid w:val="00B83279"/>
    <w:rsid w:val="00B832CA"/>
    <w:rsid w:val="00B833BC"/>
    <w:rsid w:val="00B836E2"/>
    <w:rsid w:val="00B838F2"/>
    <w:rsid w:val="00B83B08"/>
    <w:rsid w:val="00B84F8B"/>
    <w:rsid w:val="00B850D5"/>
    <w:rsid w:val="00B85423"/>
    <w:rsid w:val="00B85813"/>
    <w:rsid w:val="00B85C41"/>
    <w:rsid w:val="00B85D89"/>
    <w:rsid w:val="00B8687B"/>
    <w:rsid w:val="00B870A5"/>
    <w:rsid w:val="00B877B2"/>
    <w:rsid w:val="00B8781B"/>
    <w:rsid w:val="00B87A89"/>
    <w:rsid w:val="00B90C7A"/>
    <w:rsid w:val="00B90DCA"/>
    <w:rsid w:val="00B90E62"/>
    <w:rsid w:val="00B90E79"/>
    <w:rsid w:val="00B910EF"/>
    <w:rsid w:val="00B91684"/>
    <w:rsid w:val="00B91837"/>
    <w:rsid w:val="00B91891"/>
    <w:rsid w:val="00B91DF1"/>
    <w:rsid w:val="00B9261F"/>
    <w:rsid w:val="00B93176"/>
    <w:rsid w:val="00B9340B"/>
    <w:rsid w:val="00B93FB1"/>
    <w:rsid w:val="00B94300"/>
    <w:rsid w:val="00B94482"/>
    <w:rsid w:val="00B94B19"/>
    <w:rsid w:val="00B94BB8"/>
    <w:rsid w:val="00B94E84"/>
    <w:rsid w:val="00B952D2"/>
    <w:rsid w:val="00B958EA"/>
    <w:rsid w:val="00B97362"/>
    <w:rsid w:val="00B97E8F"/>
    <w:rsid w:val="00BA00F3"/>
    <w:rsid w:val="00BA11B6"/>
    <w:rsid w:val="00BA1565"/>
    <w:rsid w:val="00BA1A77"/>
    <w:rsid w:val="00BA1F9F"/>
    <w:rsid w:val="00BA2122"/>
    <w:rsid w:val="00BA2376"/>
    <w:rsid w:val="00BA23CF"/>
    <w:rsid w:val="00BA2E64"/>
    <w:rsid w:val="00BA3C2A"/>
    <w:rsid w:val="00BA3D90"/>
    <w:rsid w:val="00BA3F77"/>
    <w:rsid w:val="00BA3FC0"/>
    <w:rsid w:val="00BA41CC"/>
    <w:rsid w:val="00BA4C90"/>
    <w:rsid w:val="00BA4DB4"/>
    <w:rsid w:val="00BA4F85"/>
    <w:rsid w:val="00BA5299"/>
    <w:rsid w:val="00BA52EE"/>
    <w:rsid w:val="00BA5610"/>
    <w:rsid w:val="00BA5A48"/>
    <w:rsid w:val="00BA5E34"/>
    <w:rsid w:val="00BA5EA8"/>
    <w:rsid w:val="00BA5FFC"/>
    <w:rsid w:val="00BA60E6"/>
    <w:rsid w:val="00BA699E"/>
    <w:rsid w:val="00BA6D01"/>
    <w:rsid w:val="00BA74BB"/>
    <w:rsid w:val="00BB015F"/>
    <w:rsid w:val="00BB0298"/>
    <w:rsid w:val="00BB0ED7"/>
    <w:rsid w:val="00BB13AD"/>
    <w:rsid w:val="00BB17FB"/>
    <w:rsid w:val="00BB1FDF"/>
    <w:rsid w:val="00BB2CD3"/>
    <w:rsid w:val="00BB30A0"/>
    <w:rsid w:val="00BB3A10"/>
    <w:rsid w:val="00BB3ED7"/>
    <w:rsid w:val="00BB415B"/>
    <w:rsid w:val="00BB4464"/>
    <w:rsid w:val="00BB4717"/>
    <w:rsid w:val="00BB4F9C"/>
    <w:rsid w:val="00BB56DB"/>
    <w:rsid w:val="00BB5C2F"/>
    <w:rsid w:val="00BB5EE2"/>
    <w:rsid w:val="00BB65FB"/>
    <w:rsid w:val="00BB667A"/>
    <w:rsid w:val="00BB66F0"/>
    <w:rsid w:val="00BB727F"/>
    <w:rsid w:val="00BB7A72"/>
    <w:rsid w:val="00BB7CCE"/>
    <w:rsid w:val="00BC0391"/>
    <w:rsid w:val="00BC0B8D"/>
    <w:rsid w:val="00BC0C5A"/>
    <w:rsid w:val="00BC0EC3"/>
    <w:rsid w:val="00BC0FBA"/>
    <w:rsid w:val="00BC1384"/>
    <w:rsid w:val="00BC1ADD"/>
    <w:rsid w:val="00BC1BFD"/>
    <w:rsid w:val="00BC1C9F"/>
    <w:rsid w:val="00BC1D32"/>
    <w:rsid w:val="00BC1E96"/>
    <w:rsid w:val="00BC20B2"/>
    <w:rsid w:val="00BC2522"/>
    <w:rsid w:val="00BC29A8"/>
    <w:rsid w:val="00BC2DA0"/>
    <w:rsid w:val="00BC2E17"/>
    <w:rsid w:val="00BC30F4"/>
    <w:rsid w:val="00BC360A"/>
    <w:rsid w:val="00BC38B0"/>
    <w:rsid w:val="00BC402A"/>
    <w:rsid w:val="00BC47C8"/>
    <w:rsid w:val="00BC4C47"/>
    <w:rsid w:val="00BC500A"/>
    <w:rsid w:val="00BC5846"/>
    <w:rsid w:val="00BC5E8F"/>
    <w:rsid w:val="00BC6062"/>
    <w:rsid w:val="00BC60A3"/>
    <w:rsid w:val="00BC66B8"/>
    <w:rsid w:val="00BC673E"/>
    <w:rsid w:val="00BC6823"/>
    <w:rsid w:val="00BC71CF"/>
    <w:rsid w:val="00BC7748"/>
    <w:rsid w:val="00BC78AA"/>
    <w:rsid w:val="00BC7AD6"/>
    <w:rsid w:val="00BD04E5"/>
    <w:rsid w:val="00BD1631"/>
    <w:rsid w:val="00BD1A31"/>
    <w:rsid w:val="00BD23C4"/>
    <w:rsid w:val="00BD2546"/>
    <w:rsid w:val="00BD2FB2"/>
    <w:rsid w:val="00BD34AF"/>
    <w:rsid w:val="00BD3717"/>
    <w:rsid w:val="00BD5276"/>
    <w:rsid w:val="00BD54FA"/>
    <w:rsid w:val="00BD5A0B"/>
    <w:rsid w:val="00BD5E72"/>
    <w:rsid w:val="00BD6113"/>
    <w:rsid w:val="00BD687A"/>
    <w:rsid w:val="00BD6A63"/>
    <w:rsid w:val="00BD6AFF"/>
    <w:rsid w:val="00BD6B7B"/>
    <w:rsid w:val="00BD6D83"/>
    <w:rsid w:val="00BD6E65"/>
    <w:rsid w:val="00BD6EEA"/>
    <w:rsid w:val="00BD6F73"/>
    <w:rsid w:val="00BD77AE"/>
    <w:rsid w:val="00BE0419"/>
    <w:rsid w:val="00BE0A38"/>
    <w:rsid w:val="00BE119D"/>
    <w:rsid w:val="00BE1532"/>
    <w:rsid w:val="00BE1AC4"/>
    <w:rsid w:val="00BE3340"/>
    <w:rsid w:val="00BE3BB7"/>
    <w:rsid w:val="00BE431D"/>
    <w:rsid w:val="00BE4966"/>
    <w:rsid w:val="00BE4DA9"/>
    <w:rsid w:val="00BE4E18"/>
    <w:rsid w:val="00BE52EA"/>
    <w:rsid w:val="00BE58BA"/>
    <w:rsid w:val="00BE58DC"/>
    <w:rsid w:val="00BE5BEA"/>
    <w:rsid w:val="00BE6387"/>
    <w:rsid w:val="00BE6E2A"/>
    <w:rsid w:val="00BE7ACA"/>
    <w:rsid w:val="00BE7BDA"/>
    <w:rsid w:val="00BE7C0A"/>
    <w:rsid w:val="00BF057E"/>
    <w:rsid w:val="00BF0609"/>
    <w:rsid w:val="00BF08D6"/>
    <w:rsid w:val="00BF0A62"/>
    <w:rsid w:val="00BF136B"/>
    <w:rsid w:val="00BF1ADD"/>
    <w:rsid w:val="00BF1C6A"/>
    <w:rsid w:val="00BF201F"/>
    <w:rsid w:val="00BF20FF"/>
    <w:rsid w:val="00BF2379"/>
    <w:rsid w:val="00BF2BF9"/>
    <w:rsid w:val="00BF2D49"/>
    <w:rsid w:val="00BF3405"/>
    <w:rsid w:val="00BF35A5"/>
    <w:rsid w:val="00BF3B1F"/>
    <w:rsid w:val="00BF3B39"/>
    <w:rsid w:val="00BF4420"/>
    <w:rsid w:val="00BF4497"/>
    <w:rsid w:val="00BF4D3B"/>
    <w:rsid w:val="00BF4D68"/>
    <w:rsid w:val="00BF5165"/>
    <w:rsid w:val="00BF534A"/>
    <w:rsid w:val="00BF5524"/>
    <w:rsid w:val="00BF568D"/>
    <w:rsid w:val="00BF5E18"/>
    <w:rsid w:val="00BF65A4"/>
    <w:rsid w:val="00BF6C76"/>
    <w:rsid w:val="00BF710F"/>
    <w:rsid w:val="00BF72E0"/>
    <w:rsid w:val="00BF7593"/>
    <w:rsid w:val="00BF76E1"/>
    <w:rsid w:val="00BF7B82"/>
    <w:rsid w:val="00BF7BF5"/>
    <w:rsid w:val="00BF7D14"/>
    <w:rsid w:val="00C000BE"/>
    <w:rsid w:val="00C003A5"/>
    <w:rsid w:val="00C00919"/>
    <w:rsid w:val="00C019C1"/>
    <w:rsid w:val="00C019D1"/>
    <w:rsid w:val="00C01FA0"/>
    <w:rsid w:val="00C025BA"/>
    <w:rsid w:val="00C031BC"/>
    <w:rsid w:val="00C03BB8"/>
    <w:rsid w:val="00C0448C"/>
    <w:rsid w:val="00C044BC"/>
    <w:rsid w:val="00C04793"/>
    <w:rsid w:val="00C04DDC"/>
    <w:rsid w:val="00C054D1"/>
    <w:rsid w:val="00C05526"/>
    <w:rsid w:val="00C05E63"/>
    <w:rsid w:val="00C05F64"/>
    <w:rsid w:val="00C06262"/>
    <w:rsid w:val="00C062B7"/>
    <w:rsid w:val="00C06689"/>
    <w:rsid w:val="00C06B7B"/>
    <w:rsid w:val="00C07109"/>
    <w:rsid w:val="00C0752D"/>
    <w:rsid w:val="00C0797D"/>
    <w:rsid w:val="00C07ADA"/>
    <w:rsid w:val="00C10250"/>
    <w:rsid w:val="00C106FF"/>
    <w:rsid w:val="00C1081E"/>
    <w:rsid w:val="00C10F4C"/>
    <w:rsid w:val="00C113D4"/>
    <w:rsid w:val="00C11632"/>
    <w:rsid w:val="00C116C5"/>
    <w:rsid w:val="00C120A3"/>
    <w:rsid w:val="00C121AF"/>
    <w:rsid w:val="00C12947"/>
    <w:rsid w:val="00C12C3D"/>
    <w:rsid w:val="00C12CE0"/>
    <w:rsid w:val="00C12DEF"/>
    <w:rsid w:val="00C13076"/>
    <w:rsid w:val="00C139B5"/>
    <w:rsid w:val="00C13D91"/>
    <w:rsid w:val="00C14568"/>
    <w:rsid w:val="00C14AF0"/>
    <w:rsid w:val="00C14C38"/>
    <w:rsid w:val="00C14F0A"/>
    <w:rsid w:val="00C15273"/>
    <w:rsid w:val="00C15DD0"/>
    <w:rsid w:val="00C15F79"/>
    <w:rsid w:val="00C1698F"/>
    <w:rsid w:val="00C16ADE"/>
    <w:rsid w:val="00C16FE3"/>
    <w:rsid w:val="00C17161"/>
    <w:rsid w:val="00C171C1"/>
    <w:rsid w:val="00C1736F"/>
    <w:rsid w:val="00C1780B"/>
    <w:rsid w:val="00C17AA9"/>
    <w:rsid w:val="00C17BF0"/>
    <w:rsid w:val="00C17F61"/>
    <w:rsid w:val="00C204A9"/>
    <w:rsid w:val="00C2069B"/>
    <w:rsid w:val="00C20755"/>
    <w:rsid w:val="00C20C8D"/>
    <w:rsid w:val="00C20CB2"/>
    <w:rsid w:val="00C212B1"/>
    <w:rsid w:val="00C212EA"/>
    <w:rsid w:val="00C22131"/>
    <w:rsid w:val="00C221C0"/>
    <w:rsid w:val="00C22995"/>
    <w:rsid w:val="00C229E1"/>
    <w:rsid w:val="00C22C1F"/>
    <w:rsid w:val="00C2336D"/>
    <w:rsid w:val="00C2343F"/>
    <w:rsid w:val="00C245CC"/>
    <w:rsid w:val="00C25474"/>
    <w:rsid w:val="00C25476"/>
    <w:rsid w:val="00C257BE"/>
    <w:rsid w:val="00C25814"/>
    <w:rsid w:val="00C260B3"/>
    <w:rsid w:val="00C26355"/>
    <w:rsid w:val="00C26D6A"/>
    <w:rsid w:val="00C26E91"/>
    <w:rsid w:val="00C27C6B"/>
    <w:rsid w:val="00C27E77"/>
    <w:rsid w:val="00C27F56"/>
    <w:rsid w:val="00C27F91"/>
    <w:rsid w:val="00C3031C"/>
    <w:rsid w:val="00C3105C"/>
    <w:rsid w:val="00C3116C"/>
    <w:rsid w:val="00C31350"/>
    <w:rsid w:val="00C31EA4"/>
    <w:rsid w:val="00C31FBD"/>
    <w:rsid w:val="00C3327B"/>
    <w:rsid w:val="00C332B5"/>
    <w:rsid w:val="00C338D5"/>
    <w:rsid w:val="00C345D1"/>
    <w:rsid w:val="00C34E6E"/>
    <w:rsid w:val="00C34F1C"/>
    <w:rsid w:val="00C354D1"/>
    <w:rsid w:val="00C35BDE"/>
    <w:rsid w:val="00C35DCD"/>
    <w:rsid w:val="00C36014"/>
    <w:rsid w:val="00C36309"/>
    <w:rsid w:val="00C36914"/>
    <w:rsid w:val="00C36D3A"/>
    <w:rsid w:val="00C3715B"/>
    <w:rsid w:val="00C372C4"/>
    <w:rsid w:val="00C374F9"/>
    <w:rsid w:val="00C379BF"/>
    <w:rsid w:val="00C37D07"/>
    <w:rsid w:val="00C40E98"/>
    <w:rsid w:val="00C4120F"/>
    <w:rsid w:val="00C41462"/>
    <w:rsid w:val="00C41561"/>
    <w:rsid w:val="00C426A7"/>
    <w:rsid w:val="00C42EB2"/>
    <w:rsid w:val="00C44174"/>
    <w:rsid w:val="00C446BC"/>
    <w:rsid w:val="00C446DD"/>
    <w:rsid w:val="00C446FF"/>
    <w:rsid w:val="00C44969"/>
    <w:rsid w:val="00C44D93"/>
    <w:rsid w:val="00C45075"/>
    <w:rsid w:val="00C456AE"/>
    <w:rsid w:val="00C45832"/>
    <w:rsid w:val="00C45D4A"/>
    <w:rsid w:val="00C46244"/>
    <w:rsid w:val="00C46604"/>
    <w:rsid w:val="00C47DF6"/>
    <w:rsid w:val="00C47FD2"/>
    <w:rsid w:val="00C507D8"/>
    <w:rsid w:val="00C50DDD"/>
    <w:rsid w:val="00C512DF"/>
    <w:rsid w:val="00C514FB"/>
    <w:rsid w:val="00C5179B"/>
    <w:rsid w:val="00C51ABB"/>
    <w:rsid w:val="00C51EBC"/>
    <w:rsid w:val="00C52833"/>
    <w:rsid w:val="00C5324B"/>
    <w:rsid w:val="00C538A3"/>
    <w:rsid w:val="00C53DCD"/>
    <w:rsid w:val="00C5413E"/>
    <w:rsid w:val="00C54F35"/>
    <w:rsid w:val="00C55CAD"/>
    <w:rsid w:val="00C567C7"/>
    <w:rsid w:val="00C5687D"/>
    <w:rsid w:val="00C56F90"/>
    <w:rsid w:val="00C572B5"/>
    <w:rsid w:val="00C57886"/>
    <w:rsid w:val="00C6000C"/>
    <w:rsid w:val="00C60593"/>
    <w:rsid w:val="00C6090B"/>
    <w:rsid w:val="00C61C0A"/>
    <w:rsid w:val="00C61CF9"/>
    <w:rsid w:val="00C62013"/>
    <w:rsid w:val="00C62404"/>
    <w:rsid w:val="00C624AF"/>
    <w:rsid w:val="00C633B5"/>
    <w:rsid w:val="00C637AB"/>
    <w:rsid w:val="00C63D6D"/>
    <w:rsid w:val="00C6455E"/>
    <w:rsid w:val="00C6476F"/>
    <w:rsid w:val="00C64820"/>
    <w:rsid w:val="00C64AE8"/>
    <w:rsid w:val="00C655D9"/>
    <w:rsid w:val="00C6738B"/>
    <w:rsid w:val="00C67598"/>
    <w:rsid w:val="00C679D8"/>
    <w:rsid w:val="00C70209"/>
    <w:rsid w:val="00C70676"/>
    <w:rsid w:val="00C7085A"/>
    <w:rsid w:val="00C71016"/>
    <w:rsid w:val="00C7112D"/>
    <w:rsid w:val="00C71388"/>
    <w:rsid w:val="00C71CDD"/>
    <w:rsid w:val="00C721C4"/>
    <w:rsid w:val="00C7293E"/>
    <w:rsid w:val="00C72AE6"/>
    <w:rsid w:val="00C73358"/>
    <w:rsid w:val="00C7395C"/>
    <w:rsid w:val="00C73ABD"/>
    <w:rsid w:val="00C73D78"/>
    <w:rsid w:val="00C743E9"/>
    <w:rsid w:val="00C743FC"/>
    <w:rsid w:val="00C745E2"/>
    <w:rsid w:val="00C74A90"/>
    <w:rsid w:val="00C75251"/>
    <w:rsid w:val="00C75280"/>
    <w:rsid w:val="00C7550F"/>
    <w:rsid w:val="00C75869"/>
    <w:rsid w:val="00C76755"/>
    <w:rsid w:val="00C76CA6"/>
    <w:rsid w:val="00C76D80"/>
    <w:rsid w:val="00C771AB"/>
    <w:rsid w:val="00C77709"/>
    <w:rsid w:val="00C77713"/>
    <w:rsid w:val="00C802C1"/>
    <w:rsid w:val="00C80393"/>
    <w:rsid w:val="00C80F73"/>
    <w:rsid w:val="00C81E95"/>
    <w:rsid w:val="00C81F6E"/>
    <w:rsid w:val="00C82230"/>
    <w:rsid w:val="00C823DA"/>
    <w:rsid w:val="00C825AF"/>
    <w:rsid w:val="00C8263A"/>
    <w:rsid w:val="00C828E8"/>
    <w:rsid w:val="00C83AD2"/>
    <w:rsid w:val="00C83F81"/>
    <w:rsid w:val="00C84A80"/>
    <w:rsid w:val="00C84A8D"/>
    <w:rsid w:val="00C863EF"/>
    <w:rsid w:val="00C86661"/>
    <w:rsid w:val="00C86914"/>
    <w:rsid w:val="00C86ED1"/>
    <w:rsid w:val="00C871A0"/>
    <w:rsid w:val="00C903AD"/>
    <w:rsid w:val="00C908B6"/>
    <w:rsid w:val="00C90E6D"/>
    <w:rsid w:val="00C91101"/>
    <w:rsid w:val="00C9154A"/>
    <w:rsid w:val="00C91AAD"/>
    <w:rsid w:val="00C91B74"/>
    <w:rsid w:val="00C9209A"/>
    <w:rsid w:val="00C9215D"/>
    <w:rsid w:val="00C921B0"/>
    <w:rsid w:val="00C92235"/>
    <w:rsid w:val="00C922C2"/>
    <w:rsid w:val="00C9281A"/>
    <w:rsid w:val="00C92A0D"/>
    <w:rsid w:val="00C930E5"/>
    <w:rsid w:val="00C93BC6"/>
    <w:rsid w:val="00C94C5D"/>
    <w:rsid w:val="00C958BC"/>
    <w:rsid w:val="00C96585"/>
    <w:rsid w:val="00C967F3"/>
    <w:rsid w:val="00C96EEC"/>
    <w:rsid w:val="00C972C6"/>
    <w:rsid w:val="00C973BD"/>
    <w:rsid w:val="00C97550"/>
    <w:rsid w:val="00C975D5"/>
    <w:rsid w:val="00C979C5"/>
    <w:rsid w:val="00CA0552"/>
    <w:rsid w:val="00CA077E"/>
    <w:rsid w:val="00CA08DB"/>
    <w:rsid w:val="00CA0C78"/>
    <w:rsid w:val="00CA2214"/>
    <w:rsid w:val="00CA22AA"/>
    <w:rsid w:val="00CA2A36"/>
    <w:rsid w:val="00CA2D14"/>
    <w:rsid w:val="00CA2FDF"/>
    <w:rsid w:val="00CA32F9"/>
    <w:rsid w:val="00CA33CD"/>
    <w:rsid w:val="00CA35D0"/>
    <w:rsid w:val="00CA3C09"/>
    <w:rsid w:val="00CA3DB0"/>
    <w:rsid w:val="00CA411A"/>
    <w:rsid w:val="00CA4753"/>
    <w:rsid w:val="00CA48F0"/>
    <w:rsid w:val="00CA4C47"/>
    <w:rsid w:val="00CA4CFB"/>
    <w:rsid w:val="00CA4DCB"/>
    <w:rsid w:val="00CA4E1D"/>
    <w:rsid w:val="00CA4F4D"/>
    <w:rsid w:val="00CA5291"/>
    <w:rsid w:val="00CA5437"/>
    <w:rsid w:val="00CA5EF2"/>
    <w:rsid w:val="00CA606D"/>
    <w:rsid w:val="00CA680F"/>
    <w:rsid w:val="00CA6A57"/>
    <w:rsid w:val="00CA6B4B"/>
    <w:rsid w:val="00CA6BDC"/>
    <w:rsid w:val="00CA7385"/>
    <w:rsid w:val="00CA7A27"/>
    <w:rsid w:val="00CA7E56"/>
    <w:rsid w:val="00CB0000"/>
    <w:rsid w:val="00CB0F67"/>
    <w:rsid w:val="00CB1215"/>
    <w:rsid w:val="00CB1463"/>
    <w:rsid w:val="00CB194B"/>
    <w:rsid w:val="00CB1A33"/>
    <w:rsid w:val="00CB1F4D"/>
    <w:rsid w:val="00CB2048"/>
    <w:rsid w:val="00CB2B5A"/>
    <w:rsid w:val="00CB3A0C"/>
    <w:rsid w:val="00CB405B"/>
    <w:rsid w:val="00CB47F9"/>
    <w:rsid w:val="00CB4837"/>
    <w:rsid w:val="00CB52AD"/>
    <w:rsid w:val="00CB53EE"/>
    <w:rsid w:val="00CB580E"/>
    <w:rsid w:val="00CB5C3D"/>
    <w:rsid w:val="00CB5C82"/>
    <w:rsid w:val="00CB634D"/>
    <w:rsid w:val="00CB6CE9"/>
    <w:rsid w:val="00CB73D4"/>
    <w:rsid w:val="00CB76EB"/>
    <w:rsid w:val="00CB77B9"/>
    <w:rsid w:val="00CC056A"/>
    <w:rsid w:val="00CC0A6A"/>
    <w:rsid w:val="00CC0FE9"/>
    <w:rsid w:val="00CC1360"/>
    <w:rsid w:val="00CC1961"/>
    <w:rsid w:val="00CC26FC"/>
    <w:rsid w:val="00CC2AD8"/>
    <w:rsid w:val="00CC2C84"/>
    <w:rsid w:val="00CC2D7D"/>
    <w:rsid w:val="00CC3720"/>
    <w:rsid w:val="00CC47E3"/>
    <w:rsid w:val="00CC4FAE"/>
    <w:rsid w:val="00CC50AC"/>
    <w:rsid w:val="00CC5B87"/>
    <w:rsid w:val="00CC5BE0"/>
    <w:rsid w:val="00CC6034"/>
    <w:rsid w:val="00CC67A8"/>
    <w:rsid w:val="00CC6852"/>
    <w:rsid w:val="00CC6D99"/>
    <w:rsid w:val="00CC71F6"/>
    <w:rsid w:val="00CC78C1"/>
    <w:rsid w:val="00CC7B98"/>
    <w:rsid w:val="00CC7E38"/>
    <w:rsid w:val="00CD0187"/>
    <w:rsid w:val="00CD09F7"/>
    <w:rsid w:val="00CD10A4"/>
    <w:rsid w:val="00CD16E0"/>
    <w:rsid w:val="00CD1783"/>
    <w:rsid w:val="00CD18B6"/>
    <w:rsid w:val="00CD1C4D"/>
    <w:rsid w:val="00CD1DEF"/>
    <w:rsid w:val="00CD26B0"/>
    <w:rsid w:val="00CD28BE"/>
    <w:rsid w:val="00CD2E8E"/>
    <w:rsid w:val="00CD4083"/>
    <w:rsid w:val="00CD4A6F"/>
    <w:rsid w:val="00CD5A56"/>
    <w:rsid w:val="00CD5CAC"/>
    <w:rsid w:val="00CD5F61"/>
    <w:rsid w:val="00CD5F91"/>
    <w:rsid w:val="00CD6070"/>
    <w:rsid w:val="00CD6230"/>
    <w:rsid w:val="00CD63B0"/>
    <w:rsid w:val="00CD66C5"/>
    <w:rsid w:val="00CD69DB"/>
    <w:rsid w:val="00CD75F3"/>
    <w:rsid w:val="00CE08EB"/>
    <w:rsid w:val="00CE0EEA"/>
    <w:rsid w:val="00CE1000"/>
    <w:rsid w:val="00CE1F12"/>
    <w:rsid w:val="00CE21B4"/>
    <w:rsid w:val="00CE2BCE"/>
    <w:rsid w:val="00CE2E53"/>
    <w:rsid w:val="00CE330A"/>
    <w:rsid w:val="00CE3DE3"/>
    <w:rsid w:val="00CE4124"/>
    <w:rsid w:val="00CE41CF"/>
    <w:rsid w:val="00CE49B3"/>
    <w:rsid w:val="00CE4B35"/>
    <w:rsid w:val="00CE4DF7"/>
    <w:rsid w:val="00CE4FAD"/>
    <w:rsid w:val="00CE5648"/>
    <w:rsid w:val="00CE58ED"/>
    <w:rsid w:val="00CE6013"/>
    <w:rsid w:val="00CE65FD"/>
    <w:rsid w:val="00CE6E69"/>
    <w:rsid w:val="00CE775B"/>
    <w:rsid w:val="00CE7BB2"/>
    <w:rsid w:val="00CE7DBE"/>
    <w:rsid w:val="00CF00E8"/>
    <w:rsid w:val="00CF03E6"/>
    <w:rsid w:val="00CF0512"/>
    <w:rsid w:val="00CF07DE"/>
    <w:rsid w:val="00CF0BAE"/>
    <w:rsid w:val="00CF1210"/>
    <w:rsid w:val="00CF1A4B"/>
    <w:rsid w:val="00CF1D0A"/>
    <w:rsid w:val="00CF1FC7"/>
    <w:rsid w:val="00CF2BB1"/>
    <w:rsid w:val="00CF3958"/>
    <w:rsid w:val="00CF4491"/>
    <w:rsid w:val="00CF4559"/>
    <w:rsid w:val="00CF4A7A"/>
    <w:rsid w:val="00CF5299"/>
    <w:rsid w:val="00CF5809"/>
    <w:rsid w:val="00CF5E19"/>
    <w:rsid w:val="00CF5F83"/>
    <w:rsid w:val="00CF61A6"/>
    <w:rsid w:val="00CF69DD"/>
    <w:rsid w:val="00CF6F23"/>
    <w:rsid w:val="00CF729E"/>
    <w:rsid w:val="00CF7870"/>
    <w:rsid w:val="00CF7913"/>
    <w:rsid w:val="00CF7AD7"/>
    <w:rsid w:val="00CF7BCB"/>
    <w:rsid w:val="00D00AC2"/>
    <w:rsid w:val="00D00F72"/>
    <w:rsid w:val="00D01056"/>
    <w:rsid w:val="00D013ED"/>
    <w:rsid w:val="00D01AE7"/>
    <w:rsid w:val="00D01BAF"/>
    <w:rsid w:val="00D02112"/>
    <w:rsid w:val="00D0240E"/>
    <w:rsid w:val="00D028A1"/>
    <w:rsid w:val="00D02DE5"/>
    <w:rsid w:val="00D02F4F"/>
    <w:rsid w:val="00D03940"/>
    <w:rsid w:val="00D03BB8"/>
    <w:rsid w:val="00D03DA0"/>
    <w:rsid w:val="00D04303"/>
    <w:rsid w:val="00D04614"/>
    <w:rsid w:val="00D04774"/>
    <w:rsid w:val="00D04F1B"/>
    <w:rsid w:val="00D05270"/>
    <w:rsid w:val="00D058C5"/>
    <w:rsid w:val="00D05CAA"/>
    <w:rsid w:val="00D06282"/>
    <w:rsid w:val="00D064EF"/>
    <w:rsid w:val="00D06998"/>
    <w:rsid w:val="00D069C2"/>
    <w:rsid w:val="00D06A26"/>
    <w:rsid w:val="00D078F4"/>
    <w:rsid w:val="00D07C62"/>
    <w:rsid w:val="00D07E12"/>
    <w:rsid w:val="00D07E52"/>
    <w:rsid w:val="00D106CA"/>
    <w:rsid w:val="00D10C45"/>
    <w:rsid w:val="00D1149C"/>
    <w:rsid w:val="00D1150A"/>
    <w:rsid w:val="00D115B5"/>
    <w:rsid w:val="00D1169C"/>
    <w:rsid w:val="00D1172C"/>
    <w:rsid w:val="00D117C5"/>
    <w:rsid w:val="00D11BAA"/>
    <w:rsid w:val="00D124C4"/>
    <w:rsid w:val="00D12726"/>
    <w:rsid w:val="00D12C52"/>
    <w:rsid w:val="00D12C58"/>
    <w:rsid w:val="00D12D33"/>
    <w:rsid w:val="00D1301C"/>
    <w:rsid w:val="00D13043"/>
    <w:rsid w:val="00D133E7"/>
    <w:rsid w:val="00D13425"/>
    <w:rsid w:val="00D134B4"/>
    <w:rsid w:val="00D13C78"/>
    <w:rsid w:val="00D1425E"/>
    <w:rsid w:val="00D143F7"/>
    <w:rsid w:val="00D15942"/>
    <w:rsid w:val="00D15A68"/>
    <w:rsid w:val="00D15D24"/>
    <w:rsid w:val="00D15E5D"/>
    <w:rsid w:val="00D16350"/>
    <w:rsid w:val="00D16AE1"/>
    <w:rsid w:val="00D16CB2"/>
    <w:rsid w:val="00D16D2E"/>
    <w:rsid w:val="00D16DD6"/>
    <w:rsid w:val="00D16EA6"/>
    <w:rsid w:val="00D17255"/>
    <w:rsid w:val="00D1747C"/>
    <w:rsid w:val="00D21371"/>
    <w:rsid w:val="00D21A9E"/>
    <w:rsid w:val="00D22C66"/>
    <w:rsid w:val="00D23670"/>
    <w:rsid w:val="00D23D2A"/>
    <w:rsid w:val="00D23FD9"/>
    <w:rsid w:val="00D2457A"/>
    <w:rsid w:val="00D2475C"/>
    <w:rsid w:val="00D247AB"/>
    <w:rsid w:val="00D24FF7"/>
    <w:rsid w:val="00D25F9D"/>
    <w:rsid w:val="00D26049"/>
    <w:rsid w:val="00D26445"/>
    <w:rsid w:val="00D26EDC"/>
    <w:rsid w:val="00D27737"/>
    <w:rsid w:val="00D27E5C"/>
    <w:rsid w:val="00D30136"/>
    <w:rsid w:val="00D302DB"/>
    <w:rsid w:val="00D303AF"/>
    <w:rsid w:val="00D30429"/>
    <w:rsid w:val="00D3053C"/>
    <w:rsid w:val="00D30804"/>
    <w:rsid w:val="00D30943"/>
    <w:rsid w:val="00D30BAE"/>
    <w:rsid w:val="00D30CDD"/>
    <w:rsid w:val="00D31474"/>
    <w:rsid w:val="00D31D23"/>
    <w:rsid w:val="00D3261C"/>
    <w:rsid w:val="00D328E5"/>
    <w:rsid w:val="00D329C8"/>
    <w:rsid w:val="00D32ADE"/>
    <w:rsid w:val="00D332BE"/>
    <w:rsid w:val="00D33E0D"/>
    <w:rsid w:val="00D3411C"/>
    <w:rsid w:val="00D3419A"/>
    <w:rsid w:val="00D34839"/>
    <w:rsid w:val="00D34E83"/>
    <w:rsid w:val="00D3530D"/>
    <w:rsid w:val="00D354A1"/>
    <w:rsid w:val="00D36097"/>
    <w:rsid w:val="00D36D92"/>
    <w:rsid w:val="00D3757A"/>
    <w:rsid w:val="00D375BF"/>
    <w:rsid w:val="00D40101"/>
    <w:rsid w:val="00D402F9"/>
    <w:rsid w:val="00D40AAA"/>
    <w:rsid w:val="00D41542"/>
    <w:rsid w:val="00D41701"/>
    <w:rsid w:val="00D4196A"/>
    <w:rsid w:val="00D41CFF"/>
    <w:rsid w:val="00D426F7"/>
    <w:rsid w:val="00D42893"/>
    <w:rsid w:val="00D432F1"/>
    <w:rsid w:val="00D439F2"/>
    <w:rsid w:val="00D43C51"/>
    <w:rsid w:val="00D440B2"/>
    <w:rsid w:val="00D443A2"/>
    <w:rsid w:val="00D44544"/>
    <w:rsid w:val="00D446A8"/>
    <w:rsid w:val="00D4479A"/>
    <w:rsid w:val="00D447BD"/>
    <w:rsid w:val="00D44891"/>
    <w:rsid w:val="00D450E7"/>
    <w:rsid w:val="00D4531C"/>
    <w:rsid w:val="00D45D28"/>
    <w:rsid w:val="00D46185"/>
    <w:rsid w:val="00D46FB5"/>
    <w:rsid w:val="00D4750A"/>
    <w:rsid w:val="00D50A00"/>
    <w:rsid w:val="00D50B62"/>
    <w:rsid w:val="00D5127C"/>
    <w:rsid w:val="00D51842"/>
    <w:rsid w:val="00D51B72"/>
    <w:rsid w:val="00D5302B"/>
    <w:rsid w:val="00D5306C"/>
    <w:rsid w:val="00D53448"/>
    <w:rsid w:val="00D5391B"/>
    <w:rsid w:val="00D53BA6"/>
    <w:rsid w:val="00D53CA3"/>
    <w:rsid w:val="00D53E31"/>
    <w:rsid w:val="00D549E9"/>
    <w:rsid w:val="00D54DCE"/>
    <w:rsid w:val="00D551A2"/>
    <w:rsid w:val="00D55549"/>
    <w:rsid w:val="00D55683"/>
    <w:rsid w:val="00D55829"/>
    <w:rsid w:val="00D55E4A"/>
    <w:rsid w:val="00D5623C"/>
    <w:rsid w:val="00D56361"/>
    <w:rsid w:val="00D5687E"/>
    <w:rsid w:val="00D568BC"/>
    <w:rsid w:val="00D56FED"/>
    <w:rsid w:val="00D5739A"/>
    <w:rsid w:val="00D573AD"/>
    <w:rsid w:val="00D57555"/>
    <w:rsid w:val="00D6001A"/>
    <w:rsid w:val="00D603F1"/>
    <w:rsid w:val="00D60680"/>
    <w:rsid w:val="00D60B08"/>
    <w:rsid w:val="00D61427"/>
    <w:rsid w:val="00D6199E"/>
    <w:rsid w:val="00D61ACD"/>
    <w:rsid w:val="00D622AC"/>
    <w:rsid w:val="00D638C7"/>
    <w:rsid w:val="00D63F3D"/>
    <w:rsid w:val="00D64274"/>
    <w:rsid w:val="00D64576"/>
    <w:rsid w:val="00D6475B"/>
    <w:rsid w:val="00D64EED"/>
    <w:rsid w:val="00D652E0"/>
    <w:rsid w:val="00D65A29"/>
    <w:rsid w:val="00D65CB9"/>
    <w:rsid w:val="00D666A6"/>
    <w:rsid w:val="00D66915"/>
    <w:rsid w:val="00D66AB0"/>
    <w:rsid w:val="00D671E4"/>
    <w:rsid w:val="00D67241"/>
    <w:rsid w:val="00D672C4"/>
    <w:rsid w:val="00D67D2A"/>
    <w:rsid w:val="00D70497"/>
    <w:rsid w:val="00D704C0"/>
    <w:rsid w:val="00D70B0F"/>
    <w:rsid w:val="00D71390"/>
    <w:rsid w:val="00D713FE"/>
    <w:rsid w:val="00D71907"/>
    <w:rsid w:val="00D71E2C"/>
    <w:rsid w:val="00D72420"/>
    <w:rsid w:val="00D72F33"/>
    <w:rsid w:val="00D72F8A"/>
    <w:rsid w:val="00D73229"/>
    <w:rsid w:val="00D73A58"/>
    <w:rsid w:val="00D75251"/>
    <w:rsid w:val="00D75317"/>
    <w:rsid w:val="00D755E6"/>
    <w:rsid w:val="00D75CDC"/>
    <w:rsid w:val="00D764CD"/>
    <w:rsid w:val="00D76893"/>
    <w:rsid w:val="00D76EB2"/>
    <w:rsid w:val="00D774A4"/>
    <w:rsid w:val="00D77C74"/>
    <w:rsid w:val="00D8035F"/>
    <w:rsid w:val="00D8077D"/>
    <w:rsid w:val="00D809EF"/>
    <w:rsid w:val="00D817E6"/>
    <w:rsid w:val="00D81E5D"/>
    <w:rsid w:val="00D81EC9"/>
    <w:rsid w:val="00D81FA8"/>
    <w:rsid w:val="00D823B7"/>
    <w:rsid w:val="00D824D0"/>
    <w:rsid w:val="00D82B3D"/>
    <w:rsid w:val="00D83078"/>
    <w:rsid w:val="00D8350F"/>
    <w:rsid w:val="00D839B3"/>
    <w:rsid w:val="00D83F4C"/>
    <w:rsid w:val="00D84948"/>
    <w:rsid w:val="00D84E2A"/>
    <w:rsid w:val="00D8527C"/>
    <w:rsid w:val="00D85774"/>
    <w:rsid w:val="00D8591A"/>
    <w:rsid w:val="00D85FE1"/>
    <w:rsid w:val="00D860D5"/>
    <w:rsid w:val="00D863E0"/>
    <w:rsid w:val="00D86F28"/>
    <w:rsid w:val="00D86F81"/>
    <w:rsid w:val="00D86FBA"/>
    <w:rsid w:val="00D87287"/>
    <w:rsid w:val="00D878FB"/>
    <w:rsid w:val="00D9015D"/>
    <w:rsid w:val="00D9072F"/>
    <w:rsid w:val="00D90ADD"/>
    <w:rsid w:val="00D90CCF"/>
    <w:rsid w:val="00D91ADE"/>
    <w:rsid w:val="00D91ED2"/>
    <w:rsid w:val="00D929C8"/>
    <w:rsid w:val="00D92B93"/>
    <w:rsid w:val="00D93080"/>
    <w:rsid w:val="00D93230"/>
    <w:rsid w:val="00D937BF"/>
    <w:rsid w:val="00D940A4"/>
    <w:rsid w:val="00D9488F"/>
    <w:rsid w:val="00D94A68"/>
    <w:rsid w:val="00D94AE3"/>
    <w:rsid w:val="00D94FB1"/>
    <w:rsid w:val="00D951F7"/>
    <w:rsid w:val="00D959DC"/>
    <w:rsid w:val="00D95ADF"/>
    <w:rsid w:val="00D95C08"/>
    <w:rsid w:val="00D95DD0"/>
    <w:rsid w:val="00D9610A"/>
    <w:rsid w:val="00D96559"/>
    <w:rsid w:val="00D96A7E"/>
    <w:rsid w:val="00D972B3"/>
    <w:rsid w:val="00DA0964"/>
    <w:rsid w:val="00DA0BC4"/>
    <w:rsid w:val="00DA0D8E"/>
    <w:rsid w:val="00DA0DA4"/>
    <w:rsid w:val="00DA1405"/>
    <w:rsid w:val="00DA15AC"/>
    <w:rsid w:val="00DA1925"/>
    <w:rsid w:val="00DA192E"/>
    <w:rsid w:val="00DA1D14"/>
    <w:rsid w:val="00DA1F17"/>
    <w:rsid w:val="00DA2380"/>
    <w:rsid w:val="00DA3D2A"/>
    <w:rsid w:val="00DA4026"/>
    <w:rsid w:val="00DA4395"/>
    <w:rsid w:val="00DA49C8"/>
    <w:rsid w:val="00DA4FFF"/>
    <w:rsid w:val="00DA56C6"/>
    <w:rsid w:val="00DA575D"/>
    <w:rsid w:val="00DA5B12"/>
    <w:rsid w:val="00DA66FF"/>
    <w:rsid w:val="00DA685A"/>
    <w:rsid w:val="00DA69F7"/>
    <w:rsid w:val="00DA70BD"/>
    <w:rsid w:val="00DA73A5"/>
    <w:rsid w:val="00DA771F"/>
    <w:rsid w:val="00DA7A8E"/>
    <w:rsid w:val="00DB01F7"/>
    <w:rsid w:val="00DB02F7"/>
    <w:rsid w:val="00DB0420"/>
    <w:rsid w:val="00DB0796"/>
    <w:rsid w:val="00DB0CBC"/>
    <w:rsid w:val="00DB16D9"/>
    <w:rsid w:val="00DB1730"/>
    <w:rsid w:val="00DB2217"/>
    <w:rsid w:val="00DB226E"/>
    <w:rsid w:val="00DB22CA"/>
    <w:rsid w:val="00DB29BC"/>
    <w:rsid w:val="00DB2C22"/>
    <w:rsid w:val="00DB324E"/>
    <w:rsid w:val="00DB381D"/>
    <w:rsid w:val="00DB387D"/>
    <w:rsid w:val="00DB3907"/>
    <w:rsid w:val="00DB3F83"/>
    <w:rsid w:val="00DB419B"/>
    <w:rsid w:val="00DB41DB"/>
    <w:rsid w:val="00DB451D"/>
    <w:rsid w:val="00DB4919"/>
    <w:rsid w:val="00DB4FEF"/>
    <w:rsid w:val="00DB546F"/>
    <w:rsid w:val="00DB57A0"/>
    <w:rsid w:val="00DB5FBC"/>
    <w:rsid w:val="00DB608F"/>
    <w:rsid w:val="00DB6175"/>
    <w:rsid w:val="00DB6300"/>
    <w:rsid w:val="00DB6444"/>
    <w:rsid w:val="00DB645A"/>
    <w:rsid w:val="00DB6B4D"/>
    <w:rsid w:val="00DB708A"/>
    <w:rsid w:val="00DB72DA"/>
    <w:rsid w:val="00DB7571"/>
    <w:rsid w:val="00DB757C"/>
    <w:rsid w:val="00DB7622"/>
    <w:rsid w:val="00DB7C22"/>
    <w:rsid w:val="00DC01B2"/>
    <w:rsid w:val="00DC167E"/>
    <w:rsid w:val="00DC16BD"/>
    <w:rsid w:val="00DC2255"/>
    <w:rsid w:val="00DC22C8"/>
    <w:rsid w:val="00DC2916"/>
    <w:rsid w:val="00DC29D5"/>
    <w:rsid w:val="00DC2F0E"/>
    <w:rsid w:val="00DC3828"/>
    <w:rsid w:val="00DC3A84"/>
    <w:rsid w:val="00DC57CB"/>
    <w:rsid w:val="00DC64CF"/>
    <w:rsid w:val="00DC663D"/>
    <w:rsid w:val="00DC6FA0"/>
    <w:rsid w:val="00DC706E"/>
    <w:rsid w:val="00DC7C15"/>
    <w:rsid w:val="00DD008A"/>
    <w:rsid w:val="00DD029A"/>
    <w:rsid w:val="00DD0BA8"/>
    <w:rsid w:val="00DD0EFE"/>
    <w:rsid w:val="00DD1963"/>
    <w:rsid w:val="00DD1FF6"/>
    <w:rsid w:val="00DD25D1"/>
    <w:rsid w:val="00DD2847"/>
    <w:rsid w:val="00DD295A"/>
    <w:rsid w:val="00DD2BAF"/>
    <w:rsid w:val="00DD2FF3"/>
    <w:rsid w:val="00DD3A72"/>
    <w:rsid w:val="00DD3B1C"/>
    <w:rsid w:val="00DD45AE"/>
    <w:rsid w:val="00DD518A"/>
    <w:rsid w:val="00DD5283"/>
    <w:rsid w:val="00DD58A9"/>
    <w:rsid w:val="00DD5F2A"/>
    <w:rsid w:val="00DD607A"/>
    <w:rsid w:val="00DD63BA"/>
    <w:rsid w:val="00DD7724"/>
    <w:rsid w:val="00DD7A07"/>
    <w:rsid w:val="00DD7C6B"/>
    <w:rsid w:val="00DE005C"/>
    <w:rsid w:val="00DE010F"/>
    <w:rsid w:val="00DE0204"/>
    <w:rsid w:val="00DE118D"/>
    <w:rsid w:val="00DE152C"/>
    <w:rsid w:val="00DE1D65"/>
    <w:rsid w:val="00DE2016"/>
    <w:rsid w:val="00DE24B5"/>
    <w:rsid w:val="00DE2A74"/>
    <w:rsid w:val="00DE2B77"/>
    <w:rsid w:val="00DE2C72"/>
    <w:rsid w:val="00DE2CE5"/>
    <w:rsid w:val="00DE2F64"/>
    <w:rsid w:val="00DE346B"/>
    <w:rsid w:val="00DE4407"/>
    <w:rsid w:val="00DE457B"/>
    <w:rsid w:val="00DE4650"/>
    <w:rsid w:val="00DE4788"/>
    <w:rsid w:val="00DE55A6"/>
    <w:rsid w:val="00DE69A7"/>
    <w:rsid w:val="00DE75E1"/>
    <w:rsid w:val="00DE7694"/>
    <w:rsid w:val="00DE78E2"/>
    <w:rsid w:val="00DE7B64"/>
    <w:rsid w:val="00DE7C43"/>
    <w:rsid w:val="00DF02BE"/>
    <w:rsid w:val="00DF0391"/>
    <w:rsid w:val="00DF0808"/>
    <w:rsid w:val="00DF0E15"/>
    <w:rsid w:val="00DF1195"/>
    <w:rsid w:val="00DF15A6"/>
    <w:rsid w:val="00DF1638"/>
    <w:rsid w:val="00DF19B8"/>
    <w:rsid w:val="00DF19E6"/>
    <w:rsid w:val="00DF1BCA"/>
    <w:rsid w:val="00DF21F5"/>
    <w:rsid w:val="00DF28D9"/>
    <w:rsid w:val="00DF29A2"/>
    <w:rsid w:val="00DF2F18"/>
    <w:rsid w:val="00DF383A"/>
    <w:rsid w:val="00DF38E0"/>
    <w:rsid w:val="00DF3B07"/>
    <w:rsid w:val="00DF42CF"/>
    <w:rsid w:val="00DF4CDA"/>
    <w:rsid w:val="00DF4F3A"/>
    <w:rsid w:val="00DF5298"/>
    <w:rsid w:val="00DF55E1"/>
    <w:rsid w:val="00DF5C23"/>
    <w:rsid w:val="00DF5C4E"/>
    <w:rsid w:val="00DF6302"/>
    <w:rsid w:val="00DF6B91"/>
    <w:rsid w:val="00DF6FB3"/>
    <w:rsid w:val="00DF7632"/>
    <w:rsid w:val="00DF7AF4"/>
    <w:rsid w:val="00DF7B61"/>
    <w:rsid w:val="00DF7BDC"/>
    <w:rsid w:val="00DF7DF7"/>
    <w:rsid w:val="00E008DF"/>
    <w:rsid w:val="00E00E23"/>
    <w:rsid w:val="00E011F3"/>
    <w:rsid w:val="00E0166A"/>
    <w:rsid w:val="00E01CA6"/>
    <w:rsid w:val="00E02A5F"/>
    <w:rsid w:val="00E02FB2"/>
    <w:rsid w:val="00E03328"/>
    <w:rsid w:val="00E036F4"/>
    <w:rsid w:val="00E039A5"/>
    <w:rsid w:val="00E03B76"/>
    <w:rsid w:val="00E03EC6"/>
    <w:rsid w:val="00E045AC"/>
    <w:rsid w:val="00E04890"/>
    <w:rsid w:val="00E059A3"/>
    <w:rsid w:val="00E062A7"/>
    <w:rsid w:val="00E06562"/>
    <w:rsid w:val="00E067AF"/>
    <w:rsid w:val="00E06B84"/>
    <w:rsid w:val="00E06EA1"/>
    <w:rsid w:val="00E06F1C"/>
    <w:rsid w:val="00E0799E"/>
    <w:rsid w:val="00E07C45"/>
    <w:rsid w:val="00E07C83"/>
    <w:rsid w:val="00E10098"/>
    <w:rsid w:val="00E1048F"/>
    <w:rsid w:val="00E104A1"/>
    <w:rsid w:val="00E109BC"/>
    <w:rsid w:val="00E125D8"/>
    <w:rsid w:val="00E12EA3"/>
    <w:rsid w:val="00E13654"/>
    <w:rsid w:val="00E136A2"/>
    <w:rsid w:val="00E13F05"/>
    <w:rsid w:val="00E14613"/>
    <w:rsid w:val="00E1479E"/>
    <w:rsid w:val="00E14899"/>
    <w:rsid w:val="00E14D4C"/>
    <w:rsid w:val="00E14DB8"/>
    <w:rsid w:val="00E1518F"/>
    <w:rsid w:val="00E156B7"/>
    <w:rsid w:val="00E1575B"/>
    <w:rsid w:val="00E15E0E"/>
    <w:rsid w:val="00E15E80"/>
    <w:rsid w:val="00E1653E"/>
    <w:rsid w:val="00E16ABE"/>
    <w:rsid w:val="00E16B1C"/>
    <w:rsid w:val="00E16C29"/>
    <w:rsid w:val="00E17587"/>
    <w:rsid w:val="00E175AD"/>
    <w:rsid w:val="00E17696"/>
    <w:rsid w:val="00E179F7"/>
    <w:rsid w:val="00E17B1D"/>
    <w:rsid w:val="00E203DE"/>
    <w:rsid w:val="00E20EDE"/>
    <w:rsid w:val="00E20F75"/>
    <w:rsid w:val="00E21367"/>
    <w:rsid w:val="00E217CA"/>
    <w:rsid w:val="00E2217D"/>
    <w:rsid w:val="00E22231"/>
    <w:rsid w:val="00E22734"/>
    <w:rsid w:val="00E22793"/>
    <w:rsid w:val="00E22FD5"/>
    <w:rsid w:val="00E230E5"/>
    <w:rsid w:val="00E245BE"/>
    <w:rsid w:val="00E25069"/>
    <w:rsid w:val="00E251C7"/>
    <w:rsid w:val="00E255CB"/>
    <w:rsid w:val="00E258BF"/>
    <w:rsid w:val="00E25CA3"/>
    <w:rsid w:val="00E25ECE"/>
    <w:rsid w:val="00E26EA0"/>
    <w:rsid w:val="00E26ECF"/>
    <w:rsid w:val="00E26EEA"/>
    <w:rsid w:val="00E273CF"/>
    <w:rsid w:val="00E27630"/>
    <w:rsid w:val="00E277BF"/>
    <w:rsid w:val="00E27C05"/>
    <w:rsid w:val="00E27C16"/>
    <w:rsid w:val="00E27EDE"/>
    <w:rsid w:val="00E3081E"/>
    <w:rsid w:val="00E30B52"/>
    <w:rsid w:val="00E30F38"/>
    <w:rsid w:val="00E312EC"/>
    <w:rsid w:val="00E31673"/>
    <w:rsid w:val="00E31750"/>
    <w:rsid w:val="00E31ACA"/>
    <w:rsid w:val="00E32225"/>
    <w:rsid w:val="00E32533"/>
    <w:rsid w:val="00E3274A"/>
    <w:rsid w:val="00E329D9"/>
    <w:rsid w:val="00E32EE2"/>
    <w:rsid w:val="00E32F7F"/>
    <w:rsid w:val="00E330CA"/>
    <w:rsid w:val="00E3346F"/>
    <w:rsid w:val="00E33A74"/>
    <w:rsid w:val="00E33E83"/>
    <w:rsid w:val="00E34735"/>
    <w:rsid w:val="00E34FE8"/>
    <w:rsid w:val="00E35804"/>
    <w:rsid w:val="00E36505"/>
    <w:rsid w:val="00E366C4"/>
    <w:rsid w:val="00E36A62"/>
    <w:rsid w:val="00E370E3"/>
    <w:rsid w:val="00E37632"/>
    <w:rsid w:val="00E37B20"/>
    <w:rsid w:val="00E37F16"/>
    <w:rsid w:val="00E403D6"/>
    <w:rsid w:val="00E41954"/>
    <w:rsid w:val="00E4200E"/>
    <w:rsid w:val="00E42666"/>
    <w:rsid w:val="00E42C58"/>
    <w:rsid w:val="00E4320A"/>
    <w:rsid w:val="00E43820"/>
    <w:rsid w:val="00E43976"/>
    <w:rsid w:val="00E44B42"/>
    <w:rsid w:val="00E456B9"/>
    <w:rsid w:val="00E45756"/>
    <w:rsid w:val="00E459C0"/>
    <w:rsid w:val="00E4629A"/>
    <w:rsid w:val="00E46AA3"/>
    <w:rsid w:val="00E46D99"/>
    <w:rsid w:val="00E4708D"/>
    <w:rsid w:val="00E47818"/>
    <w:rsid w:val="00E47B17"/>
    <w:rsid w:val="00E47B35"/>
    <w:rsid w:val="00E5059F"/>
    <w:rsid w:val="00E50D51"/>
    <w:rsid w:val="00E50FD1"/>
    <w:rsid w:val="00E51106"/>
    <w:rsid w:val="00E51312"/>
    <w:rsid w:val="00E5144A"/>
    <w:rsid w:val="00E5167D"/>
    <w:rsid w:val="00E517D3"/>
    <w:rsid w:val="00E51F3C"/>
    <w:rsid w:val="00E52091"/>
    <w:rsid w:val="00E5240A"/>
    <w:rsid w:val="00E52472"/>
    <w:rsid w:val="00E52DD8"/>
    <w:rsid w:val="00E52F80"/>
    <w:rsid w:val="00E536BF"/>
    <w:rsid w:val="00E5399D"/>
    <w:rsid w:val="00E54231"/>
    <w:rsid w:val="00E54E6F"/>
    <w:rsid w:val="00E554E1"/>
    <w:rsid w:val="00E555BF"/>
    <w:rsid w:val="00E55F6B"/>
    <w:rsid w:val="00E56834"/>
    <w:rsid w:val="00E56989"/>
    <w:rsid w:val="00E56C8E"/>
    <w:rsid w:val="00E56E6D"/>
    <w:rsid w:val="00E56ECA"/>
    <w:rsid w:val="00E574C2"/>
    <w:rsid w:val="00E57627"/>
    <w:rsid w:val="00E6004E"/>
    <w:rsid w:val="00E60A3E"/>
    <w:rsid w:val="00E614A2"/>
    <w:rsid w:val="00E61859"/>
    <w:rsid w:val="00E63B57"/>
    <w:rsid w:val="00E641C1"/>
    <w:rsid w:val="00E646C2"/>
    <w:rsid w:val="00E64B48"/>
    <w:rsid w:val="00E65724"/>
    <w:rsid w:val="00E657E3"/>
    <w:rsid w:val="00E65BDC"/>
    <w:rsid w:val="00E65E19"/>
    <w:rsid w:val="00E65EA4"/>
    <w:rsid w:val="00E65F05"/>
    <w:rsid w:val="00E65FD1"/>
    <w:rsid w:val="00E6615D"/>
    <w:rsid w:val="00E671F6"/>
    <w:rsid w:val="00E673E7"/>
    <w:rsid w:val="00E6746B"/>
    <w:rsid w:val="00E70094"/>
    <w:rsid w:val="00E711CC"/>
    <w:rsid w:val="00E712AB"/>
    <w:rsid w:val="00E713D0"/>
    <w:rsid w:val="00E71578"/>
    <w:rsid w:val="00E717D1"/>
    <w:rsid w:val="00E71EAE"/>
    <w:rsid w:val="00E72006"/>
    <w:rsid w:val="00E72E01"/>
    <w:rsid w:val="00E737CF"/>
    <w:rsid w:val="00E73AB4"/>
    <w:rsid w:val="00E73C11"/>
    <w:rsid w:val="00E73EF7"/>
    <w:rsid w:val="00E743D6"/>
    <w:rsid w:val="00E7464D"/>
    <w:rsid w:val="00E74976"/>
    <w:rsid w:val="00E749F8"/>
    <w:rsid w:val="00E7523D"/>
    <w:rsid w:val="00E7560A"/>
    <w:rsid w:val="00E75DFA"/>
    <w:rsid w:val="00E767E7"/>
    <w:rsid w:val="00E769D2"/>
    <w:rsid w:val="00E76C93"/>
    <w:rsid w:val="00E76E43"/>
    <w:rsid w:val="00E778E1"/>
    <w:rsid w:val="00E802D5"/>
    <w:rsid w:val="00E80E36"/>
    <w:rsid w:val="00E810A0"/>
    <w:rsid w:val="00E814B6"/>
    <w:rsid w:val="00E81924"/>
    <w:rsid w:val="00E821C4"/>
    <w:rsid w:val="00E82ABE"/>
    <w:rsid w:val="00E8316A"/>
    <w:rsid w:val="00E831E8"/>
    <w:rsid w:val="00E8330C"/>
    <w:rsid w:val="00E8362A"/>
    <w:rsid w:val="00E838B1"/>
    <w:rsid w:val="00E83B37"/>
    <w:rsid w:val="00E841DA"/>
    <w:rsid w:val="00E8474E"/>
    <w:rsid w:val="00E84AC2"/>
    <w:rsid w:val="00E84CC1"/>
    <w:rsid w:val="00E853FA"/>
    <w:rsid w:val="00E85540"/>
    <w:rsid w:val="00E85C33"/>
    <w:rsid w:val="00E85C70"/>
    <w:rsid w:val="00E862EB"/>
    <w:rsid w:val="00E869FB"/>
    <w:rsid w:val="00E87816"/>
    <w:rsid w:val="00E878E6"/>
    <w:rsid w:val="00E87D6C"/>
    <w:rsid w:val="00E90CC1"/>
    <w:rsid w:val="00E91EB6"/>
    <w:rsid w:val="00E92E39"/>
    <w:rsid w:val="00E93183"/>
    <w:rsid w:val="00E935E1"/>
    <w:rsid w:val="00E9389F"/>
    <w:rsid w:val="00E93AA5"/>
    <w:rsid w:val="00E93C1A"/>
    <w:rsid w:val="00E940F7"/>
    <w:rsid w:val="00E946D2"/>
    <w:rsid w:val="00E9492F"/>
    <w:rsid w:val="00E94A28"/>
    <w:rsid w:val="00E9550F"/>
    <w:rsid w:val="00E9577A"/>
    <w:rsid w:val="00E9624D"/>
    <w:rsid w:val="00E9684F"/>
    <w:rsid w:val="00E969D3"/>
    <w:rsid w:val="00E97117"/>
    <w:rsid w:val="00E975E4"/>
    <w:rsid w:val="00E97633"/>
    <w:rsid w:val="00E9777E"/>
    <w:rsid w:val="00E977C9"/>
    <w:rsid w:val="00EA0539"/>
    <w:rsid w:val="00EA08D7"/>
    <w:rsid w:val="00EA0C02"/>
    <w:rsid w:val="00EA0CDC"/>
    <w:rsid w:val="00EA1705"/>
    <w:rsid w:val="00EA1E66"/>
    <w:rsid w:val="00EA1F1F"/>
    <w:rsid w:val="00EA20D7"/>
    <w:rsid w:val="00EA344E"/>
    <w:rsid w:val="00EA34AF"/>
    <w:rsid w:val="00EA3817"/>
    <w:rsid w:val="00EA3CE0"/>
    <w:rsid w:val="00EA3E00"/>
    <w:rsid w:val="00EA48FD"/>
    <w:rsid w:val="00EA54CD"/>
    <w:rsid w:val="00EA5596"/>
    <w:rsid w:val="00EA63D2"/>
    <w:rsid w:val="00EA6B2F"/>
    <w:rsid w:val="00EA79F5"/>
    <w:rsid w:val="00EA7C0B"/>
    <w:rsid w:val="00EA7DB6"/>
    <w:rsid w:val="00EB0107"/>
    <w:rsid w:val="00EB0437"/>
    <w:rsid w:val="00EB129C"/>
    <w:rsid w:val="00EB1796"/>
    <w:rsid w:val="00EB184E"/>
    <w:rsid w:val="00EB219C"/>
    <w:rsid w:val="00EB254D"/>
    <w:rsid w:val="00EB3163"/>
    <w:rsid w:val="00EB37A7"/>
    <w:rsid w:val="00EB4092"/>
    <w:rsid w:val="00EB41E5"/>
    <w:rsid w:val="00EB46EA"/>
    <w:rsid w:val="00EB4769"/>
    <w:rsid w:val="00EB4833"/>
    <w:rsid w:val="00EB4876"/>
    <w:rsid w:val="00EB4972"/>
    <w:rsid w:val="00EB4E3C"/>
    <w:rsid w:val="00EB5B1F"/>
    <w:rsid w:val="00EB5F30"/>
    <w:rsid w:val="00EB6E37"/>
    <w:rsid w:val="00EB7024"/>
    <w:rsid w:val="00EB77A3"/>
    <w:rsid w:val="00EB7EBA"/>
    <w:rsid w:val="00EC01C4"/>
    <w:rsid w:val="00EC08EC"/>
    <w:rsid w:val="00EC09BD"/>
    <w:rsid w:val="00EC0B60"/>
    <w:rsid w:val="00EC0C82"/>
    <w:rsid w:val="00EC0CF5"/>
    <w:rsid w:val="00EC0E1E"/>
    <w:rsid w:val="00EC10BA"/>
    <w:rsid w:val="00EC11C2"/>
    <w:rsid w:val="00EC12DB"/>
    <w:rsid w:val="00EC1A27"/>
    <w:rsid w:val="00EC1A71"/>
    <w:rsid w:val="00EC1E17"/>
    <w:rsid w:val="00EC1E1F"/>
    <w:rsid w:val="00EC25C0"/>
    <w:rsid w:val="00EC3295"/>
    <w:rsid w:val="00EC39CD"/>
    <w:rsid w:val="00EC44F6"/>
    <w:rsid w:val="00EC451C"/>
    <w:rsid w:val="00EC4D35"/>
    <w:rsid w:val="00EC56B4"/>
    <w:rsid w:val="00EC5EC7"/>
    <w:rsid w:val="00EC6363"/>
    <w:rsid w:val="00EC642A"/>
    <w:rsid w:val="00EC65CF"/>
    <w:rsid w:val="00EC67BC"/>
    <w:rsid w:val="00EC6B95"/>
    <w:rsid w:val="00EC752F"/>
    <w:rsid w:val="00EC7580"/>
    <w:rsid w:val="00EC79F7"/>
    <w:rsid w:val="00EC7FA2"/>
    <w:rsid w:val="00ED1148"/>
    <w:rsid w:val="00ED27A9"/>
    <w:rsid w:val="00ED2A9F"/>
    <w:rsid w:val="00ED2DDE"/>
    <w:rsid w:val="00ED2EF7"/>
    <w:rsid w:val="00ED3B9E"/>
    <w:rsid w:val="00ED3C93"/>
    <w:rsid w:val="00ED3ECE"/>
    <w:rsid w:val="00ED4253"/>
    <w:rsid w:val="00ED42D6"/>
    <w:rsid w:val="00ED4506"/>
    <w:rsid w:val="00ED46B3"/>
    <w:rsid w:val="00ED47BA"/>
    <w:rsid w:val="00ED4C09"/>
    <w:rsid w:val="00ED595F"/>
    <w:rsid w:val="00ED5F6A"/>
    <w:rsid w:val="00ED628A"/>
    <w:rsid w:val="00ED6DB8"/>
    <w:rsid w:val="00ED7179"/>
    <w:rsid w:val="00ED722C"/>
    <w:rsid w:val="00EE0911"/>
    <w:rsid w:val="00EE145B"/>
    <w:rsid w:val="00EE1596"/>
    <w:rsid w:val="00EE1610"/>
    <w:rsid w:val="00EE16A3"/>
    <w:rsid w:val="00EE16E9"/>
    <w:rsid w:val="00EE1DB9"/>
    <w:rsid w:val="00EE1F32"/>
    <w:rsid w:val="00EE1F49"/>
    <w:rsid w:val="00EE1FCB"/>
    <w:rsid w:val="00EE22AB"/>
    <w:rsid w:val="00EE2468"/>
    <w:rsid w:val="00EE2DB7"/>
    <w:rsid w:val="00EE2F2D"/>
    <w:rsid w:val="00EE2F77"/>
    <w:rsid w:val="00EE2F89"/>
    <w:rsid w:val="00EE34BF"/>
    <w:rsid w:val="00EE39F6"/>
    <w:rsid w:val="00EE3DB7"/>
    <w:rsid w:val="00EE3DD7"/>
    <w:rsid w:val="00EE3FDD"/>
    <w:rsid w:val="00EE41A8"/>
    <w:rsid w:val="00EE438B"/>
    <w:rsid w:val="00EE43CE"/>
    <w:rsid w:val="00EE4858"/>
    <w:rsid w:val="00EE4FFC"/>
    <w:rsid w:val="00EE5339"/>
    <w:rsid w:val="00EE55A6"/>
    <w:rsid w:val="00EE5C98"/>
    <w:rsid w:val="00EE61BD"/>
    <w:rsid w:val="00EE6F89"/>
    <w:rsid w:val="00EE6FC3"/>
    <w:rsid w:val="00EE7B54"/>
    <w:rsid w:val="00EF0299"/>
    <w:rsid w:val="00EF05C8"/>
    <w:rsid w:val="00EF05DC"/>
    <w:rsid w:val="00EF0724"/>
    <w:rsid w:val="00EF0E8B"/>
    <w:rsid w:val="00EF10AD"/>
    <w:rsid w:val="00EF1AB0"/>
    <w:rsid w:val="00EF1BAE"/>
    <w:rsid w:val="00EF2612"/>
    <w:rsid w:val="00EF2853"/>
    <w:rsid w:val="00EF2A0B"/>
    <w:rsid w:val="00EF2E7E"/>
    <w:rsid w:val="00EF304E"/>
    <w:rsid w:val="00EF3915"/>
    <w:rsid w:val="00EF3B6E"/>
    <w:rsid w:val="00EF3CCB"/>
    <w:rsid w:val="00EF3E00"/>
    <w:rsid w:val="00EF40FD"/>
    <w:rsid w:val="00EF42E4"/>
    <w:rsid w:val="00EF4397"/>
    <w:rsid w:val="00EF4E55"/>
    <w:rsid w:val="00EF50EA"/>
    <w:rsid w:val="00EF514C"/>
    <w:rsid w:val="00EF55E9"/>
    <w:rsid w:val="00EF5B4B"/>
    <w:rsid w:val="00EF5D9C"/>
    <w:rsid w:val="00EF6280"/>
    <w:rsid w:val="00EF65C9"/>
    <w:rsid w:val="00EF67B9"/>
    <w:rsid w:val="00EF7158"/>
    <w:rsid w:val="00EF7E21"/>
    <w:rsid w:val="00F005A5"/>
    <w:rsid w:val="00F007B2"/>
    <w:rsid w:val="00F019EB"/>
    <w:rsid w:val="00F01BAE"/>
    <w:rsid w:val="00F01BBA"/>
    <w:rsid w:val="00F01DD0"/>
    <w:rsid w:val="00F0236F"/>
    <w:rsid w:val="00F02485"/>
    <w:rsid w:val="00F036DE"/>
    <w:rsid w:val="00F03A6C"/>
    <w:rsid w:val="00F03AAC"/>
    <w:rsid w:val="00F03EE1"/>
    <w:rsid w:val="00F0422B"/>
    <w:rsid w:val="00F045F9"/>
    <w:rsid w:val="00F04600"/>
    <w:rsid w:val="00F0461A"/>
    <w:rsid w:val="00F048C7"/>
    <w:rsid w:val="00F04ED2"/>
    <w:rsid w:val="00F04F25"/>
    <w:rsid w:val="00F04F51"/>
    <w:rsid w:val="00F054CE"/>
    <w:rsid w:val="00F057C5"/>
    <w:rsid w:val="00F058C1"/>
    <w:rsid w:val="00F05C70"/>
    <w:rsid w:val="00F05E42"/>
    <w:rsid w:val="00F06272"/>
    <w:rsid w:val="00F066CF"/>
    <w:rsid w:val="00F06BB4"/>
    <w:rsid w:val="00F06E25"/>
    <w:rsid w:val="00F06E70"/>
    <w:rsid w:val="00F06F74"/>
    <w:rsid w:val="00F072F0"/>
    <w:rsid w:val="00F0740B"/>
    <w:rsid w:val="00F078FE"/>
    <w:rsid w:val="00F07CED"/>
    <w:rsid w:val="00F07D58"/>
    <w:rsid w:val="00F103FC"/>
    <w:rsid w:val="00F10D3C"/>
    <w:rsid w:val="00F1129C"/>
    <w:rsid w:val="00F11366"/>
    <w:rsid w:val="00F1161A"/>
    <w:rsid w:val="00F11701"/>
    <w:rsid w:val="00F1171F"/>
    <w:rsid w:val="00F117CF"/>
    <w:rsid w:val="00F11A69"/>
    <w:rsid w:val="00F11AA6"/>
    <w:rsid w:val="00F11C50"/>
    <w:rsid w:val="00F12410"/>
    <w:rsid w:val="00F134E1"/>
    <w:rsid w:val="00F13526"/>
    <w:rsid w:val="00F13E41"/>
    <w:rsid w:val="00F13F79"/>
    <w:rsid w:val="00F14642"/>
    <w:rsid w:val="00F14715"/>
    <w:rsid w:val="00F1478D"/>
    <w:rsid w:val="00F14862"/>
    <w:rsid w:val="00F1499D"/>
    <w:rsid w:val="00F15136"/>
    <w:rsid w:val="00F15338"/>
    <w:rsid w:val="00F15530"/>
    <w:rsid w:val="00F15875"/>
    <w:rsid w:val="00F15BAC"/>
    <w:rsid w:val="00F16972"/>
    <w:rsid w:val="00F170DE"/>
    <w:rsid w:val="00F176B3"/>
    <w:rsid w:val="00F17793"/>
    <w:rsid w:val="00F17887"/>
    <w:rsid w:val="00F17A0C"/>
    <w:rsid w:val="00F20A4B"/>
    <w:rsid w:val="00F20CFB"/>
    <w:rsid w:val="00F213BE"/>
    <w:rsid w:val="00F213D4"/>
    <w:rsid w:val="00F21641"/>
    <w:rsid w:val="00F216CE"/>
    <w:rsid w:val="00F22F20"/>
    <w:rsid w:val="00F24123"/>
    <w:rsid w:val="00F24207"/>
    <w:rsid w:val="00F242D2"/>
    <w:rsid w:val="00F2436E"/>
    <w:rsid w:val="00F24992"/>
    <w:rsid w:val="00F24AAA"/>
    <w:rsid w:val="00F25077"/>
    <w:rsid w:val="00F25814"/>
    <w:rsid w:val="00F25D32"/>
    <w:rsid w:val="00F26D16"/>
    <w:rsid w:val="00F26E6F"/>
    <w:rsid w:val="00F27585"/>
    <w:rsid w:val="00F27662"/>
    <w:rsid w:val="00F30C47"/>
    <w:rsid w:val="00F314DE"/>
    <w:rsid w:val="00F316CF"/>
    <w:rsid w:val="00F31EA7"/>
    <w:rsid w:val="00F324C4"/>
    <w:rsid w:val="00F32785"/>
    <w:rsid w:val="00F328D7"/>
    <w:rsid w:val="00F32A58"/>
    <w:rsid w:val="00F330EF"/>
    <w:rsid w:val="00F33446"/>
    <w:rsid w:val="00F33C79"/>
    <w:rsid w:val="00F33FED"/>
    <w:rsid w:val="00F340FD"/>
    <w:rsid w:val="00F341FD"/>
    <w:rsid w:val="00F3425C"/>
    <w:rsid w:val="00F34C35"/>
    <w:rsid w:val="00F34D00"/>
    <w:rsid w:val="00F34E14"/>
    <w:rsid w:val="00F35A65"/>
    <w:rsid w:val="00F3661B"/>
    <w:rsid w:val="00F36C96"/>
    <w:rsid w:val="00F36CE4"/>
    <w:rsid w:val="00F36D96"/>
    <w:rsid w:val="00F372DA"/>
    <w:rsid w:val="00F376AF"/>
    <w:rsid w:val="00F377BE"/>
    <w:rsid w:val="00F37E61"/>
    <w:rsid w:val="00F40241"/>
    <w:rsid w:val="00F40409"/>
    <w:rsid w:val="00F40880"/>
    <w:rsid w:val="00F40B0C"/>
    <w:rsid w:val="00F40DBB"/>
    <w:rsid w:val="00F41EDA"/>
    <w:rsid w:val="00F42066"/>
    <w:rsid w:val="00F42168"/>
    <w:rsid w:val="00F42310"/>
    <w:rsid w:val="00F42713"/>
    <w:rsid w:val="00F427B6"/>
    <w:rsid w:val="00F42F6B"/>
    <w:rsid w:val="00F436C0"/>
    <w:rsid w:val="00F43DF2"/>
    <w:rsid w:val="00F44010"/>
    <w:rsid w:val="00F45130"/>
    <w:rsid w:val="00F45781"/>
    <w:rsid w:val="00F45CC2"/>
    <w:rsid w:val="00F46087"/>
    <w:rsid w:val="00F46585"/>
    <w:rsid w:val="00F46EF0"/>
    <w:rsid w:val="00F4715C"/>
    <w:rsid w:val="00F4764A"/>
    <w:rsid w:val="00F47A8D"/>
    <w:rsid w:val="00F47AA0"/>
    <w:rsid w:val="00F500D2"/>
    <w:rsid w:val="00F50A68"/>
    <w:rsid w:val="00F50ED9"/>
    <w:rsid w:val="00F51416"/>
    <w:rsid w:val="00F51484"/>
    <w:rsid w:val="00F516A8"/>
    <w:rsid w:val="00F51B41"/>
    <w:rsid w:val="00F51B93"/>
    <w:rsid w:val="00F51D5B"/>
    <w:rsid w:val="00F51F45"/>
    <w:rsid w:val="00F5200B"/>
    <w:rsid w:val="00F5323F"/>
    <w:rsid w:val="00F53959"/>
    <w:rsid w:val="00F53C34"/>
    <w:rsid w:val="00F5403C"/>
    <w:rsid w:val="00F54085"/>
    <w:rsid w:val="00F542D5"/>
    <w:rsid w:val="00F543C8"/>
    <w:rsid w:val="00F54E44"/>
    <w:rsid w:val="00F5500B"/>
    <w:rsid w:val="00F550FD"/>
    <w:rsid w:val="00F555BE"/>
    <w:rsid w:val="00F55D31"/>
    <w:rsid w:val="00F55EA9"/>
    <w:rsid w:val="00F560E3"/>
    <w:rsid w:val="00F561D2"/>
    <w:rsid w:val="00F562AB"/>
    <w:rsid w:val="00F56B63"/>
    <w:rsid w:val="00F56CBF"/>
    <w:rsid w:val="00F56D1B"/>
    <w:rsid w:val="00F57A6D"/>
    <w:rsid w:val="00F57BA3"/>
    <w:rsid w:val="00F60958"/>
    <w:rsid w:val="00F60ED7"/>
    <w:rsid w:val="00F611DF"/>
    <w:rsid w:val="00F6131B"/>
    <w:rsid w:val="00F6141C"/>
    <w:rsid w:val="00F617F1"/>
    <w:rsid w:val="00F626CF"/>
    <w:rsid w:val="00F62786"/>
    <w:rsid w:val="00F62FCC"/>
    <w:rsid w:val="00F635D2"/>
    <w:rsid w:val="00F636CD"/>
    <w:rsid w:val="00F63728"/>
    <w:rsid w:val="00F63970"/>
    <w:rsid w:val="00F642C0"/>
    <w:rsid w:val="00F642CB"/>
    <w:rsid w:val="00F64344"/>
    <w:rsid w:val="00F648A4"/>
    <w:rsid w:val="00F651FA"/>
    <w:rsid w:val="00F6546F"/>
    <w:rsid w:val="00F65954"/>
    <w:rsid w:val="00F65D1A"/>
    <w:rsid w:val="00F66308"/>
    <w:rsid w:val="00F666B7"/>
    <w:rsid w:val="00F669EE"/>
    <w:rsid w:val="00F66AA7"/>
    <w:rsid w:val="00F66B3D"/>
    <w:rsid w:val="00F670FB"/>
    <w:rsid w:val="00F671DB"/>
    <w:rsid w:val="00F67835"/>
    <w:rsid w:val="00F67C5F"/>
    <w:rsid w:val="00F67E1B"/>
    <w:rsid w:val="00F700D1"/>
    <w:rsid w:val="00F701BA"/>
    <w:rsid w:val="00F708B4"/>
    <w:rsid w:val="00F712D9"/>
    <w:rsid w:val="00F718C6"/>
    <w:rsid w:val="00F719D1"/>
    <w:rsid w:val="00F71F18"/>
    <w:rsid w:val="00F71F41"/>
    <w:rsid w:val="00F7220F"/>
    <w:rsid w:val="00F724A9"/>
    <w:rsid w:val="00F72BDA"/>
    <w:rsid w:val="00F72C63"/>
    <w:rsid w:val="00F73967"/>
    <w:rsid w:val="00F7397E"/>
    <w:rsid w:val="00F73AC5"/>
    <w:rsid w:val="00F74160"/>
    <w:rsid w:val="00F74460"/>
    <w:rsid w:val="00F751E9"/>
    <w:rsid w:val="00F7585E"/>
    <w:rsid w:val="00F75A02"/>
    <w:rsid w:val="00F75C43"/>
    <w:rsid w:val="00F76676"/>
    <w:rsid w:val="00F76A33"/>
    <w:rsid w:val="00F771E5"/>
    <w:rsid w:val="00F77B45"/>
    <w:rsid w:val="00F77B8F"/>
    <w:rsid w:val="00F807B4"/>
    <w:rsid w:val="00F80818"/>
    <w:rsid w:val="00F80C71"/>
    <w:rsid w:val="00F80CC5"/>
    <w:rsid w:val="00F81FE4"/>
    <w:rsid w:val="00F820EB"/>
    <w:rsid w:val="00F8296F"/>
    <w:rsid w:val="00F82AAC"/>
    <w:rsid w:val="00F82FC8"/>
    <w:rsid w:val="00F83033"/>
    <w:rsid w:val="00F8320F"/>
    <w:rsid w:val="00F8370E"/>
    <w:rsid w:val="00F848EC"/>
    <w:rsid w:val="00F858DD"/>
    <w:rsid w:val="00F85B39"/>
    <w:rsid w:val="00F86437"/>
    <w:rsid w:val="00F867A7"/>
    <w:rsid w:val="00F874F2"/>
    <w:rsid w:val="00F87B78"/>
    <w:rsid w:val="00F87C8A"/>
    <w:rsid w:val="00F87F9D"/>
    <w:rsid w:val="00F90240"/>
    <w:rsid w:val="00F90274"/>
    <w:rsid w:val="00F902E8"/>
    <w:rsid w:val="00F90337"/>
    <w:rsid w:val="00F90360"/>
    <w:rsid w:val="00F919C3"/>
    <w:rsid w:val="00F91EE2"/>
    <w:rsid w:val="00F92202"/>
    <w:rsid w:val="00F9234D"/>
    <w:rsid w:val="00F92D96"/>
    <w:rsid w:val="00F92F50"/>
    <w:rsid w:val="00F93213"/>
    <w:rsid w:val="00F934F0"/>
    <w:rsid w:val="00F937C7"/>
    <w:rsid w:val="00F93AD0"/>
    <w:rsid w:val="00F941B9"/>
    <w:rsid w:val="00F9452F"/>
    <w:rsid w:val="00F945FF"/>
    <w:rsid w:val="00F94AFC"/>
    <w:rsid w:val="00F9523E"/>
    <w:rsid w:val="00F95A0F"/>
    <w:rsid w:val="00F95FAC"/>
    <w:rsid w:val="00F960FC"/>
    <w:rsid w:val="00F961CD"/>
    <w:rsid w:val="00F96223"/>
    <w:rsid w:val="00F9678A"/>
    <w:rsid w:val="00F96F90"/>
    <w:rsid w:val="00F970FA"/>
    <w:rsid w:val="00F97115"/>
    <w:rsid w:val="00F97257"/>
    <w:rsid w:val="00F9743B"/>
    <w:rsid w:val="00F9759E"/>
    <w:rsid w:val="00F978E9"/>
    <w:rsid w:val="00F97EC5"/>
    <w:rsid w:val="00FA0057"/>
    <w:rsid w:val="00FA03F0"/>
    <w:rsid w:val="00FA0526"/>
    <w:rsid w:val="00FA05F4"/>
    <w:rsid w:val="00FA088D"/>
    <w:rsid w:val="00FA137E"/>
    <w:rsid w:val="00FA1441"/>
    <w:rsid w:val="00FA1F3C"/>
    <w:rsid w:val="00FA229B"/>
    <w:rsid w:val="00FA2836"/>
    <w:rsid w:val="00FA348C"/>
    <w:rsid w:val="00FA3855"/>
    <w:rsid w:val="00FA439B"/>
    <w:rsid w:val="00FA43D0"/>
    <w:rsid w:val="00FA4D0A"/>
    <w:rsid w:val="00FA52C0"/>
    <w:rsid w:val="00FA6E2F"/>
    <w:rsid w:val="00FA6ECD"/>
    <w:rsid w:val="00FA713A"/>
    <w:rsid w:val="00FA7401"/>
    <w:rsid w:val="00FA74E4"/>
    <w:rsid w:val="00FA7AD8"/>
    <w:rsid w:val="00FB061D"/>
    <w:rsid w:val="00FB0DC4"/>
    <w:rsid w:val="00FB0EBA"/>
    <w:rsid w:val="00FB16B4"/>
    <w:rsid w:val="00FB1846"/>
    <w:rsid w:val="00FB19D9"/>
    <w:rsid w:val="00FB1B51"/>
    <w:rsid w:val="00FB234D"/>
    <w:rsid w:val="00FB2549"/>
    <w:rsid w:val="00FB2731"/>
    <w:rsid w:val="00FB2885"/>
    <w:rsid w:val="00FB2EA3"/>
    <w:rsid w:val="00FB2F2A"/>
    <w:rsid w:val="00FB4843"/>
    <w:rsid w:val="00FB4C6F"/>
    <w:rsid w:val="00FB4EDF"/>
    <w:rsid w:val="00FB51C9"/>
    <w:rsid w:val="00FB5849"/>
    <w:rsid w:val="00FB64EE"/>
    <w:rsid w:val="00FB6B03"/>
    <w:rsid w:val="00FB7E14"/>
    <w:rsid w:val="00FC0581"/>
    <w:rsid w:val="00FC0F1D"/>
    <w:rsid w:val="00FC110E"/>
    <w:rsid w:val="00FC128D"/>
    <w:rsid w:val="00FC1876"/>
    <w:rsid w:val="00FC1B74"/>
    <w:rsid w:val="00FC2D3D"/>
    <w:rsid w:val="00FC2DC3"/>
    <w:rsid w:val="00FC3622"/>
    <w:rsid w:val="00FC3EB1"/>
    <w:rsid w:val="00FC4748"/>
    <w:rsid w:val="00FC49A6"/>
    <w:rsid w:val="00FC4D33"/>
    <w:rsid w:val="00FC4DBB"/>
    <w:rsid w:val="00FC4E4B"/>
    <w:rsid w:val="00FC4EA7"/>
    <w:rsid w:val="00FC528F"/>
    <w:rsid w:val="00FC55F7"/>
    <w:rsid w:val="00FC56A7"/>
    <w:rsid w:val="00FC57A0"/>
    <w:rsid w:val="00FC5E54"/>
    <w:rsid w:val="00FC6024"/>
    <w:rsid w:val="00FC64BD"/>
    <w:rsid w:val="00FC6C8F"/>
    <w:rsid w:val="00FC750B"/>
    <w:rsid w:val="00FC7761"/>
    <w:rsid w:val="00FD0635"/>
    <w:rsid w:val="00FD0671"/>
    <w:rsid w:val="00FD09E6"/>
    <w:rsid w:val="00FD0D29"/>
    <w:rsid w:val="00FD0E9F"/>
    <w:rsid w:val="00FD0FAB"/>
    <w:rsid w:val="00FD18C3"/>
    <w:rsid w:val="00FD1DDD"/>
    <w:rsid w:val="00FD1EFF"/>
    <w:rsid w:val="00FD2023"/>
    <w:rsid w:val="00FD2120"/>
    <w:rsid w:val="00FD253B"/>
    <w:rsid w:val="00FD2AAC"/>
    <w:rsid w:val="00FD37C3"/>
    <w:rsid w:val="00FD39BA"/>
    <w:rsid w:val="00FD43D6"/>
    <w:rsid w:val="00FD51C7"/>
    <w:rsid w:val="00FD581F"/>
    <w:rsid w:val="00FD5B66"/>
    <w:rsid w:val="00FD5E18"/>
    <w:rsid w:val="00FD5EAD"/>
    <w:rsid w:val="00FD62E0"/>
    <w:rsid w:val="00FD6CB7"/>
    <w:rsid w:val="00FD72DB"/>
    <w:rsid w:val="00FD7878"/>
    <w:rsid w:val="00FD7E18"/>
    <w:rsid w:val="00FD7F3D"/>
    <w:rsid w:val="00FE00D9"/>
    <w:rsid w:val="00FE03A9"/>
    <w:rsid w:val="00FE0407"/>
    <w:rsid w:val="00FE0E09"/>
    <w:rsid w:val="00FE0FD7"/>
    <w:rsid w:val="00FE1089"/>
    <w:rsid w:val="00FE187E"/>
    <w:rsid w:val="00FE1C24"/>
    <w:rsid w:val="00FE1CAD"/>
    <w:rsid w:val="00FE1F28"/>
    <w:rsid w:val="00FE2252"/>
    <w:rsid w:val="00FE2834"/>
    <w:rsid w:val="00FE2C5F"/>
    <w:rsid w:val="00FE2D9D"/>
    <w:rsid w:val="00FE3563"/>
    <w:rsid w:val="00FE365E"/>
    <w:rsid w:val="00FE3CEC"/>
    <w:rsid w:val="00FE3EF3"/>
    <w:rsid w:val="00FE47CB"/>
    <w:rsid w:val="00FE5B44"/>
    <w:rsid w:val="00FE67F4"/>
    <w:rsid w:val="00FE713F"/>
    <w:rsid w:val="00FE71E0"/>
    <w:rsid w:val="00FE7A6C"/>
    <w:rsid w:val="00FF0067"/>
    <w:rsid w:val="00FF0725"/>
    <w:rsid w:val="00FF0EEB"/>
    <w:rsid w:val="00FF13E9"/>
    <w:rsid w:val="00FF151A"/>
    <w:rsid w:val="00FF16D0"/>
    <w:rsid w:val="00FF1C0D"/>
    <w:rsid w:val="00FF1C54"/>
    <w:rsid w:val="00FF1CB1"/>
    <w:rsid w:val="00FF1F7F"/>
    <w:rsid w:val="00FF26C2"/>
    <w:rsid w:val="00FF2C78"/>
    <w:rsid w:val="00FF2D0E"/>
    <w:rsid w:val="00FF2EB2"/>
    <w:rsid w:val="00FF33A2"/>
    <w:rsid w:val="00FF3747"/>
    <w:rsid w:val="00FF3B79"/>
    <w:rsid w:val="00FF3F9D"/>
    <w:rsid w:val="00FF425B"/>
    <w:rsid w:val="00FF44EB"/>
    <w:rsid w:val="00FF46A6"/>
    <w:rsid w:val="00FF4766"/>
    <w:rsid w:val="00FF4825"/>
    <w:rsid w:val="00FF487B"/>
    <w:rsid w:val="00FF4DB8"/>
    <w:rsid w:val="00FF4E21"/>
    <w:rsid w:val="00FF4F39"/>
    <w:rsid w:val="00FF4FBF"/>
    <w:rsid w:val="00FF5292"/>
    <w:rsid w:val="00FF56EF"/>
    <w:rsid w:val="00FF614A"/>
    <w:rsid w:val="00FF65C8"/>
    <w:rsid w:val="00FF6E3B"/>
    <w:rsid w:val="00FF72C1"/>
    <w:rsid w:val="00FF72CB"/>
    <w:rsid w:val="00FF76C9"/>
    <w:rsid w:val="00FF76EA"/>
    <w:rsid w:val="00FF7DA0"/>
    <w:rsid w:val="00FF7DE8"/>
    <w:rsid w:val="00FF7E08"/>
    <w:rsid w:val="0CEA1F7B"/>
    <w:rsid w:val="54442217"/>
    <w:rsid w:val="55737A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0" w:name="toc 2"/>
    <w:lsdException w:qFormat="1" w:unhideWhenUsed="0" w:uiPriority="0" w:semiHidden="0" w:name="toc 3"/>
    <w:lsdException w:unhideWhenUsed="0" w:uiPriority="39" w:semiHidden="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nhideWhenUsed="0" w:uiPriority="0"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iPriority="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nhideWhenUsed="0" w:uiPriority="0" w:semiHidden="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20" w:lineRule="exact"/>
      <w:ind w:firstLine="200" w:firstLineChars="200"/>
      <w:jc w:val="both"/>
    </w:pPr>
    <w:rPr>
      <w:rFonts w:ascii="Times New Roman" w:hAnsi="Times New Roman" w:eastAsia="宋体" w:cs="Times New Roman"/>
      <w:kern w:val="2"/>
      <w:sz w:val="24"/>
      <w:lang w:val="en-US" w:eastAsia="zh-CN" w:bidi="ar-SA"/>
    </w:rPr>
  </w:style>
  <w:style w:type="paragraph" w:styleId="2">
    <w:name w:val="heading 1"/>
    <w:basedOn w:val="1"/>
    <w:next w:val="1"/>
    <w:qFormat/>
    <w:uiPriority w:val="0"/>
    <w:pPr>
      <w:keepNext/>
      <w:spacing w:line="240" w:lineRule="auto"/>
      <w:ind w:firstLine="0" w:firstLineChars="0"/>
      <w:jc w:val="left"/>
      <w:outlineLvl w:val="0"/>
    </w:pPr>
    <w:rPr>
      <w:rFonts w:ascii="等线 Light" w:hAnsi="等线 Light" w:eastAsia="黑体"/>
      <w:b/>
      <w:sz w:val="30"/>
    </w:rPr>
  </w:style>
  <w:style w:type="paragraph" w:styleId="3">
    <w:name w:val="heading 2"/>
    <w:basedOn w:val="1"/>
    <w:next w:val="1"/>
    <w:uiPriority w:val="0"/>
    <w:pPr>
      <w:keepNext/>
      <w:jc w:val="left"/>
      <w:outlineLvl w:val="1"/>
    </w:pPr>
    <w:rPr>
      <w:b/>
      <w:spacing w:val="-24"/>
      <w:sz w:val="28"/>
    </w:rPr>
  </w:style>
  <w:style w:type="paragraph" w:styleId="4">
    <w:name w:val="heading 3"/>
    <w:basedOn w:val="1"/>
    <w:next w:val="1"/>
    <w:qFormat/>
    <w:uiPriority w:val="0"/>
    <w:pPr>
      <w:keepNext/>
      <w:keepLines/>
      <w:adjustRightInd w:val="0"/>
      <w:ind w:firstLine="0" w:firstLineChars="0"/>
      <w:jc w:val="left"/>
      <w:textAlignment w:val="baseline"/>
      <w:outlineLvl w:val="2"/>
    </w:pPr>
    <w:rPr>
      <w:b/>
      <w:kern w:val="0"/>
      <w:shd w:val="clear" w:color="auto" w:fill="FFFFFF"/>
    </w:rPr>
  </w:style>
  <w:style w:type="paragraph" w:styleId="5">
    <w:name w:val="heading 4"/>
    <w:basedOn w:val="1"/>
    <w:next w:val="1"/>
    <w:link w:val="184"/>
    <w:semiHidden/>
    <w:unhideWhenUsed/>
    <w:qFormat/>
    <w:uiPriority w:val="0"/>
    <w:pPr>
      <w:keepNext/>
      <w:keepLines/>
      <w:spacing w:before="280" w:after="290" w:line="376" w:lineRule="atLeast"/>
      <w:outlineLvl w:val="3"/>
    </w:pPr>
    <w:rPr>
      <w:rFonts w:asciiTheme="majorHAnsi" w:hAnsiTheme="majorHAnsi" w:eastAsiaTheme="majorEastAsia" w:cstheme="majorBidi"/>
      <w:b/>
      <w:bCs/>
      <w:sz w:val="28"/>
      <w:szCs w:val="28"/>
    </w:rPr>
  </w:style>
  <w:style w:type="character" w:default="1" w:styleId="38">
    <w:name w:val="Default Paragraph Font"/>
    <w:semiHidden/>
    <w:unhideWhenUsed/>
    <w:qFormat/>
    <w:uiPriority w:val="1"/>
  </w:style>
  <w:style w:type="table" w:default="1" w:styleId="34">
    <w:name w:val="Normal Table"/>
    <w:semiHidden/>
    <w:unhideWhenUsed/>
    <w:uiPriority w:val="99"/>
    <w:tblPr>
      <w:tblCellMar>
        <w:top w:w="0" w:type="dxa"/>
        <w:left w:w="108" w:type="dxa"/>
        <w:bottom w:w="0" w:type="dxa"/>
        <w:right w:w="108" w:type="dxa"/>
      </w:tblCellMar>
    </w:tblPr>
  </w:style>
  <w:style w:type="paragraph" w:styleId="6">
    <w:name w:val="Note Heading"/>
    <w:basedOn w:val="1"/>
    <w:next w:val="1"/>
    <w:qFormat/>
    <w:uiPriority w:val="0"/>
    <w:pPr>
      <w:jc w:val="center"/>
    </w:pPr>
  </w:style>
  <w:style w:type="paragraph" w:styleId="7">
    <w:name w:val="Normal Indent"/>
    <w:basedOn w:val="1"/>
    <w:link w:val="127"/>
    <w:qFormat/>
    <w:uiPriority w:val="0"/>
    <w:pPr>
      <w:ind w:firstLine="420"/>
    </w:pPr>
    <w:rPr>
      <w:lang w:val="zh-CN"/>
    </w:rPr>
  </w:style>
  <w:style w:type="paragraph" w:styleId="8">
    <w:name w:val="caption"/>
    <w:basedOn w:val="1"/>
    <w:next w:val="1"/>
    <w:qFormat/>
    <w:uiPriority w:val="0"/>
    <w:pPr>
      <w:adjustRightInd w:val="0"/>
      <w:snapToGrid w:val="0"/>
      <w:jc w:val="center"/>
    </w:pPr>
    <w:rPr>
      <w:rFonts w:eastAsia="黑体" w:cs="Arial"/>
    </w:rPr>
  </w:style>
  <w:style w:type="paragraph" w:styleId="9">
    <w:name w:val="Document Map"/>
    <w:basedOn w:val="1"/>
    <w:qFormat/>
    <w:uiPriority w:val="0"/>
    <w:pPr>
      <w:shd w:val="clear" w:color="auto" w:fill="000080"/>
    </w:pPr>
  </w:style>
  <w:style w:type="paragraph" w:styleId="10">
    <w:name w:val="annotation text"/>
    <w:basedOn w:val="1"/>
    <w:link w:val="152"/>
    <w:qFormat/>
    <w:uiPriority w:val="0"/>
    <w:pPr>
      <w:jc w:val="left"/>
    </w:pPr>
  </w:style>
  <w:style w:type="paragraph" w:styleId="11">
    <w:name w:val="Body Text 3"/>
    <w:basedOn w:val="1"/>
    <w:qFormat/>
    <w:uiPriority w:val="0"/>
    <w:pPr>
      <w:spacing w:after="120"/>
    </w:pPr>
    <w:rPr>
      <w:sz w:val="16"/>
    </w:rPr>
  </w:style>
  <w:style w:type="paragraph" w:styleId="12">
    <w:name w:val="Body Text"/>
    <w:basedOn w:val="1"/>
    <w:link w:val="134"/>
    <w:uiPriority w:val="0"/>
    <w:pPr>
      <w:jc w:val="center"/>
    </w:pPr>
    <w:rPr>
      <w:lang w:val="zh-CN"/>
    </w:rPr>
  </w:style>
  <w:style w:type="paragraph" w:styleId="13">
    <w:name w:val="Body Text Indent"/>
    <w:basedOn w:val="1"/>
    <w:qFormat/>
    <w:uiPriority w:val="0"/>
    <w:pPr>
      <w:spacing w:line="360" w:lineRule="auto"/>
      <w:ind w:firstLine="480"/>
    </w:pPr>
  </w:style>
  <w:style w:type="paragraph" w:styleId="14">
    <w:name w:val="Block Text"/>
    <w:basedOn w:val="1"/>
    <w:qFormat/>
    <w:uiPriority w:val="99"/>
    <w:pPr>
      <w:spacing w:line="320" w:lineRule="exact"/>
      <w:ind w:left="113" w:right="113"/>
      <w:jc w:val="center"/>
    </w:pPr>
    <w:rPr>
      <w:b/>
      <w:sz w:val="13"/>
    </w:rPr>
  </w:style>
  <w:style w:type="paragraph" w:styleId="15">
    <w:name w:val="toc 3"/>
    <w:basedOn w:val="1"/>
    <w:next w:val="1"/>
    <w:qFormat/>
    <w:uiPriority w:val="0"/>
    <w:pPr>
      <w:spacing w:line="360" w:lineRule="auto"/>
    </w:pPr>
    <w:rPr>
      <w:spacing w:val="-6"/>
    </w:rPr>
  </w:style>
  <w:style w:type="paragraph" w:styleId="16">
    <w:name w:val="Plain Text"/>
    <w:basedOn w:val="1"/>
    <w:link w:val="90"/>
    <w:qFormat/>
    <w:uiPriority w:val="0"/>
    <w:rPr>
      <w:rFonts w:ascii="宋体" w:hAnsi="Courier New"/>
    </w:rPr>
  </w:style>
  <w:style w:type="paragraph" w:styleId="17">
    <w:name w:val="Date"/>
    <w:basedOn w:val="1"/>
    <w:next w:val="1"/>
    <w:uiPriority w:val="0"/>
  </w:style>
  <w:style w:type="paragraph" w:styleId="18">
    <w:name w:val="Body Text Indent 2"/>
    <w:basedOn w:val="1"/>
    <w:qFormat/>
    <w:uiPriority w:val="0"/>
    <w:pPr>
      <w:spacing w:line="460" w:lineRule="exact"/>
      <w:ind w:left="660"/>
    </w:pPr>
  </w:style>
  <w:style w:type="paragraph" w:styleId="19">
    <w:name w:val="Balloon Text"/>
    <w:basedOn w:val="1"/>
    <w:link w:val="44"/>
    <w:qFormat/>
    <w:uiPriority w:val="0"/>
    <w:rPr>
      <w:sz w:val="18"/>
    </w:rPr>
  </w:style>
  <w:style w:type="paragraph" w:styleId="20">
    <w:name w:val="footer"/>
    <w:basedOn w:val="1"/>
    <w:link w:val="112"/>
    <w:qFormat/>
    <w:uiPriority w:val="99"/>
    <w:pPr>
      <w:tabs>
        <w:tab w:val="center" w:pos="4153"/>
        <w:tab w:val="right" w:pos="8306"/>
      </w:tabs>
      <w:snapToGrid w:val="0"/>
      <w:jc w:val="left"/>
    </w:pPr>
    <w:rPr>
      <w:sz w:val="18"/>
      <w:lang w:val="zh-CN"/>
    </w:rPr>
  </w:style>
  <w:style w:type="paragraph" w:styleId="21">
    <w:name w:val="header"/>
    <w:basedOn w:val="1"/>
    <w:link w:val="48"/>
    <w:uiPriority w:val="0"/>
    <w:pPr>
      <w:pBdr>
        <w:bottom w:val="single" w:color="auto" w:sz="6" w:space="1"/>
      </w:pBdr>
      <w:tabs>
        <w:tab w:val="center" w:pos="4153"/>
        <w:tab w:val="right" w:pos="8306"/>
      </w:tabs>
      <w:snapToGrid w:val="0"/>
      <w:jc w:val="center"/>
    </w:pPr>
    <w:rPr>
      <w:sz w:val="18"/>
    </w:rPr>
  </w:style>
  <w:style w:type="paragraph" w:styleId="22">
    <w:name w:val="toc 1"/>
    <w:basedOn w:val="1"/>
    <w:next w:val="1"/>
    <w:uiPriority w:val="39"/>
  </w:style>
  <w:style w:type="paragraph" w:styleId="23">
    <w:name w:val="toc 4"/>
    <w:basedOn w:val="1"/>
    <w:next w:val="1"/>
    <w:uiPriority w:val="39"/>
    <w:pPr>
      <w:widowControl/>
      <w:ind w:left="1260" w:leftChars="600"/>
      <w:jc w:val="left"/>
    </w:pPr>
    <w:rPr>
      <w:rFonts w:ascii="Calibri" w:hAnsi="Calibri"/>
      <w:szCs w:val="24"/>
    </w:rPr>
  </w:style>
  <w:style w:type="paragraph" w:styleId="24">
    <w:name w:val="List"/>
    <w:basedOn w:val="1"/>
    <w:link w:val="122"/>
    <w:uiPriority w:val="0"/>
    <w:pPr>
      <w:ind w:left="200" w:hanging="200" w:hangingChars="200"/>
    </w:pPr>
    <w:rPr>
      <w:lang w:val="zh-CN"/>
    </w:rPr>
  </w:style>
  <w:style w:type="paragraph" w:styleId="25">
    <w:name w:val="Body Text Indent 3"/>
    <w:basedOn w:val="1"/>
    <w:qFormat/>
    <w:uiPriority w:val="0"/>
    <w:pPr>
      <w:spacing w:line="460" w:lineRule="exact"/>
      <w:ind w:left="479" w:leftChars="228" w:firstLine="360" w:firstLineChars="150"/>
    </w:pPr>
  </w:style>
  <w:style w:type="paragraph" w:styleId="26">
    <w:name w:val="toc 2"/>
    <w:basedOn w:val="1"/>
    <w:next w:val="1"/>
    <w:semiHidden/>
    <w:qFormat/>
    <w:uiPriority w:val="0"/>
    <w:pPr>
      <w:ind w:left="420" w:leftChars="200"/>
    </w:pPr>
  </w:style>
  <w:style w:type="paragraph" w:styleId="27">
    <w:name w:val="Body Text 2"/>
    <w:basedOn w:val="1"/>
    <w:qFormat/>
    <w:uiPriority w:val="0"/>
    <w:pPr>
      <w:spacing w:line="360" w:lineRule="auto"/>
    </w:pPr>
    <w:rPr>
      <w:b/>
      <w:caps/>
    </w:rPr>
  </w:style>
  <w:style w:type="paragraph" w:styleId="28">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rPr>
  </w:style>
  <w:style w:type="paragraph" w:styleId="29">
    <w:name w:val="Normal (Web)"/>
    <w:basedOn w:val="1"/>
    <w:link w:val="178"/>
    <w:qFormat/>
    <w:uiPriority w:val="99"/>
    <w:pPr>
      <w:widowControl/>
      <w:spacing w:before="100" w:beforeAutospacing="1" w:after="100" w:afterAutospacing="1"/>
      <w:jc w:val="left"/>
    </w:pPr>
    <w:rPr>
      <w:rFonts w:ascii="宋体" w:hAnsi="宋体"/>
      <w:kern w:val="0"/>
    </w:rPr>
  </w:style>
  <w:style w:type="paragraph" w:styleId="30">
    <w:name w:val="index 1"/>
    <w:basedOn w:val="1"/>
    <w:next w:val="1"/>
    <w:qFormat/>
    <w:uiPriority w:val="0"/>
    <w:pPr>
      <w:spacing w:line="240" w:lineRule="auto"/>
      <w:ind w:firstLine="0" w:firstLineChars="0"/>
    </w:pPr>
    <w:rPr>
      <w:sz w:val="21"/>
      <w:szCs w:val="24"/>
    </w:rPr>
  </w:style>
  <w:style w:type="paragraph" w:styleId="31">
    <w:name w:val="Title"/>
    <w:basedOn w:val="3"/>
    <w:next w:val="1"/>
    <w:link w:val="183"/>
    <w:qFormat/>
    <w:uiPriority w:val="10"/>
    <w:pPr>
      <w:keepNext w:val="0"/>
      <w:spacing w:line="480" w:lineRule="exact"/>
      <w:ind w:firstLine="0" w:firstLineChars="0"/>
      <w:outlineLvl w:val="2"/>
    </w:pPr>
    <w:rPr>
      <w:rFonts w:eastAsia="黑体" w:cstheme="majorBidi"/>
      <w:b w:val="0"/>
      <w:spacing w:val="0"/>
      <w:sz w:val="24"/>
      <w:szCs w:val="32"/>
    </w:rPr>
  </w:style>
  <w:style w:type="paragraph" w:styleId="32">
    <w:name w:val="annotation subject"/>
    <w:basedOn w:val="10"/>
    <w:next w:val="10"/>
    <w:qFormat/>
    <w:uiPriority w:val="0"/>
    <w:rPr>
      <w:b/>
    </w:rPr>
  </w:style>
  <w:style w:type="paragraph" w:styleId="33">
    <w:name w:val="Body Text First Indent"/>
    <w:basedOn w:val="12"/>
    <w:qFormat/>
    <w:uiPriority w:val="0"/>
    <w:pPr>
      <w:spacing w:after="120"/>
      <w:ind w:firstLine="420"/>
      <w:jc w:val="both"/>
    </w:pPr>
  </w:style>
  <w:style w:type="table" w:styleId="35">
    <w:name w:val="Table Grid"/>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6">
    <w:name w:val="Table Theme"/>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7">
    <w:name w:val="Table Elegant"/>
    <w:basedOn w:val="3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character" w:styleId="39">
    <w:name w:val="Strong"/>
    <w:qFormat/>
    <w:uiPriority w:val="0"/>
    <w:rPr>
      <w:b/>
    </w:rPr>
  </w:style>
  <w:style w:type="character" w:styleId="40">
    <w:name w:val="page number"/>
    <w:basedOn w:val="38"/>
    <w:qFormat/>
    <w:uiPriority w:val="0"/>
  </w:style>
  <w:style w:type="character" w:styleId="41">
    <w:name w:val="Emphasis"/>
    <w:qFormat/>
    <w:uiPriority w:val="20"/>
    <w:rPr>
      <w:color w:val="CC0000"/>
    </w:rPr>
  </w:style>
  <w:style w:type="character" w:styleId="42">
    <w:name w:val="Hyperlink"/>
    <w:qFormat/>
    <w:uiPriority w:val="99"/>
    <w:rPr>
      <w:color w:val="000000"/>
      <w:u w:val="none"/>
    </w:rPr>
  </w:style>
  <w:style w:type="character" w:styleId="43">
    <w:name w:val="annotation reference"/>
    <w:qFormat/>
    <w:uiPriority w:val="0"/>
    <w:rPr>
      <w:sz w:val="21"/>
    </w:rPr>
  </w:style>
  <w:style w:type="character" w:customStyle="1" w:styleId="44">
    <w:name w:val="批注框文本 字符"/>
    <w:link w:val="19"/>
    <w:qFormat/>
    <w:uiPriority w:val="0"/>
    <w:rPr>
      <w:rFonts w:eastAsia="宋体"/>
      <w:kern w:val="2"/>
      <w:sz w:val="18"/>
      <w:lang w:val="en-US" w:eastAsia="zh-CN"/>
    </w:rPr>
  </w:style>
  <w:style w:type="character" w:customStyle="1" w:styleId="45">
    <w:name w:val="tit031"/>
    <w:qFormat/>
    <w:uiPriority w:val="0"/>
    <w:rPr>
      <w:b/>
      <w:color w:val="990000"/>
      <w:spacing w:val="15"/>
      <w:sz w:val="24"/>
    </w:rPr>
  </w:style>
  <w:style w:type="character" w:customStyle="1" w:styleId="46">
    <w:name w:val="unnamed11"/>
    <w:basedOn w:val="38"/>
    <w:qFormat/>
    <w:uiPriority w:val="0"/>
  </w:style>
  <w:style w:type="character" w:customStyle="1" w:styleId="47">
    <w:name w:val="unnamed31"/>
    <w:basedOn w:val="38"/>
    <w:qFormat/>
    <w:uiPriority w:val="0"/>
  </w:style>
  <w:style w:type="character" w:customStyle="1" w:styleId="48">
    <w:name w:val="页眉 字符"/>
    <w:link w:val="21"/>
    <w:qFormat/>
    <w:uiPriority w:val="0"/>
    <w:rPr>
      <w:rFonts w:eastAsia="宋体"/>
      <w:kern w:val="2"/>
      <w:sz w:val="18"/>
      <w:lang w:val="en-US" w:eastAsia="zh-CN"/>
    </w:rPr>
  </w:style>
  <w:style w:type="paragraph" w:customStyle="1" w:styleId="49">
    <w:name w:val="流程图"/>
    <w:basedOn w:val="1"/>
    <w:qFormat/>
    <w:uiPriority w:val="0"/>
    <w:pPr>
      <w:tabs>
        <w:tab w:val="center" w:pos="0"/>
      </w:tabs>
    </w:pPr>
    <w:rPr>
      <w:rFonts w:eastAsia="楷体_GB2312"/>
    </w:rPr>
  </w:style>
  <w:style w:type="paragraph" w:customStyle="1" w:styleId="50">
    <w:name w:val="Char"/>
    <w:basedOn w:val="1"/>
    <w:qFormat/>
    <w:uiPriority w:val="0"/>
    <w:rPr>
      <w:sz w:val="18"/>
    </w:rPr>
  </w:style>
  <w:style w:type="paragraph" w:customStyle="1" w:styleId="51">
    <w:name w:val="xl36"/>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rPr>
  </w:style>
  <w:style w:type="paragraph" w:customStyle="1" w:styleId="52">
    <w:name w:val="标题1"/>
    <w:basedOn w:val="1"/>
    <w:next w:val="1"/>
    <w:qFormat/>
    <w:uiPriority w:val="0"/>
    <w:pPr>
      <w:numPr>
        <w:ilvl w:val="0"/>
        <w:numId w:val="1"/>
      </w:numPr>
      <w:spacing w:line="440" w:lineRule="exact"/>
    </w:pPr>
  </w:style>
  <w:style w:type="paragraph" w:customStyle="1" w:styleId="53">
    <w:name w:val="表格标题"/>
    <w:basedOn w:val="1"/>
    <w:qFormat/>
    <w:uiPriority w:val="0"/>
    <w:pPr>
      <w:spacing w:line="540" w:lineRule="exact"/>
      <w:jc w:val="center"/>
    </w:pPr>
    <w:rPr>
      <w:rFonts w:ascii="宋体" w:hAnsi="宋体"/>
      <w:b/>
    </w:rPr>
  </w:style>
  <w:style w:type="paragraph" w:customStyle="1" w:styleId="54">
    <w:name w:val="段落"/>
    <w:basedOn w:val="1"/>
    <w:qFormat/>
    <w:uiPriority w:val="0"/>
    <w:pPr>
      <w:tabs>
        <w:tab w:val="left" w:pos="1021"/>
      </w:tabs>
      <w:adjustRightInd w:val="0"/>
      <w:snapToGrid w:val="0"/>
      <w:spacing w:line="360" w:lineRule="auto"/>
      <w:ind w:firstLine="560"/>
    </w:pPr>
    <w:rPr>
      <w:color w:val="0000FF"/>
      <w:kern w:val="0"/>
      <w:sz w:val="28"/>
    </w:rPr>
  </w:style>
  <w:style w:type="paragraph" w:customStyle="1" w:styleId="55">
    <w:name w:val="简单回函地址"/>
    <w:basedOn w:val="1"/>
    <w:qFormat/>
    <w:uiPriority w:val="0"/>
  </w:style>
  <w:style w:type="paragraph" w:customStyle="1" w:styleId="56">
    <w:name w:val="xl30"/>
    <w:basedOn w:val="1"/>
    <w:qFormat/>
    <w:uiPriority w:val="0"/>
    <w:pPr>
      <w:widowControl/>
      <w:pBdr>
        <w:left w:val="single" w:color="auto" w:sz="12" w:space="0"/>
        <w:right w:val="single" w:color="auto" w:sz="4" w:space="0"/>
      </w:pBdr>
      <w:spacing w:before="100" w:after="100"/>
      <w:jc w:val="center"/>
    </w:pPr>
    <w:rPr>
      <w:rFonts w:ascii="宋体" w:hAnsi="宋体"/>
      <w:kern w:val="0"/>
    </w:rPr>
  </w:style>
  <w:style w:type="paragraph" w:customStyle="1" w:styleId="57">
    <w:name w:val="报告"/>
    <w:basedOn w:val="1"/>
    <w:link w:val="143"/>
    <w:qFormat/>
    <w:uiPriority w:val="0"/>
    <w:pPr>
      <w:adjustRightInd w:val="0"/>
      <w:spacing w:line="360" w:lineRule="auto"/>
      <w:ind w:firstLine="505"/>
      <w:textAlignment w:val="center"/>
    </w:pPr>
    <w:rPr>
      <w:rFonts w:ascii="TimesNewRoman" w:hAnsi="TimesNewRoman"/>
      <w:kern w:val="0"/>
    </w:rPr>
  </w:style>
  <w:style w:type="paragraph" w:customStyle="1" w:styleId="58">
    <w:name w:val="xl22"/>
    <w:basedOn w:val="1"/>
    <w:qFormat/>
    <w:uiPriority w:val="0"/>
    <w:pPr>
      <w:widowControl/>
      <w:spacing w:before="100" w:beforeAutospacing="1" w:after="100" w:afterAutospacing="1"/>
      <w:jc w:val="center"/>
    </w:pPr>
    <w:rPr>
      <w:rFonts w:ascii="宋体" w:hAnsi="宋体"/>
      <w:kern w:val="0"/>
    </w:rPr>
  </w:style>
  <w:style w:type="paragraph" w:customStyle="1" w:styleId="59">
    <w:name w:val="Char Char Char3 Char Char Char Char Char Char Char"/>
    <w:basedOn w:val="1"/>
    <w:qFormat/>
    <w:uiPriority w:val="0"/>
  </w:style>
  <w:style w:type="paragraph" w:customStyle="1" w:styleId="60">
    <w:name w:val="Char Char Char Char Char Char Char Char Char Char"/>
    <w:basedOn w:val="1"/>
    <w:qFormat/>
    <w:uiPriority w:val="0"/>
    <w:pPr>
      <w:spacing w:line="240" w:lineRule="exact"/>
    </w:pPr>
  </w:style>
  <w:style w:type="paragraph" w:customStyle="1" w:styleId="61">
    <w:name w:val="Char Char Char Char Char Char Char Char Char1 Char"/>
    <w:basedOn w:val="1"/>
    <w:qFormat/>
    <w:uiPriority w:val="0"/>
  </w:style>
  <w:style w:type="paragraph" w:customStyle="1" w:styleId="62">
    <w:name w:val="Char1"/>
    <w:basedOn w:val="1"/>
    <w:qFormat/>
    <w:uiPriority w:val="0"/>
  </w:style>
  <w:style w:type="paragraph" w:customStyle="1" w:styleId="63">
    <w:name w:val="1表格"/>
    <w:basedOn w:val="1"/>
    <w:qFormat/>
    <w:uiPriority w:val="0"/>
    <w:pPr>
      <w:snapToGrid w:val="0"/>
      <w:spacing w:line="160" w:lineRule="atLeast"/>
      <w:jc w:val="center"/>
    </w:pPr>
    <w:rPr>
      <w:rFonts w:eastAsia="仿宋_GB2312"/>
    </w:rPr>
  </w:style>
  <w:style w:type="paragraph" w:customStyle="1" w:styleId="64">
    <w:name w:val="Char Char Char Char Char Char Char Char Char"/>
    <w:basedOn w:val="1"/>
    <w:qFormat/>
    <w:uiPriority w:val="0"/>
  </w:style>
  <w:style w:type="paragraph" w:customStyle="1" w:styleId="65">
    <w:name w:val="表格样式"/>
    <w:basedOn w:val="1"/>
    <w:qFormat/>
    <w:uiPriority w:val="0"/>
    <w:pPr>
      <w:adjustRightInd w:val="0"/>
      <w:snapToGrid w:val="0"/>
      <w:jc w:val="center"/>
      <w:textAlignment w:val="center"/>
    </w:pPr>
    <w:rPr>
      <w:sz w:val="28"/>
    </w:rPr>
  </w:style>
  <w:style w:type="paragraph" w:customStyle="1" w:styleId="66">
    <w:name w:val="表"/>
    <w:basedOn w:val="1"/>
    <w:qFormat/>
    <w:uiPriority w:val="0"/>
    <w:pPr>
      <w:spacing w:line="240" w:lineRule="exact"/>
    </w:pPr>
    <w:rPr>
      <w:rFonts w:ascii="仿宋_GB2312" w:hAnsi="宋体" w:eastAsia="仿宋_GB2312"/>
      <w:sz w:val="18"/>
    </w:rPr>
  </w:style>
  <w:style w:type="paragraph" w:customStyle="1" w:styleId="67">
    <w:name w:val="样式 正文缩进正文（首行缩进两字） + 宋体 行距: 1.5 倍行距"/>
    <w:basedOn w:val="7"/>
    <w:qFormat/>
    <w:uiPriority w:val="0"/>
    <w:pPr>
      <w:adjustRightInd w:val="0"/>
      <w:spacing w:line="300" w:lineRule="auto"/>
      <w:ind w:firstLine="482"/>
      <w:jc w:val="left"/>
      <w:textAlignment w:val="baseline"/>
    </w:pPr>
    <w:rPr>
      <w:rFonts w:ascii="宋体" w:hAnsi="宋体"/>
    </w:rPr>
  </w:style>
  <w:style w:type="paragraph" w:customStyle="1" w:styleId="68">
    <w:name w:val="zhang正文"/>
    <w:basedOn w:val="13"/>
    <w:qFormat/>
    <w:uiPriority w:val="0"/>
    <w:pPr>
      <w:autoSpaceDE w:val="0"/>
      <w:autoSpaceDN w:val="0"/>
      <w:adjustRightInd w:val="0"/>
      <w:snapToGrid w:val="0"/>
      <w:spacing w:line="500" w:lineRule="exact"/>
      <w:ind w:firstLine="539" w:firstLineChars="0"/>
      <w:textAlignment w:val="baseline"/>
    </w:pPr>
    <w:rPr>
      <w:rFonts w:eastAsia="楷体_GB2312"/>
      <w:kern w:val="0"/>
      <w:sz w:val="28"/>
    </w:rPr>
  </w:style>
  <w:style w:type="paragraph" w:customStyle="1" w:styleId="69">
    <w:name w:val="样式4"/>
    <w:basedOn w:val="1"/>
    <w:next w:val="1"/>
    <w:qFormat/>
    <w:uiPriority w:val="0"/>
    <w:pPr>
      <w:spacing w:line="440" w:lineRule="exact"/>
    </w:pPr>
  </w:style>
  <w:style w:type="paragraph" w:customStyle="1" w:styleId="70">
    <w:name w:val="报告书表格"/>
    <w:basedOn w:val="1"/>
    <w:qFormat/>
    <w:uiPriority w:val="0"/>
    <w:pPr>
      <w:adjustRightInd w:val="0"/>
      <w:spacing w:before="60" w:after="60" w:line="240" w:lineRule="atLeast"/>
      <w:jc w:val="center"/>
      <w:textAlignment w:val="baseline"/>
    </w:pPr>
    <w:rPr>
      <w:kern w:val="0"/>
    </w:rPr>
  </w:style>
  <w:style w:type="paragraph" w:customStyle="1" w:styleId="71">
    <w:name w:val="报告表正文"/>
    <w:basedOn w:val="1"/>
    <w:qFormat/>
    <w:uiPriority w:val="0"/>
    <w:pPr>
      <w:adjustRightInd w:val="0"/>
      <w:spacing w:line="312" w:lineRule="auto"/>
      <w:ind w:left="113" w:right="113" w:firstLine="482"/>
      <w:jc w:val="left"/>
      <w:textAlignment w:val="baseline"/>
    </w:pPr>
    <w:rPr>
      <w:kern w:val="0"/>
    </w:rPr>
  </w:style>
  <w:style w:type="paragraph" w:customStyle="1" w:styleId="72">
    <w:name w:val="xl2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eastAsia="Arial Unicode MS"/>
      <w:kern w:val="0"/>
    </w:rPr>
  </w:style>
  <w:style w:type="paragraph" w:customStyle="1" w:styleId="73">
    <w:name w:val="居中正文"/>
    <w:basedOn w:val="33"/>
    <w:qFormat/>
    <w:uiPriority w:val="0"/>
    <w:pPr>
      <w:adjustRightInd w:val="0"/>
      <w:spacing w:before="120" w:after="0" w:line="360" w:lineRule="auto"/>
      <w:ind w:firstLine="0"/>
      <w:jc w:val="center"/>
      <w:textAlignment w:val="baseline"/>
    </w:pPr>
    <w:rPr>
      <w:rFonts w:ascii="宋体"/>
      <w:kern w:val="28"/>
    </w:rPr>
  </w:style>
  <w:style w:type="paragraph" w:customStyle="1" w:styleId="74">
    <w:name w:val="1文章"/>
    <w:basedOn w:val="1"/>
    <w:qFormat/>
    <w:uiPriority w:val="0"/>
    <w:pPr>
      <w:spacing w:line="360" w:lineRule="auto"/>
      <w:ind w:firstLine="573"/>
    </w:pPr>
    <w:rPr>
      <w:rFonts w:eastAsia="楷体_GB2312"/>
      <w:sz w:val="28"/>
    </w:rPr>
  </w:style>
  <w:style w:type="paragraph" w:customStyle="1" w:styleId="75">
    <w:name w:val="Char Char Char Char"/>
    <w:basedOn w:val="1"/>
    <w:qFormat/>
    <w:uiPriority w:val="0"/>
  </w:style>
  <w:style w:type="paragraph" w:customStyle="1" w:styleId="76">
    <w:name w:val="_Style 12"/>
    <w:basedOn w:val="1"/>
    <w:next w:val="27"/>
    <w:qFormat/>
    <w:uiPriority w:val="0"/>
    <w:pPr>
      <w:spacing w:line="360" w:lineRule="auto"/>
    </w:pPr>
    <w:rPr>
      <w:rFonts w:eastAsia="黑体"/>
      <w:sz w:val="28"/>
    </w:rPr>
  </w:style>
  <w:style w:type="paragraph" w:customStyle="1" w:styleId="77">
    <w:name w:val="表格文字2"/>
    <w:basedOn w:val="78"/>
    <w:qFormat/>
    <w:uiPriority w:val="0"/>
    <w:pPr>
      <w:autoSpaceDE/>
      <w:autoSpaceDN/>
      <w:spacing w:after="0"/>
      <w:jc w:val="center"/>
      <w:textAlignment w:val="baseline"/>
    </w:pPr>
    <w:rPr>
      <w:rFonts w:ascii="宋体"/>
    </w:rPr>
  </w:style>
  <w:style w:type="paragraph" w:customStyle="1" w:styleId="78">
    <w:name w:val="表格文字"/>
    <w:basedOn w:val="1"/>
    <w:link w:val="133"/>
    <w:qFormat/>
    <w:uiPriority w:val="0"/>
    <w:pPr>
      <w:autoSpaceDE w:val="0"/>
      <w:autoSpaceDN w:val="0"/>
      <w:adjustRightInd w:val="0"/>
      <w:spacing w:before="60" w:after="60"/>
      <w:jc w:val="left"/>
      <w:textAlignment w:val="bottom"/>
    </w:pPr>
    <w:rPr>
      <w:kern w:val="0"/>
      <w:lang w:val="zh-CN"/>
    </w:rPr>
  </w:style>
  <w:style w:type="paragraph" w:customStyle="1" w:styleId="79">
    <w:name w:val="Char Char2"/>
    <w:basedOn w:val="1"/>
    <w:qFormat/>
    <w:uiPriority w:val="0"/>
  </w:style>
  <w:style w:type="paragraph" w:customStyle="1" w:styleId="80">
    <w:name w:val="默认段落字体 Para Char Char Char Char"/>
    <w:basedOn w:val="1"/>
    <w:qFormat/>
    <w:uiPriority w:val="0"/>
  </w:style>
  <w:style w:type="paragraph" w:customStyle="1" w:styleId="81">
    <w:name w:val="正文标准样式"/>
    <w:basedOn w:val="1"/>
    <w:qFormat/>
    <w:uiPriority w:val="0"/>
    <w:pPr>
      <w:adjustRightInd w:val="0"/>
      <w:spacing w:line="300" w:lineRule="auto"/>
      <w:ind w:firstLine="482"/>
      <w:textAlignment w:val="baseline"/>
    </w:pPr>
    <w:rPr>
      <w:kern w:val="0"/>
    </w:rPr>
  </w:style>
  <w:style w:type="paragraph" w:customStyle="1" w:styleId="82">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rPr>
  </w:style>
  <w:style w:type="paragraph" w:customStyle="1" w:styleId="83">
    <w:name w:val="样式1"/>
    <w:basedOn w:val="1"/>
    <w:qFormat/>
    <w:uiPriority w:val="0"/>
    <w:pPr>
      <w:spacing w:line="360" w:lineRule="auto"/>
      <w:ind w:firstLine="510"/>
    </w:pPr>
  </w:style>
  <w:style w:type="paragraph" w:customStyle="1" w:styleId="84">
    <w:name w:val="中文报告书样式"/>
    <w:basedOn w:val="1"/>
    <w:qFormat/>
    <w:uiPriority w:val="0"/>
    <w:pPr>
      <w:adjustRightInd w:val="0"/>
      <w:spacing w:line="480" w:lineRule="atLeast"/>
      <w:ind w:firstLine="482"/>
      <w:textAlignment w:val="baseline"/>
    </w:pPr>
    <w:rPr>
      <w:kern w:val="24"/>
    </w:rPr>
  </w:style>
  <w:style w:type="paragraph" w:customStyle="1" w:styleId="85">
    <w:name w:val="样式 样式4 + 首行缩进:  1.92 字符"/>
    <w:basedOn w:val="1"/>
    <w:qFormat/>
    <w:uiPriority w:val="0"/>
    <w:pPr>
      <w:snapToGrid w:val="0"/>
      <w:spacing w:line="300" w:lineRule="auto"/>
      <w:ind w:firstLine="538" w:firstLineChars="192"/>
    </w:pPr>
    <w:rPr>
      <w:sz w:val="28"/>
    </w:rPr>
  </w:style>
  <w:style w:type="paragraph" w:customStyle="1" w:styleId="86">
    <w:name w:val="报告表格"/>
    <w:basedOn w:val="1"/>
    <w:link w:val="144"/>
    <w:qFormat/>
    <w:uiPriority w:val="0"/>
    <w:pPr>
      <w:autoSpaceDE w:val="0"/>
      <w:autoSpaceDN w:val="0"/>
      <w:adjustRightInd w:val="0"/>
      <w:spacing w:before="40" w:after="40"/>
      <w:jc w:val="center"/>
      <w:textAlignment w:val="bottom"/>
    </w:pPr>
    <w:rPr>
      <w:kern w:val="0"/>
    </w:rPr>
  </w:style>
  <w:style w:type="paragraph" w:customStyle="1" w:styleId="87">
    <w:name w:val="2"/>
    <w:basedOn w:val="1"/>
    <w:next w:val="18"/>
    <w:qFormat/>
    <w:uiPriority w:val="0"/>
    <w:pPr>
      <w:spacing w:after="120" w:line="480" w:lineRule="auto"/>
      <w:ind w:left="420" w:leftChars="200"/>
    </w:pPr>
    <w:rPr>
      <w:szCs w:val="24"/>
    </w:rPr>
  </w:style>
  <w:style w:type="paragraph" w:customStyle="1" w:styleId="88">
    <w:name w:val="默认段落字体 Para Char Char"/>
    <w:basedOn w:val="1"/>
    <w:qFormat/>
    <w:uiPriority w:val="0"/>
    <w:rPr>
      <w:rFonts w:ascii="仿宋_GB2312" w:hAnsi="宋体" w:eastAsia="仿宋_GB2312"/>
    </w:rPr>
  </w:style>
  <w:style w:type="character" w:customStyle="1" w:styleId="89">
    <w:name w:val="apple-style-span"/>
    <w:basedOn w:val="38"/>
    <w:qFormat/>
    <w:uiPriority w:val="0"/>
  </w:style>
  <w:style w:type="character" w:customStyle="1" w:styleId="90">
    <w:name w:val="纯文本 字符"/>
    <w:link w:val="16"/>
    <w:qFormat/>
    <w:locked/>
    <w:uiPriority w:val="0"/>
    <w:rPr>
      <w:rFonts w:ascii="宋体" w:hAnsi="Courier New" w:eastAsia="宋体"/>
      <w:kern w:val="2"/>
      <w:sz w:val="21"/>
      <w:lang w:val="en-US" w:eastAsia="zh-CN" w:bidi="ar-SA"/>
    </w:rPr>
  </w:style>
  <w:style w:type="paragraph" w:customStyle="1" w:styleId="91">
    <w:name w:val="样式 正文首行缩进:  2 字符 + 首行缩进:  2 字符"/>
    <w:basedOn w:val="1"/>
    <w:qFormat/>
    <w:uiPriority w:val="0"/>
    <w:pPr>
      <w:spacing w:line="360" w:lineRule="auto"/>
      <w:ind w:firstLine="480"/>
    </w:pPr>
    <w:rPr>
      <w:rFonts w:cs="宋体"/>
    </w:rPr>
  </w:style>
  <w:style w:type="paragraph" w:customStyle="1" w:styleId="92">
    <w:name w:val="表格"/>
    <w:basedOn w:val="1"/>
    <w:link w:val="93"/>
    <w:qFormat/>
    <w:uiPriority w:val="0"/>
    <w:pPr>
      <w:spacing w:line="400" w:lineRule="exact"/>
      <w:ind w:firstLine="0" w:firstLineChars="0"/>
      <w:jc w:val="center"/>
    </w:pPr>
    <w:rPr>
      <w:snapToGrid w:val="0"/>
      <w:color w:val="000000"/>
      <w:kern w:val="21"/>
      <w:sz w:val="22"/>
      <w:szCs w:val="24"/>
    </w:rPr>
  </w:style>
  <w:style w:type="character" w:customStyle="1" w:styleId="93">
    <w:name w:val="表格 Char"/>
    <w:link w:val="92"/>
    <w:qFormat/>
    <w:uiPriority w:val="0"/>
    <w:rPr>
      <w:snapToGrid w:val="0"/>
      <w:color w:val="000000"/>
      <w:kern w:val="21"/>
      <w:sz w:val="22"/>
      <w:szCs w:val="24"/>
    </w:rPr>
  </w:style>
  <w:style w:type="character" w:customStyle="1" w:styleId="94">
    <w:name w:val="p141"/>
    <w:qFormat/>
    <w:uiPriority w:val="0"/>
    <w:rPr>
      <w:rFonts w:hint="eastAsia" w:ascii="宋体" w:hAnsi="宋体" w:eastAsia="宋体"/>
      <w:sz w:val="21"/>
      <w:szCs w:val="21"/>
    </w:rPr>
  </w:style>
  <w:style w:type="paragraph" w:customStyle="1" w:styleId="95">
    <w:name w:val="p16"/>
    <w:basedOn w:val="1"/>
    <w:qFormat/>
    <w:uiPriority w:val="0"/>
    <w:pPr>
      <w:widowControl/>
      <w:spacing w:before="60" w:after="60" w:line="300" w:lineRule="auto"/>
      <w:ind w:firstLine="420"/>
    </w:pPr>
    <w:rPr>
      <w:kern w:val="0"/>
      <w:szCs w:val="24"/>
    </w:rPr>
  </w:style>
  <w:style w:type="paragraph" w:customStyle="1" w:styleId="96">
    <w:name w:val="p0"/>
    <w:basedOn w:val="1"/>
    <w:qFormat/>
    <w:uiPriority w:val="0"/>
    <w:pPr>
      <w:widowControl/>
    </w:pPr>
    <w:rPr>
      <w:kern w:val="0"/>
      <w:szCs w:val="21"/>
    </w:rPr>
  </w:style>
  <w:style w:type="paragraph" w:customStyle="1" w:styleId="97">
    <w:name w:val="样式2"/>
    <w:basedOn w:val="1"/>
    <w:qFormat/>
    <w:uiPriority w:val="0"/>
    <w:pPr>
      <w:adjustRightInd w:val="0"/>
      <w:spacing w:line="288" w:lineRule="auto"/>
      <w:ind w:left="170"/>
      <w:jc w:val="left"/>
    </w:pPr>
    <w:rPr>
      <w:b/>
      <w:kern w:val="0"/>
    </w:rPr>
  </w:style>
  <w:style w:type="paragraph" w:customStyle="1" w:styleId="98">
    <w:name w:val="样式 报告表正文 + 首行缩进:  2 字符 行距: 1.5 倍行距"/>
    <w:basedOn w:val="1"/>
    <w:qFormat/>
    <w:uiPriority w:val="0"/>
    <w:pPr>
      <w:adjustRightInd w:val="0"/>
      <w:spacing w:line="360" w:lineRule="auto"/>
      <w:ind w:left="113" w:right="113" w:firstLine="480"/>
    </w:pPr>
    <w:rPr>
      <w:rFonts w:cs="宋体"/>
      <w:kern w:val="0"/>
      <w:szCs w:val="24"/>
    </w:rPr>
  </w:style>
  <w:style w:type="paragraph" w:customStyle="1" w:styleId="99">
    <w:name w:val="Char Char Char1 Char Char Char Char Char Char Char Char Char Char Char Char Char"/>
    <w:basedOn w:val="1"/>
    <w:qFormat/>
    <w:uiPriority w:val="0"/>
  </w:style>
  <w:style w:type="paragraph" w:customStyle="1" w:styleId="100">
    <w:name w:val="样式 宋体 小四 行距: 1.5 倍行距"/>
    <w:basedOn w:val="1"/>
    <w:link w:val="101"/>
    <w:qFormat/>
    <w:uiPriority w:val="0"/>
    <w:pPr>
      <w:spacing w:line="360" w:lineRule="auto"/>
      <w:ind w:firstLine="480"/>
    </w:pPr>
    <w:rPr>
      <w:rFonts w:cs="宋体"/>
    </w:rPr>
  </w:style>
  <w:style w:type="character" w:customStyle="1" w:styleId="101">
    <w:name w:val="样式 宋体 小四 行距: 1.5 倍行距 Char"/>
    <w:link w:val="100"/>
    <w:qFormat/>
    <w:uiPriority w:val="0"/>
    <w:rPr>
      <w:rFonts w:eastAsia="宋体" w:cs="宋体"/>
      <w:kern w:val="2"/>
      <w:sz w:val="24"/>
      <w:lang w:val="en-US" w:eastAsia="zh-CN" w:bidi="ar-SA"/>
    </w:rPr>
  </w:style>
  <w:style w:type="paragraph" w:customStyle="1" w:styleId="102">
    <w:name w:val="样式 标题 3小标题小节标题标题3H3h33rd level第二层条标题4标题 3 Char标题 3 Cha...1"/>
    <w:basedOn w:val="4"/>
    <w:link w:val="103"/>
    <w:qFormat/>
    <w:uiPriority w:val="0"/>
    <w:pPr>
      <w:spacing w:before="60" w:after="60" w:line="360" w:lineRule="auto"/>
    </w:pPr>
    <w:rPr>
      <w:bCs/>
      <w:shd w:val="clear" w:color="auto" w:fill="auto"/>
    </w:rPr>
  </w:style>
  <w:style w:type="character" w:customStyle="1" w:styleId="103">
    <w:name w:val="样式 标题 3小标题小节标题标题3H3h33rd level第二层条标题4标题 3 Char标题 3 Cha...1 Char"/>
    <w:link w:val="102"/>
    <w:qFormat/>
    <w:uiPriority w:val="0"/>
    <w:rPr>
      <w:rFonts w:eastAsia="宋体"/>
      <w:b/>
      <w:bCs/>
      <w:sz w:val="24"/>
      <w:lang w:val="en-US" w:eastAsia="zh-CN" w:bidi="ar-SA"/>
    </w:rPr>
  </w:style>
  <w:style w:type="paragraph" w:customStyle="1" w:styleId="104">
    <w:name w:val="样式 标题 2标题2节标题1.1H2h2第一层条4.1二级标题标题 lxb2二级标题 Char表标题单位..."/>
    <w:basedOn w:val="3"/>
    <w:link w:val="105"/>
    <w:qFormat/>
    <w:uiPriority w:val="0"/>
    <w:pPr>
      <w:keepLines/>
      <w:adjustRightInd w:val="0"/>
      <w:spacing w:before="260" w:after="260"/>
      <w:textAlignment w:val="baseline"/>
    </w:pPr>
    <w:rPr>
      <w:rFonts w:cs="宋体"/>
      <w:b w:val="0"/>
      <w:bCs/>
      <w:spacing w:val="0"/>
      <w:kern w:val="0"/>
    </w:rPr>
  </w:style>
  <w:style w:type="character" w:customStyle="1" w:styleId="105">
    <w:name w:val="样式 标题 2标题2节标题1.1H2h2第一层条4.1二级标题标题 lxb2二级标题 Char表标题单位... Char"/>
    <w:link w:val="104"/>
    <w:qFormat/>
    <w:uiPriority w:val="0"/>
    <w:rPr>
      <w:rFonts w:eastAsia="宋体" w:cs="宋体"/>
      <w:b/>
      <w:bCs/>
      <w:sz w:val="28"/>
      <w:lang w:val="en-US" w:eastAsia="zh-CN" w:bidi="ar-SA"/>
    </w:rPr>
  </w:style>
  <w:style w:type="paragraph" w:customStyle="1" w:styleId="106">
    <w:name w:val="表格正文"/>
    <w:basedOn w:val="1"/>
    <w:qFormat/>
    <w:uiPriority w:val="0"/>
    <w:pPr>
      <w:adjustRightInd w:val="0"/>
      <w:spacing w:line="0" w:lineRule="atLeast"/>
      <w:textAlignment w:val="baseline"/>
    </w:pPr>
  </w:style>
  <w:style w:type="paragraph" w:customStyle="1" w:styleId="107">
    <w:name w:val="样式 样式 样式 首行缩进:  2 字符1 + 首行缩进:  2 字符 + 首行缩进:  2 字符"/>
    <w:basedOn w:val="1"/>
    <w:link w:val="108"/>
    <w:qFormat/>
    <w:uiPriority w:val="0"/>
    <w:pPr>
      <w:widowControl/>
      <w:spacing w:line="360" w:lineRule="auto"/>
      <w:ind w:firstLine="480"/>
    </w:pPr>
    <w:rPr>
      <w:rFonts w:cs="宋体"/>
      <w:kern w:val="0"/>
    </w:rPr>
  </w:style>
  <w:style w:type="character" w:customStyle="1" w:styleId="108">
    <w:name w:val="样式 样式 样式 首行缩进:  2 字符1 + 首行缩进:  2 字符 + 首行缩进:  2 字符 Char"/>
    <w:link w:val="107"/>
    <w:qFormat/>
    <w:uiPriority w:val="0"/>
    <w:rPr>
      <w:rFonts w:eastAsia="宋体" w:cs="宋体"/>
      <w:sz w:val="24"/>
      <w:lang w:val="en-US" w:eastAsia="zh-CN" w:bidi="ar-SA"/>
    </w:rPr>
  </w:style>
  <w:style w:type="paragraph" w:customStyle="1" w:styleId="109">
    <w:name w:val="Char Char Char"/>
    <w:basedOn w:val="1"/>
    <w:qFormat/>
    <w:uiPriority w:val="0"/>
    <w:pPr>
      <w:spacing w:line="360" w:lineRule="auto"/>
    </w:pPr>
    <w:rPr>
      <w:szCs w:val="24"/>
    </w:rPr>
  </w:style>
  <w:style w:type="paragraph" w:customStyle="1" w:styleId="110">
    <w:name w:val="表格文字1"/>
    <w:basedOn w:val="1"/>
    <w:link w:val="111"/>
    <w:qFormat/>
    <w:uiPriority w:val="0"/>
    <w:pPr>
      <w:spacing w:line="400" w:lineRule="atLeast"/>
      <w:jc w:val="center"/>
    </w:pPr>
    <w:rPr>
      <w:lang w:val="zh-CN"/>
    </w:rPr>
  </w:style>
  <w:style w:type="character" w:customStyle="1" w:styleId="111">
    <w:name w:val="表格文字1 Char"/>
    <w:link w:val="110"/>
    <w:qFormat/>
    <w:uiPriority w:val="0"/>
    <w:rPr>
      <w:rFonts w:eastAsia="宋体"/>
      <w:kern w:val="2"/>
      <w:sz w:val="24"/>
      <w:lang w:val="zh-CN" w:eastAsia="zh-CN" w:bidi="ar-SA"/>
    </w:rPr>
  </w:style>
  <w:style w:type="character" w:customStyle="1" w:styleId="112">
    <w:name w:val="页脚 字符"/>
    <w:link w:val="20"/>
    <w:qFormat/>
    <w:uiPriority w:val="99"/>
    <w:rPr>
      <w:kern w:val="2"/>
      <w:sz w:val="18"/>
    </w:rPr>
  </w:style>
  <w:style w:type="paragraph" w:customStyle="1" w:styleId="113">
    <w:name w:val="01表格"/>
    <w:basedOn w:val="1"/>
    <w:next w:val="1"/>
    <w:qFormat/>
    <w:uiPriority w:val="0"/>
    <w:pPr>
      <w:overflowPunct w:val="0"/>
      <w:topLinePunct/>
      <w:adjustRightInd w:val="0"/>
      <w:snapToGrid w:val="0"/>
      <w:jc w:val="center"/>
    </w:pPr>
    <w:rPr>
      <w:snapToGrid w:val="0"/>
      <w:kern w:val="0"/>
      <w:szCs w:val="21"/>
    </w:rPr>
  </w:style>
  <w:style w:type="paragraph" w:customStyle="1" w:styleId="114">
    <w:name w:val="正文(首缩进)"/>
    <w:basedOn w:val="1"/>
    <w:qFormat/>
    <w:uiPriority w:val="0"/>
    <w:pPr>
      <w:adjustRightInd w:val="0"/>
      <w:snapToGrid w:val="0"/>
      <w:spacing w:line="360" w:lineRule="auto"/>
    </w:pPr>
    <w:rPr>
      <w:rFonts w:ascii="Arial" w:hAnsi="Arial" w:cs="Arial"/>
      <w:szCs w:val="28"/>
    </w:rPr>
  </w:style>
  <w:style w:type="paragraph" w:customStyle="1" w:styleId="115">
    <w:name w:val="01正文"/>
    <w:basedOn w:val="1"/>
    <w:qFormat/>
    <w:uiPriority w:val="0"/>
    <w:pPr>
      <w:adjustRightInd w:val="0"/>
      <w:snapToGrid w:val="0"/>
      <w:spacing w:line="480" w:lineRule="exact"/>
    </w:pPr>
    <w:rPr>
      <w:color w:val="000000"/>
      <w:szCs w:val="21"/>
    </w:rPr>
  </w:style>
  <w:style w:type="character" w:customStyle="1" w:styleId="116">
    <w:name w:val="表格左齐 Char"/>
    <w:link w:val="117"/>
    <w:qFormat/>
    <w:uiPriority w:val="0"/>
    <w:rPr>
      <w:rFonts w:ascii="仿宋_GB2312" w:hAnsi="Arial" w:eastAsia="仿宋_GB2312" w:cs="Arial"/>
      <w:color w:val="000000"/>
      <w:kern w:val="2"/>
      <w:sz w:val="24"/>
      <w:szCs w:val="24"/>
    </w:rPr>
  </w:style>
  <w:style w:type="paragraph" w:customStyle="1" w:styleId="117">
    <w:name w:val="表格左齐"/>
    <w:basedOn w:val="1"/>
    <w:link w:val="116"/>
    <w:qFormat/>
    <w:uiPriority w:val="0"/>
    <w:pPr>
      <w:adjustRightInd w:val="0"/>
      <w:snapToGrid w:val="0"/>
      <w:ind w:left="10" w:leftChars="10"/>
    </w:pPr>
    <w:rPr>
      <w:rFonts w:ascii="仿宋_GB2312" w:hAnsi="Arial" w:eastAsia="仿宋_GB2312"/>
      <w:color w:val="000000"/>
      <w:szCs w:val="24"/>
      <w:lang w:val="zh-CN"/>
    </w:rPr>
  </w:style>
  <w:style w:type="paragraph" w:customStyle="1" w:styleId="118">
    <w:name w:val="Char Char Char Char Char Char Char"/>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119">
    <w:name w:val="xl26"/>
    <w:basedOn w:val="1"/>
    <w:qFormat/>
    <w:uiPriority w:val="0"/>
    <w:pPr>
      <w:widowControl/>
      <w:spacing w:before="100" w:beforeAutospacing="1" w:after="100" w:afterAutospacing="1"/>
      <w:jc w:val="center"/>
    </w:pPr>
    <w:rPr>
      <w:rFonts w:ascii="Arial Unicode MS" w:hAnsi="Arial Unicode MS" w:eastAsia="Arial Unicode MS"/>
      <w:kern w:val="0"/>
      <w:szCs w:val="24"/>
    </w:rPr>
  </w:style>
  <w:style w:type="paragraph" w:customStyle="1" w:styleId="120">
    <w:name w:val="表格内部"/>
    <w:basedOn w:val="1"/>
    <w:qFormat/>
    <w:uiPriority w:val="0"/>
    <w:pPr>
      <w:adjustRightInd w:val="0"/>
      <w:snapToGrid w:val="0"/>
      <w:spacing w:line="300" w:lineRule="auto"/>
      <w:jc w:val="center"/>
    </w:pPr>
    <w:rPr>
      <w:rFonts w:ascii="Arial" w:hAnsi="Arial" w:eastAsia="仿宋_GB2312"/>
      <w:szCs w:val="24"/>
    </w:rPr>
  </w:style>
  <w:style w:type="paragraph" w:customStyle="1" w:styleId="121">
    <w:name w:val="Char2"/>
    <w:basedOn w:val="1"/>
    <w:qFormat/>
    <w:uiPriority w:val="0"/>
    <w:rPr>
      <w:szCs w:val="24"/>
    </w:rPr>
  </w:style>
  <w:style w:type="character" w:customStyle="1" w:styleId="122">
    <w:name w:val="列表 字符"/>
    <w:link w:val="24"/>
    <w:qFormat/>
    <w:uiPriority w:val="0"/>
    <w:rPr>
      <w:kern w:val="2"/>
      <w:sz w:val="21"/>
    </w:rPr>
  </w:style>
  <w:style w:type="paragraph" w:customStyle="1" w:styleId="123">
    <w:name w:val="xl31"/>
    <w:basedOn w:val="1"/>
    <w:qFormat/>
    <w:uiPriority w:val="0"/>
    <w:pPr>
      <w:widowControl/>
      <w:spacing w:before="100" w:beforeAutospacing="1" w:after="100" w:afterAutospacing="1"/>
      <w:jc w:val="center"/>
      <w:textAlignment w:val="center"/>
    </w:pPr>
    <w:rPr>
      <w:rFonts w:ascii="Arial Unicode MS" w:hAnsi="Arial Unicode MS" w:eastAsia="Arial Unicode MS"/>
      <w:kern w:val="0"/>
      <w:szCs w:val="24"/>
    </w:rPr>
  </w:style>
  <w:style w:type="paragraph" w:customStyle="1" w:styleId="124">
    <w:name w:val="标题4"/>
    <w:basedOn w:val="1"/>
    <w:qFormat/>
    <w:uiPriority w:val="0"/>
    <w:pPr>
      <w:spacing w:line="360" w:lineRule="auto"/>
      <w:ind w:left="-7" w:leftChars="-3" w:firstLine="554" w:firstLineChars="230"/>
      <w:jc w:val="left"/>
    </w:pPr>
    <w:rPr>
      <w:b/>
      <w:bCs/>
      <w:szCs w:val="24"/>
    </w:rPr>
  </w:style>
  <w:style w:type="paragraph" w:customStyle="1" w:styleId="125">
    <w:name w:val="样式 小四 行距: 1.5 倍行距 首行缩进:  2 字符"/>
    <w:basedOn w:val="1"/>
    <w:qFormat/>
    <w:uiPriority w:val="0"/>
    <w:pPr>
      <w:spacing w:line="360" w:lineRule="auto"/>
    </w:pPr>
    <w:rPr>
      <w:rFonts w:cs="宋体"/>
    </w:rPr>
  </w:style>
  <w:style w:type="paragraph" w:customStyle="1" w:styleId="126">
    <w:name w:val="正文缩进2"/>
    <w:basedOn w:val="1"/>
    <w:qFormat/>
    <w:uiPriority w:val="0"/>
    <w:pPr>
      <w:ind w:firstLine="420"/>
    </w:pPr>
  </w:style>
  <w:style w:type="character" w:customStyle="1" w:styleId="127">
    <w:name w:val="正文缩进 字符"/>
    <w:link w:val="7"/>
    <w:qFormat/>
    <w:uiPriority w:val="0"/>
    <w:rPr>
      <w:kern w:val="2"/>
      <w:sz w:val="21"/>
    </w:rPr>
  </w:style>
  <w:style w:type="paragraph" w:customStyle="1" w:styleId="128">
    <w:name w:val="正文文本缩进1"/>
    <w:basedOn w:val="1"/>
    <w:qFormat/>
    <w:uiPriority w:val="0"/>
    <w:pPr>
      <w:spacing w:line="336" w:lineRule="auto"/>
      <w:ind w:firstLine="540"/>
    </w:pPr>
    <w:rPr>
      <w:spacing w:val="10"/>
    </w:rPr>
  </w:style>
  <w:style w:type="paragraph" w:customStyle="1" w:styleId="129">
    <w:name w:val="样式 规划正文 + 仿宋_GB2312 三号 首行缩进:  2 字符 行距: 单倍行距"/>
    <w:basedOn w:val="1"/>
    <w:qFormat/>
    <w:uiPriority w:val="0"/>
    <w:pPr>
      <w:ind w:firstLine="560"/>
    </w:pPr>
    <w:rPr>
      <w:rFonts w:hint="eastAsia" w:ascii="仿宋_GB2312" w:eastAsia="仿宋_GB2312" w:cs="宋体"/>
      <w:sz w:val="28"/>
      <w:szCs w:val="28"/>
    </w:rPr>
  </w:style>
  <w:style w:type="character" w:customStyle="1" w:styleId="130">
    <w:name w:val="正文01 Char"/>
    <w:link w:val="131"/>
    <w:qFormat/>
    <w:uiPriority w:val="0"/>
    <w:rPr>
      <w:sz w:val="24"/>
      <w:szCs w:val="24"/>
    </w:rPr>
  </w:style>
  <w:style w:type="paragraph" w:customStyle="1" w:styleId="131">
    <w:name w:val="正文01"/>
    <w:basedOn w:val="1"/>
    <w:link w:val="130"/>
    <w:qFormat/>
    <w:uiPriority w:val="0"/>
    <w:pPr>
      <w:widowControl/>
      <w:spacing w:line="460" w:lineRule="exact"/>
      <w:jc w:val="left"/>
    </w:pPr>
    <w:rPr>
      <w:kern w:val="0"/>
      <w:szCs w:val="24"/>
      <w:lang w:val="zh-CN"/>
    </w:rPr>
  </w:style>
  <w:style w:type="character" w:customStyle="1" w:styleId="132">
    <w:name w:val="bumpedfont15"/>
    <w:qFormat/>
    <w:uiPriority w:val="0"/>
  </w:style>
  <w:style w:type="character" w:customStyle="1" w:styleId="133">
    <w:name w:val="表格文字 Char Char"/>
    <w:link w:val="78"/>
    <w:qFormat/>
    <w:uiPriority w:val="0"/>
    <w:rPr>
      <w:sz w:val="21"/>
    </w:rPr>
  </w:style>
  <w:style w:type="character" w:customStyle="1" w:styleId="134">
    <w:name w:val="正文文本 字符"/>
    <w:link w:val="12"/>
    <w:qFormat/>
    <w:uiPriority w:val="0"/>
    <w:rPr>
      <w:kern w:val="2"/>
      <w:sz w:val="21"/>
    </w:rPr>
  </w:style>
  <w:style w:type="character" w:customStyle="1" w:styleId="135">
    <w:name w:val="表格内容 字符"/>
    <w:link w:val="136"/>
    <w:qFormat/>
    <w:uiPriority w:val="0"/>
    <w:rPr>
      <w:rFonts w:cs="宋体"/>
      <w:kern w:val="2"/>
      <w:sz w:val="18"/>
    </w:rPr>
  </w:style>
  <w:style w:type="paragraph" w:customStyle="1" w:styleId="136">
    <w:name w:val="表格内容"/>
    <w:link w:val="135"/>
    <w:qFormat/>
    <w:uiPriority w:val="0"/>
    <w:pPr>
      <w:widowControl w:val="0"/>
      <w:spacing w:line="360" w:lineRule="exact"/>
      <w:jc w:val="center"/>
    </w:pPr>
    <w:rPr>
      <w:rFonts w:ascii="Times New Roman" w:hAnsi="Times New Roman" w:eastAsia="宋体" w:cs="宋体"/>
      <w:kern w:val="2"/>
      <w:sz w:val="18"/>
      <w:lang w:val="en-US" w:eastAsia="zh-CN" w:bidi="ar-SA"/>
    </w:rPr>
  </w:style>
  <w:style w:type="character" w:customStyle="1" w:styleId="137">
    <w:name w:val="表题 Char"/>
    <w:link w:val="138"/>
    <w:qFormat/>
    <w:uiPriority w:val="0"/>
    <w:rPr>
      <w:rFonts w:hAnsi="宋体"/>
      <w:b/>
      <w:kern w:val="2"/>
      <w:sz w:val="21"/>
      <w:szCs w:val="24"/>
      <w:lang w:val="en-US" w:eastAsia="zh-CN" w:bidi="ar-SA"/>
    </w:rPr>
  </w:style>
  <w:style w:type="paragraph" w:customStyle="1" w:styleId="138">
    <w:name w:val="表题"/>
    <w:link w:val="137"/>
    <w:qFormat/>
    <w:uiPriority w:val="0"/>
    <w:pPr>
      <w:spacing w:line="480" w:lineRule="exact"/>
      <w:jc w:val="center"/>
    </w:pPr>
    <w:rPr>
      <w:rFonts w:ascii="Times New Roman" w:hAnsi="宋体" w:eastAsia="宋体" w:cs="Times New Roman"/>
      <w:b/>
      <w:kern w:val="2"/>
      <w:sz w:val="21"/>
      <w:szCs w:val="24"/>
      <w:lang w:val="en-US" w:eastAsia="zh-CN" w:bidi="ar-SA"/>
    </w:rPr>
  </w:style>
  <w:style w:type="character" w:customStyle="1" w:styleId="139">
    <w:name w:val="-表格 Char"/>
    <w:link w:val="140"/>
    <w:qFormat/>
    <w:uiPriority w:val="0"/>
    <w:rPr>
      <w:rFonts w:ascii="宋体" w:hAnsi="宋体" w:cs="宋体"/>
      <w:snapToGrid w:val="0"/>
      <w:kern w:val="2"/>
      <w:sz w:val="21"/>
    </w:rPr>
  </w:style>
  <w:style w:type="paragraph" w:customStyle="1" w:styleId="140">
    <w:name w:val="-表格"/>
    <w:basedOn w:val="92"/>
    <w:next w:val="1"/>
    <w:link w:val="139"/>
    <w:qFormat/>
    <w:uiPriority w:val="0"/>
    <w:pPr>
      <w:widowControl/>
      <w:tabs>
        <w:tab w:val="left" w:pos="3696"/>
      </w:tabs>
    </w:pPr>
    <w:rPr>
      <w:snapToGrid/>
      <w:szCs w:val="20"/>
      <w:lang w:val="zh-CN"/>
    </w:rPr>
  </w:style>
  <w:style w:type="paragraph" w:customStyle="1" w:styleId="141">
    <w:name w:val="标题-3"/>
    <w:basedOn w:val="1"/>
    <w:qFormat/>
    <w:uiPriority w:val="0"/>
    <w:pPr>
      <w:spacing w:line="480" w:lineRule="exact"/>
      <w:ind w:firstLine="482"/>
    </w:pPr>
    <w:rPr>
      <w:rFonts w:cs="宋体"/>
      <w:b/>
      <w:bCs/>
    </w:rPr>
  </w:style>
  <w:style w:type="paragraph" w:customStyle="1" w:styleId="142">
    <w:name w:val="Table Paragraph"/>
    <w:basedOn w:val="1"/>
    <w:qFormat/>
    <w:uiPriority w:val="1"/>
    <w:pPr>
      <w:jc w:val="left"/>
    </w:pPr>
    <w:rPr>
      <w:rFonts w:ascii="Calibri" w:hAnsi="Calibri"/>
      <w:kern w:val="0"/>
      <w:sz w:val="22"/>
      <w:szCs w:val="22"/>
      <w:lang w:eastAsia="en-US"/>
    </w:rPr>
  </w:style>
  <w:style w:type="character" w:customStyle="1" w:styleId="143">
    <w:name w:val="报告 Char"/>
    <w:link w:val="57"/>
    <w:qFormat/>
    <w:uiPriority w:val="0"/>
    <w:rPr>
      <w:rFonts w:ascii="TimesNewRoman" w:hAnsi="TimesNewRoman"/>
      <w:sz w:val="24"/>
    </w:rPr>
  </w:style>
  <w:style w:type="character" w:customStyle="1" w:styleId="144">
    <w:name w:val="报告表格 Char"/>
    <w:link w:val="86"/>
    <w:qFormat/>
    <w:uiPriority w:val="0"/>
    <w:rPr>
      <w:sz w:val="21"/>
    </w:rPr>
  </w:style>
  <w:style w:type="character" w:customStyle="1" w:styleId="145">
    <w:name w:val="纯文本 Char1"/>
    <w:qFormat/>
    <w:uiPriority w:val="0"/>
    <w:rPr>
      <w:rFonts w:ascii="宋体" w:hAnsi="Courier New" w:cs="Courier New"/>
      <w:kern w:val="2"/>
      <w:sz w:val="21"/>
      <w:szCs w:val="21"/>
    </w:rPr>
  </w:style>
  <w:style w:type="character" w:customStyle="1" w:styleId="146">
    <w:name w:val="正文(康健城) Char"/>
    <w:link w:val="147"/>
    <w:qFormat/>
    <w:uiPriority w:val="0"/>
    <w:rPr>
      <w:sz w:val="24"/>
      <w:szCs w:val="24"/>
    </w:rPr>
  </w:style>
  <w:style w:type="paragraph" w:customStyle="1" w:styleId="147">
    <w:name w:val="正文(康健城)"/>
    <w:basedOn w:val="1"/>
    <w:link w:val="146"/>
    <w:qFormat/>
    <w:uiPriority w:val="0"/>
    <w:pPr>
      <w:adjustRightInd w:val="0"/>
      <w:snapToGrid w:val="0"/>
      <w:spacing w:line="360" w:lineRule="auto"/>
      <w:ind w:firstLine="480"/>
      <w:textAlignment w:val="baseline"/>
    </w:pPr>
    <w:rPr>
      <w:kern w:val="0"/>
      <w:szCs w:val="24"/>
    </w:rPr>
  </w:style>
  <w:style w:type="character" w:customStyle="1" w:styleId="148">
    <w:name w:val="15"/>
    <w:qFormat/>
    <w:uiPriority w:val="0"/>
    <w:rPr>
      <w:rFonts w:hint="default" w:ascii="Verdana" w:hAnsi="Verdana"/>
      <w:sz w:val="24"/>
      <w:szCs w:val="24"/>
    </w:rPr>
  </w:style>
  <w:style w:type="paragraph" w:customStyle="1" w:styleId="149">
    <w:name w:val="表格1"/>
    <w:basedOn w:val="1"/>
    <w:qFormat/>
    <w:uiPriority w:val="0"/>
    <w:pPr>
      <w:adjustRightInd w:val="0"/>
      <w:spacing w:line="20" w:lineRule="atLeast"/>
      <w:jc w:val="center"/>
      <w:textAlignment w:val="center"/>
    </w:pPr>
    <w:rPr>
      <w:kern w:val="0"/>
    </w:rPr>
  </w:style>
  <w:style w:type="character" w:customStyle="1" w:styleId="150">
    <w:name w:val="样式5 Char"/>
    <w:link w:val="151"/>
    <w:qFormat/>
    <w:uiPriority w:val="0"/>
    <w:rPr>
      <w:sz w:val="24"/>
    </w:rPr>
  </w:style>
  <w:style w:type="paragraph" w:customStyle="1" w:styleId="151">
    <w:name w:val="样式5"/>
    <w:basedOn w:val="1"/>
    <w:link w:val="150"/>
    <w:qFormat/>
    <w:uiPriority w:val="0"/>
    <w:pPr>
      <w:spacing w:line="360" w:lineRule="auto"/>
      <w:ind w:firstLine="1446"/>
    </w:pPr>
    <w:rPr>
      <w:kern w:val="0"/>
    </w:rPr>
  </w:style>
  <w:style w:type="character" w:customStyle="1" w:styleId="152">
    <w:name w:val="批注文字 字符"/>
    <w:link w:val="10"/>
    <w:qFormat/>
    <w:uiPriority w:val="0"/>
    <w:rPr>
      <w:kern w:val="2"/>
      <w:sz w:val="21"/>
    </w:rPr>
  </w:style>
  <w:style w:type="paragraph" w:customStyle="1" w:styleId="153">
    <w:name w:val="_Style 2"/>
    <w:basedOn w:val="1"/>
    <w:qFormat/>
    <w:uiPriority w:val="0"/>
    <w:pPr>
      <w:ind w:firstLine="420"/>
    </w:pPr>
    <w:rPr>
      <w:sz w:val="28"/>
      <w:szCs w:val="24"/>
    </w:rPr>
  </w:style>
  <w:style w:type="character" w:customStyle="1" w:styleId="154">
    <w:name w:val="p Char"/>
    <w:link w:val="155"/>
    <w:qFormat/>
    <w:uiPriority w:val="0"/>
  </w:style>
  <w:style w:type="paragraph" w:customStyle="1" w:styleId="155">
    <w:name w:val="p"/>
    <w:basedOn w:val="83"/>
    <w:link w:val="154"/>
    <w:qFormat/>
    <w:uiPriority w:val="0"/>
    <w:pPr>
      <w:adjustRightInd w:val="0"/>
      <w:snapToGrid w:val="0"/>
      <w:ind w:firstLine="1446"/>
      <w:jc w:val="left"/>
    </w:pPr>
    <w:rPr>
      <w:kern w:val="0"/>
      <w:sz w:val="20"/>
    </w:rPr>
  </w:style>
  <w:style w:type="paragraph" w:customStyle="1" w:styleId="156">
    <w:name w:val="样式 正文"/>
    <w:basedOn w:val="1"/>
    <w:next w:val="1"/>
    <w:qFormat/>
    <w:uiPriority w:val="0"/>
    <w:pPr>
      <w:spacing w:line="360" w:lineRule="auto"/>
    </w:pPr>
    <w:rPr>
      <w:szCs w:val="32"/>
    </w:rPr>
  </w:style>
  <w:style w:type="paragraph" w:styleId="157">
    <w:name w:val="No Spacing"/>
    <w:link w:val="180"/>
    <w:qFormat/>
    <w:uiPriority w:val="1"/>
    <w:pPr>
      <w:widowControl w:val="0"/>
      <w:spacing w:line="360" w:lineRule="exact"/>
      <w:jc w:val="center"/>
    </w:pPr>
    <w:rPr>
      <w:rFonts w:ascii="Times New Roman" w:hAnsi="Times New Roman" w:eastAsia="黑体" w:cs="Times New Roman"/>
      <w:kern w:val="2"/>
      <w:sz w:val="21"/>
      <w:lang w:val="en-US" w:eastAsia="zh-CN" w:bidi="ar-SA"/>
    </w:rPr>
  </w:style>
  <w:style w:type="paragraph" w:customStyle="1" w:styleId="158">
    <w:name w:val="加粗"/>
    <w:basedOn w:val="1"/>
    <w:next w:val="1"/>
    <w:qFormat/>
    <w:uiPriority w:val="0"/>
    <w:pPr>
      <w:ind w:firstLine="0" w:firstLineChars="0"/>
      <w:jc w:val="left"/>
    </w:pPr>
    <w:rPr>
      <w:b/>
    </w:rPr>
  </w:style>
  <w:style w:type="paragraph" w:customStyle="1" w:styleId="159">
    <w:name w:val="表（或图）标题 样式 宋体 五号 居中 SL CON"/>
    <w:basedOn w:val="1"/>
    <w:qFormat/>
    <w:uiPriority w:val="0"/>
    <w:pPr>
      <w:widowControl/>
      <w:tabs>
        <w:tab w:val="left" w:pos="377"/>
      </w:tabs>
      <w:spacing w:line="240" w:lineRule="auto"/>
      <w:ind w:firstLine="0" w:firstLineChars="0"/>
      <w:jc w:val="center"/>
    </w:pPr>
    <w:rPr>
      <w:rFonts w:cs="宋体"/>
      <w:b/>
      <w:kern w:val="0"/>
      <w:sz w:val="21"/>
    </w:rPr>
  </w:style>
  <w:style w:type="paragraph" w:customStyle="1" w:styleId="160">
    <w:name w:val="表内文字 样式 五号 居中 行距: 单倍行距 SL CON"/>
    <w:basedOn w:val="1"/>
    <w:link w:val="161"/>
    <w:qFormat/>
    <w:uiPriority w:val="0"/>
    <w:pPr>
      <w:widowControl/>
      <w:tabs>
        <w:tab w:val="left" w:pos="377"/>
      </w:tabs>
      <w:spacing w:line="240" w:lineRule="auto"/>
      <w:ind w:firstLine="0" w:firstLineChars="0"/>
      <w:jc w:val="center"/>
    </w:pPr>
    <w:rPr>
      <w:rFonts w:cs="宋体"/>
      <w:kern w:val="0"/>
      <w:sz w:val="21"/>
      <w:szCs w:val="21"/>
    </w:rPr>
  </w:style>
  <w:style w:type="character" w:customStyle="1" w:styleId="161">
    <w:name w:val="表内文字 样式 五号 居中 行距: 单倍行距 SL CON Char"/>
    <w:link w:val="160"/>
    <w:qFormat/>
    <w:uiPriority w:val="0"/>
    <w:rPr>
      <w:rFonts w:cs="宋体"/>
      <w:sz w:val="21"/>
      <w:szCs w:val="21"/>
    </w:rPr>
  </w:style>
  <w:style w:type="paragraph" w:customStyle="1" w:styleId="162">
    <w:name w:val="样式 正文 首行缩进:  2 字符 SL CON + 首行缩进:  2 字符1"/>
    <w:basedOn w:val="1"/>
    <w:qFormat/>
    <w:uiPriority w:val="0"/>
    <w:pPr>
      <w:widowControl/>
      <w:tabs>
        <w:tab w:val="left" w:pos="377"/>
      </w:tabs>
      <w:spacing w:line="360" w:lineRule="auto"/>
      <w:ind w:firstLine="480"/>
    </w:pPr>
    <w:rPr>
      <w:rFonts w:ascii="宋体" w:cs="宋体"/>
      <w:kern w:val="0"/>
    </w:rPr>
  </w:style>
  <w:style w:type="paragraph" w:customStyle="1" w:styleId="16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64">
    <w:name w:val="【正文】 Char Char"/>
    <w:link w:val="165"/>
    <w:qFormat/>
    <w:uiPriority w:val="0"/>
    <w:rPr>
      <w:rFonts w:cs="宋体"/>
      <w:color w:val="000000"/>
      <w:sz w:val="24"/>
    </w:rPr>
  </w:style>
  <w:style w:type="paragraph" w:customStyle="1" w:styleId="165">
    <w:name w:val="【正文】"/>
    <w:link w:val="164"/>
    <w:qFormat/>
    <w:uiPriority w:val="0"/>
    <w:pPr>
      <w:ind w:firstLine="504" w:firstLineChars="200"/>
      <w:jc w:val="both"/>
    </w:pPr>
    <w:rPr>
      <w:rFonts w:ascii="Times New Roman" w:hAnsi="Times New Roman" w:eastAsia="宋体" w:cs="宋体"/>
      <w:color w:val="000000"/>
      <w:sz w:val="24"/>
      <w:lang w:val="en-US" w:eastAsia="zh-CN" w:bidi="ar-SA"/>
    </w:rPr>
  </w:style>
  <w:style w:type="paragraph" w:customStyle="1" w:styleId="166">
    <w:name w:val="-正文"/>
    <w:basedOn w:val="1"/>
    <w:link w:val="167"/>
    <w:qFormat/>
    <w:uiPriority w:val="0"/>
    <w:pPr>
      <w:spacing w:line="480" w:lineRule="exact"/>
    </w:pPr>
    <w:rPr>
      <w:rFonts w:cs="宋体"/>
    </w:rPr>
  </w:style>
  <w:style w:type="character" w:customStyle="1" w:styleId="167">
    <w:name w:val="-正文 Char"/>
    <w:link w:val="166"/>
    <w:qFormat/>
    <w:uiPriority w:val="0"/>
    <w:rPr>
      <w:rFonts w:cs="宋体"/>
      <w:kern w:val="2"/>
      <w:sz w:val="24"/>
    </w:rPr>
  </w:style>
  <w:style w:type="paragraph" w:styleId="168">
    <w:name w:val="List Paragraph"/>
    <w:basedOn w:val="1"/>
    <w:qFormat/>
    <w:uiPriority w:val="34"/>
    <w:pPr>
      <w:spacing w:line="560" w:lineRule="exact"/>
      <w:ind w:firstLine="420"/>
    </w:pPr>
    <w:rPr>
      <w:kern w:val="24"/>
      <w:szCs w:val="24"/>
    </w:rPr>
  </w:style>
  <w:style w:type="paragraph" w:customStyle="1" w:styleId="169">
    <w:name w:val="无间隔3"/>
    <w:qFormat/>
    <w:uiPriority w:val="0"/>
    <w:pPr>
      <w:widowControl w:val="0"/>
      <w:spacing w:line="280" w:lineRule="exact"/>
      <w:jc w:val="center"/>
    </w:pPr>
    <w:rPr>
      <w:rFonts w:ascii="Times New Roman" w:hAnsi="Times New Roman" w:eastAsia="宋体" w:cs="黑体"/>
      <w:kern w:val="2"/>
      <w:sz w:val="21"/>
      <w:szCs w:val="22"/>
      <w:lang w:val="en-US" w:eastAsia="zh-CN" w:bidi="ar-SA"/>
    </w:rPr>
  </w:style>
  <w:style w:type="character" w:customStyle="1" w:styleId="170">
    <w:name w:val="不明显强调1"/>
    <w:qFormat/>
    <w:uiPriority w:val="19"/>
    <w:rPr>
      <w:rFonts w:ascii="Times New Roman" w:hAnsi="Times New Roman" w:eastAsia="宋体"/>
      <w:i/>
      <w:iCs/>
      <w:color w:val="000000"/>
      <w:sz w:val="24"/>
    </w:rPr>
  </w:style>
  <w:style w:type="paragraph" w:customStyle="1" w:styleId="171">
    <w:name w:val="表内容"/>
    <w:basedOn w:val="1"/>
    <w:next w:val="1"/>
    <w:qFormat/>
    <w:uiPriority w:val="0"/>
    <w:pPr>
      <w:widowControl/>
      <w:spacing w:line="240" w:lineRule="auto"/>
      <w:ind w:firstLine="0" w:firstLineChars="0"/>
      <w:jc w:val="center"/>
    </w:pPr>
    <w:rPr>
      <w:kern w:val="0"/>
      <w:sz w:val="21"/>
      <w:szCs w:val="21"/>
    </w:rPr>
  </w:style>
  <w:style w:type="character" w:styleId="172">
    <w:name w:val="Placeholder Text"/>
    <w:basedOn w:val="38"/>
    <w:semiHidden/>
    <w:qFormat/>
    <w:uiPriority w:val="99"/>
    <w:rPr>
      <w:color w:val="808080"/>
    </w:rPr>
  </w:style>
  <w:style w:type="paragraph" w:customStyle="1" w:styleId="173">
    <w:name w:val="样式 表内文字 样式 五号 居中 行距: 单倍行距 SL CON +"/>
    <w:basedOn w:val="160"/>
    <w:qFormat/>
    <w:uiPriority w:val="0"/>
    <w:rPr>
      <w:kern w:val="2"/>
    </w:rPr>
  </w:style>
  <w:style w:type="table" w:customStyle="1" w:styleId="174">
    <w:name w:val="Table"/>
    <w:semiHidden/>
    <w:unhideWhenUsed/>
    <w:qFormat/>
    <w:uiPriority w:val="0"/>
    <w:pPr>
      <w:spacing w:after="200"/>
    </w:pPr>
    <w:rPr>
      <w:rFonts w:asciiTheme="minorHAnsi" w:hAnsiTheme="minorHAnsi" w:eastAsiaTheme="minorEastAsia" w:cstheme="minorBidi"/>
      <w:sz w:val="24"/>
      <w:szCs w:val="24"/>
      <w:lang w:val="en" w:eastAsia="en-US"/>
    </w:rPr>
    <w:tblPr>
      <w:tblCellMar>
        <w:top w:w="0" w:type="dxa"/>
        <w:left w:w="108" w:type="dxa"/>
        <w:bottom w:w="0" w:type="dxa"/>
        <w:right w:w="108" w:type="dxa"/>
      </w:tblCellMar>
    </w:tblPr>
  </w:style>
  <w:style w:type="character" w:customStyle="1" w:styleId="175">
    <w:name w:val="style441"/>
    <w:qFormat/>
    <w:uiPriority w:val="0"/>
    <w:rPr>
      <w:rFonts w:eastAsia="宋体" w:cs="Times New Roman"/>
      <w:kern w:val="2"/>
      <w:sz w:val="18"/>
      <w:szCs w:val="18"/>
      <w:lang w:val="en-US" w:eastAsia="zh-CN" w:bidi="ar-SA"/>
    </w:rPr>
  </w:style>
  <w:style w:type="character" w:customStyle="1" w:styleId="176">
    <w:name w:val="报告 Char Char"/>
    <w:basedOn w:val="38"/>
    <w:qFormat/>
    <w:uiPriority w:val="0"/>
    <w:rPr>
      <w:rFonts w:eastAsia="宋体"/>
      <w:sz w:val="24"/>
    </w:rPr>
  </w:style>
  <w:style w:type="paragraph" w:customStyle="1" w:styleId="177">
    <w:name w:val="表中文字"/>
    <w:basedOn w:val="1"/>
    <w:qFormat/>
    <w:uiPriority w:val="0"/>
    <w:pPr>
      <w:adjustRightInd w:val="0"/>
      <w:snapToGrid w:val="0"/>
      <w:spacing w:line="400" w:lineRule="exact"/>
      <w:ind w:firstLine="0" w:firstLineChars="0"/>
      <w:jc w:val="center"/>
    </w:pPr>
    <w:rPr>
      <w:sz w:val="21"/>
      <w:szCs w:val="24"/>
    </w:rPr>
  </w:style>
  <w:style w:type="character" w:customStyle="1" w:styleId="178">
    <w:name w:val="普通(网站) 字符"/>
    <w:link w:val="29"/>
    <w:qFormat/>
    <w:locked/>
    <w:uiPriority w:val="0"/>
    <w:rPr>
      <w:rFonts w:ascii="宋体" w:hAnsi="宋体"/>
      <w:sz w:val="24"/>
    </w:rPr>
  </w:style>
  <w:style w:type="character" w:customStyle="1" w:styleId="179">
    <w:name w:val="页脚 字符1"/>
    <w:qFormat/>
    <w:locked/>
    <w:uiPriority w:val="99"/>
    <w:rPr>
      <w:sz w:val="18"/>
    </w:rPr>
  </w:style>
  <w:style w:type="character" w:customStyle="1" w:styleId="180">
    <w:name w:val="无间隔 字符"/>
    <w:basedOn w:val="38"/>
    <w:link w:val="157"/>
    <w:qFormat/>
    <w:uiPriority w:val="0"/>
    <w:rPr>
      <w:rFonts w:eastAsia="黑体"/>
      <w:kern w:val="2"/>
      <w:sz w:val="21"/>
    </w:rPr>
  </w:style>
  <w:style w:type="paragraph" w:customStyle="1" w:styleId="181">
    <w:name w:val="插图"/>
    <w:basedOn w:val="157"/>
    <w:next w:val="157"/>
    <w:link w:val="182"/>
    <w:qFormat/>
    <w:uiPriority w:val="0"/>
    <w:pPr>
      <w:spacing w:line="240" w:lineRule="auto"/>
    </w:pPr>
    <w:rPr>
      <w:rFonts w:cstheme="minorBidi"/>
      <w:szCs w:val="24"/>
      <w:lang w:val="de-DE"/>
    </w:rPr>
  </w:style>
  <w:style w:type="character" w:customStyle="1" w:styleId="182">
    <w:name w:val="插图 字符"/>
    <w:basedOn w:val="38"/>
    <w:link w:val="181"/>
    <w:qFormat/>
    <w:uiPriority w:val="0"/>
    <w:rPr>
      <w:rFonts w:eastAsia="黑体" w:cstheme="minorBidi"/>
      <w:kern w:val="2"/>
      <w:sz w:val="21"/>
      <w:szCs w:val="24"/>
      <w:lang w:val="de-DE"/>
    </w:rPr>
  </w:style>
  <w:style w:type="character" w:customStyle="1" w:styleId="183">
    <w:name w:val="标题 字符"/>
    <w:basedOn w:val="38"/>
    <w:link w:val="31"/>
    <w:qFormat/>
    <w:uiPriority w:val="10"/>
    <w:rPr>
      <w:rFonts w:eastAsia="黑体" w:cstheme="majorBidi"/>
      <w:kern w:val="2"/>
      <w:sz w:val="24"/>
      <w:szCs w:val="32"/>
    </w:rPr>
  </w:style>
  <w:style w:type="character" w:customStyle="1" w:styleId="184">
    <w:name w:val="标题 4 字符"/>
    <w:basedOn w:val="38"/>
    <w:link w:val="5"/>
    <w:semiHidden/>
    <w:qFormat/>
    <w:uiPriority w:val="0"/>
    <w:rPr>
      <w:rFonts w:asciiTheme="majorHAnsi" w:hAnsiTheme="majorHAnsi" w:eastAsiaTheme="majorEastAsia" w:cstheme="majorBidi"/>
      <w:b/>
      <w:bCs/>
      <w:kern w:val="2"/>
      <w:sz w:val="28"/>
      <w:szCs w:val="28"/>
    </w:rPr>
  </w:style>
  <w:style w:type="paragraph" w:customStyle="1" w:styleId="185">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186">
    <w:name w:val="aa院表格内容格式"/>
    <w:basedOn w:val="1"/>
    <w:qFormat/>
    <w:uiPriority w:val="0"/>
    <w:pPr>
      <w:spacing w:line="240" w:lineRule="auto"/>
      <w:ind w:firstLine="0" w:firstLineChars="0"/>
      <w:jc w:val="center"/>
    </w:pPr>
    <w:rPr>
      <w:sz w:val="21"/>
      <w:szCs w:val="24"/>
    </w:rPr>
  </w:style>
  <w:style w:type="paragraph" w:customStyle="1" w:styleId="187">
    <w:name w:val="真·正文"/>
    <w:basedOn w:val="1"/>
    <w:next w:val="63"/>
    <w:qFormat/>
    <w:uiPriority w:val="0"/>
    <w:pPr>
      <w:spacing w:line="360" w:lineRule="auto"/>
      <w:ind w:firstLine="0" w:firstLineChars="0"/>
    </w:pPr>
    <w:rPr>
      <w:rFonts w:ascii="Calibri"/>
      <w:szCs w:val="24"/>
    </w:rPr>
  </w:style>
  <w:style w:type="paragraph" w:customStyle="1" w:styleId="188">
    <w:name w:val="fourth-title"/>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89">
    <w:name w:val="fourth-info"/>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character" w:customStyle="1" w:styleId="190">
    <w:name w:val="inner2andpoint"/>
    <w:basedOn w:val="38"/>
    <w:qFormat/>
    <w:uiPriority w:val="0"/>
  </w:style>
  <w:style w:type="character" w:customStyle="1" w:styleId="191">
    <w:name w:val="批注文字 字符4"/>
    <w:qFormat/>
    <w:uiPriority w:val="99"/>
    <w:rPr>
      <w:sz w:val="24"/>
    </w:rPr>
  </w:style>
  <w:style w:type="paragraph" w:customStyle="1" w:styleId="192">
    <w:name w:val="S-表格文字"/>
    <w:basedOn w:val="1"/>
    <w:qFormat/>
    <w:uiPriority w:val="0"/>
    <w:pPr>
      <w:adjustRightInd w:val="0"/>
      <w:snapToGrid w:val="0"/>
      <w:spacing w:line="240" w:lineRule="auto"/>
      <w:ind w:firstLine="0" w:firstLineChars="0"/>
      <w:jc w:val="center"/>
    </w:pPr>
    <w:rPr>
      <w:sz w:val="21"/>
      <w:szCs w:val="24"/>
    </w:rPr>
  </w:style>
  <w:style w:type="paragraph" w:customStyle="1" w:styleId="193">
    <w:name w:val="修改"/>
    <w:basedOn w:val="1"/>
    <w:link w:val="194"/>
    <w:qFormat/>
    <w:uiPriority w:val="0"/>
    <w:pPr>
      <w:framePr w:hSpace="180" w:wrap="around" w:vAnchor="text" w:hAnchor="text" w:y="1"/>
      <w:suppressOverlap/>
      <w:ind w:firstLine="480"/>
    </w:pPr>
    <w:rPr>
      <w:color w:val="00B050"/>
    </w:rPr>
  </w:style>
  <w:style w:type="character" w:customStyle="1" w:styleId="194">
    <w:name w:val="修改 字符"/>
    <w:basedOn w:val="38"/>
    <w:link w:val="193"/>
    <w:qFormat/>
    <w:uiPriority w:val="0"/>
    <w:rPr>
      <w:color w:val="00B050"/>
      <w:kern w:val="2"/>
      <w:sz w:val="24"/>
    </w:rPr>
  </w:style>
  <w:style w:type="table" w:customStyle="1" w:styleId="195">
    <w:name w:val="CHl"/>
    <w:basedOn w:val="34"/>
    <w:qFormat/>
    <w:uiPriority w:val="99"/>
    <w:pPr>
      <w:widowControl w:val="0"/>
      <w:adjustRightInd w:val="0"/>
      <w:snapToGrid w:val="0"/>
      <w:spacing w:line="360" w:lineRule="exact"/>
      <w:jc w:val="center"/>
    </w:pPr>
    <w:rPr>
      <w:sz w:val="18"/>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character" w:customStyle="1" w:styleId="196">
    <w:name w:val="未处理的提及1"/>
    <w:basedOn w:val="38"/>
    <w:semiHidden/>
    <w:unhideWhenUsed/>
    <w:qFormat/>
    <w:uiPriority w:val="99"/>
    <w:rPr>
      <w:color w:val="605E5C"/>
      <w:shd w:val="clear" w:color="auto" w:fill="E1DFDD"/>
    </w:rPr>
  </w:style>
  <w:style w:type="paragraph" w:customStyle="1" w:styleId="197">
    <w:name w:val="表格内容lh"/>
    <w:basedOn w:val="1"/>
    <w:link w:val="198"/>
    <w:qFormat/>
    <w:uiPriority w:val="0"/>
    <w:pPr>
      <w:adjustRightInd w:val="0"/>
      <w:snapToGrid w:val="0"/>
      <w:spacing w:line="240" w:lineRule="auto"/>
      <w:ind w:firstLine="0" w:firstLineChars="0"/>
    </w:pPr>
    <w:rPr>
      <w:bCs/>
      <w:sz w:val="21"/>
      <w:szCs w:val="21"/>
    </w:rPr>
  </w:style>
  <w:style w:type="character" w:customStyle="1" w:styleId="198">
    <w:name w:val="表格内容lh 字符"/>
    <w:link w:val="197"/>
    <w:qFormat/>
    <w:uiPriority w:val="0"/>
    <w:rPr>
      <w:bCs/>
      <w:kern w:val="2"/>
      <w:sz w:val="21"/>
      <w:szCs w:val="21"/>
    </w:rPr>
  </w:style>
  <w:style w:type="paragraph" w:customStyle="1" w:styleId="199">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3.png"/><Relationship Id="rId31" Type="http://schemas.openxmlformats.org/officeDocument/2006/relationships/image" Target="media/image12.emf"/><Relationship Id="rId30" Type="http://schemas.openxmlformats.org/officeDocument/2006/relationships/package" Target="embeddings/Microsoft_Visio___5.vsdx"/><Relationship Id="rId3" Type="http://schemas.openxmlformats.org/officeDocument/2006/relationships/footnotes" Target="footnotes.xml"/><Relationship Id="rId29" Type="http://schemas.openxmlformats.org/officeDocument/2006/relationships/image" Target="media/image11.emf"/><Relationship Id="rId28" Type="http://schemas.openxmlformats.org/officeDocument/2006/relationships/package" Target="embeddings/Microsoft_Visio___4.vsdx"/><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emf"/><Relationship Id="rId24" Type="http://schemas.openxmlformats.org/officeDocument/2006/relationships/package" Target="embeddings/Microsoft_Visio___3.vsdx"/><Relationship Id="rId23" Type="http://schemas.openxmlformats.org/officeDocument/2006/relationships/image" Target="media/image7.emf"/><Relationship Id="rId22" Type="http://schemas.openxmlformats.org/officeDocument/2006/relationships/package" Target="embeddings/Microsoft_Visio___2.vsdx"/><Relationship Id="rId21" Type="http://schemas.openxmlformats.org/officeDocument/2006/relationships/image" Target="media/image6.jpeg"/><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package" Target="embeddings/Microsoft_Visio___1.vsdx"/><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DB7E46-CF8E-4302-8095-A87598DB73C9}">
  <ds:schemaRefs/>
</ds:datastoreItem>
</file>

<file path=docProps/app.xml><?xml version="1.0" encoding="utf-8"?>
<Properties xmlns="http://schemas.openxmlformats.org/officeDocument/2006/extended-properties" xmlns:vt="http://schemas.openxmlformats.org/officeDocument/2006/docPropsVTypes">
  <Template>Normal.dotm</Template>
  <Company>corp</Company>
  <Pages>78</Pages>
  <Words>8323</Words>
  <Characters>47444</Characters>
  <Lines>395</Lines>
  <Paragraphs>111</Paragraphs>
  <TotalTime>9606</TotalTime>
  <ScaleCrop>false</ScaleCrop>
  <LinksUpToDate>false</LinksUpToDate>
  <CharactersWithSpaces>55656</CharactersWithSpaces>
  <Application>WPS Office_12.1.0.15336_F1E327BC-269C-435d-A152-05C5408002CA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2022-05-25T09:49:00Z</dcterms:created>
  <dc:creator>your name</dc:creator>
  <cp:lastModifiedBy>兜里丶有糖乀</cp:lastModifiedBy>
  <cp:lastPrinted>2023-08-03T01:53:00Z</cp:lastPrinted>
  <dcterms:modified xsi:type="dcterms:W3CDTF">2023-08-16T07:15:16Z</dcterms:modified>
  <dc:title>建设项目基本情况</dc:title>
  <cp:revision>242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2052-12.1.0.15336</vt:lpwstr>
  </property>
  <property fmtid="{D5CDD505-2E9C-101B-9397-08002B2CF9AE}" pid="3" name="ICV">
    <vt:lpwstr>F7DAA804ABD6412AA62F305040B0D734_13</vt:lpwstr>
  </property>
</Properties>
</file>