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ind w:firstLine="480"/>
        <w:rPr>
          <w:color w:val="auto"/>
        </w:rPr>
      </w:pPr>
    </w:p>
    <w:p>
      <w:pPr>
        <w:spacing w:line="240" w:lineRule="atLeast"/>
        <w:ind w:firstLine="480"/>
        <w:jc w:val="right"/>
        <w:rPr>
          <w:color w:val="auto"/>
        </w:rPr>
      </w:pPr>
    </w:p>
    <w:p>
      <w:pPr>
        <w:jc w:val="center"/>
        <w:rPr>
          <w:b/>
          <w:color w:val="auto"/>
          <w:sz w:val="36"/>
        </w:rPr>
      </w:pPr>
    </w:p>
    <w:p>
      <w:pPr>
        <w:adjustRightInd w:val="0"/>
        <w:snapToGrid w:val="0"/>
        <w:spacing w:line="800" w:lineRule="exact"/>
        <w:jc w:val="center"/>
        <w:rPr>
          <w:rFonts w:hint="eastAsia" w:eastAsia="宋体"/>
          <w:b/>
          <w:color w:val="auto"/>
          <w:sz w:val="48"/>
          <w:szCs w:val="48"/>
          <w:lang w:eastAsia="zh-CN"/>
        </w:rPr>
      </w:pPr>
      <w:r>
        <w:rPr>
          <w:rFonts w:hint="eastAsia" w:ascii="宋体" w:hAnsi="宋体" w:cs="宋体"/>
          <w:b/>
          <w:color w:val="auto"/>
          <w:sz w:val="80"/>
          <w:szCs w:val="80"/>
          <w:lang w:eastAsia="zh-CN"/>
        </w:rPr>
        <w:t>恩阳区群乐镇</w:t>
      </w:r>
      <w:bookmarkStart w:id="652" w:name="_GoBack"/>
      <w:bookmarkEnd w:id="652"/>
      <w:r>
        <w:rPr>
          <w:rFonts w:hint="eastAsia" w:ascii="宋体" w:hAnsi="宋体" w:cs="宋体"/>
          <w:b/>
          <w:color w:val="auto"/>
          <w:sz w:val="80"/>
          <w:szCs w:val="80"/>
          <w:lang w:eastAsia="zh-CN"/>
        </w:rPr>
        <w:t>坳盘村巴山肉牛育肥场项目</w:t>
      </w:r>
    </w:p>
    <w:p>
      <w:pPr>
        <w:spacing w:line="360" w:lineRule="auto"/>
        <w:jc w:val="center"/>
        <w:rPr>
          <w:rFonts w:eastAsia="楷体_GB2312"/>
          <w:b/>
          <w:color w:val="auto"/>
          <w:sz w:val="110"/>
          <w:szCs w:val="110"/>
        </w:rPr>
      </w:pPr>
      <w:r>
        <w:rPr>
          <w:rFonts w:ascii="宋体" w:hAnsi="宋体" w:cs="宋体"/>
          <w:b/>
          <w:color w:val="auto"/>
          <w:sz w:val="110"/>
          <w:szCs w:val="110"/>
        </w:rPr>
        <w:t>环境影响报告书</w:t>
      </w:r>
    </w:p>
    <w:p>
      <w:pPr>
        <w:spacing w:line="720" w:lineRule="auto"/>
        <w:jc w:val="center"/>
        <w:rPr>
          <w:rFonts w:ascii="Calibri" w:hAnsi="Calibri"/>
          <w:b/>
          <w:color w:val="auto"/>
          <w:sz w:val="40"/>
          <w:szCs w:val="40"/>
        </w:rPr>
      </w:pPr>
      <w:r>
        <w:rPr>
          <w:rFonts w:ascii="Calibri" w:hAnsi="Calibri"/>
          <w:b/>
          <w:color w:val="auto"/>
          <w:sz w:val="40"/>
          <w:szCs w:val="40"/>
        </w:rPr>
        <w:t>（</w:t>
      </w:r>
      <w:r>
        <w:rPr>
          <w:rFonts w:hint="eastAsia" w:ascii="Calibri" w:hAnsi="Calibri"/>
          <w:b/>
          <w:color w:val="auto"/>
          <w:sz w:val="40"/>
          <w:szCs w:val="40"/>
          <w:lang w:val="en-US" w:eastAsia="zh-CN"/>
        </w:rPr>
        <w:t>公示本</w:t>
      </w:r>
      <w:r>
        <w:rPr>
          <w:rFonts w:ascii="Calibri" w:hAnsi="Calibri"/>
          <w:b/>
          <w:color w:val="auto"/>
          <w:sz w:val="40"/>
          <w:szCs w:val="40"/>
        </w:rPr>
        <w:t>）</w:t>
      </w:r>
    </w:p>
    <w:p>
      <w:pPr>
        <w:spacing w:line="360" w:lineRule="auto"/>
        <w:jc w:val="center"/>
        <w:rPr>
          <w:rFonts w:eastAsiaTheme="minorEastAsia"/>
          <w:b/>
          <w:color w:val="auto"/>
          <w:sz w:val="44"/>
          <w:szCs w:val="44"/>
        </w:rPr>
      </w:pPr>
    </w:p>
    <w:p>
      <w:pPr>
        <w:spacing w:line="360" w:lineRule="auto"/>
        <w:jc w:val="distribute"/>
        <w:outlineLvl w:val="9"/>
        <w:rPr>
          <w:rFonts w:hint="default" w:eastAsiaTheme="minorEastAsia"/>
          <w:b/>
          <w:color w:val="auto"/>
          <w:sz w:val="84"/>
          <w:lang w:val="en-US" w:eastAsia="zh-CN"/>
        </w:rPr>
      </w:pPr>
    </w:p>
    <w:p>
      <w:pPr>
        <w:pStyle w:val="75"/>
        <w:rPr>
          <w:rFonts w:eastAsiaTheme="minorEastAsia"/>
          <w:b/>
          <w:color w:val="auto"/>
          <w:sz w:val="84"/>
        </w:rPr>
      </w:pPr>
    </w:p>
    <w:p>
      <w:pPr>
        <w:rPr>
          <w:rFonts w:eastAsiaTheme="minorEastAsia"/>
          <w:b/>
          <w:color w:val="auto"/>
          <w:sz w:val="84"/>
        </w:rPr>
      </w:pPr>
    </w:p>
    <w:p>
      <w:pPr>
        <w:pStyle w:val="75"/>
        <w:rPr>
          <w:color w:val="auto"/>
        </w:rPr>
      </w:pPr>
    </w:p>
    <w:p>
      <w:pPr>
        <w:spacing w:line="360" w:lineRule="auto"/>
        <w:jc w:val="center"/>
        <w:rPr>
          <w:rFonts w:eastAsiaTheme="minorEastAsia"/>
          <w:b/>
          <w:color w:val="auto"/>
          <w:sz w:val="36"/>
        </w:rPr>
      </w:pPr>
    </w:p>
    <w:p>
      <w:pPr>
        <w:pStyle w:val="75"/>
        <w:rPr>
          <w:rFonts w:eastAsiaTheme="minorEastAsia"/>
          <w:b/>
          <w:color w:val="auto"/>
          <w:sz w:val="36"/>
        </w:rPr>
      </w:pPr>
    </w:p>
    <w:p>
      <w:pPr>
        <w:rPr>
          <w:rFonts w:eastAsiaTheme="minorEastAsia"/>
          <w:b/>
          <w:color w:val="auto"/>
          <w:sz w:val="32"/>
          <w:szCs w:val="32"/>
        </w:rPr>
      </w:pPr>
    </w:p>
    <w:p>
      <w:pPr>
        <w:spacing w:line="360" w:lineRule="auto"/>
        <w:jc w:val="center"/>
        <w:rPr>
          <w:rFonts w:ascii="宋体" w:hAnsi="宋体" w:cs="宋体"/>
          <w:b/>
          <w:bCs/>
          <w:color w:val="auto"/>
          <w:sz w:val="32"/>
          <w:szCs w:val="32"/>
        </w:rPr>
      </w:pPr>
      <w:r>
        <w:rPr>
          <w:rFonts w:hint="eastAsia" w:ascii="宋体" w:hAnsi="宋体" w:cs="宋体"/>
          <w:b/>
          <w:bCs/>
          <w:color w:val="auto"/>
          <w:sz w:val="32"/>
          <w:szCs w:val="32"/>
        </w:rPr>
        <w:t>环评单位：四川汉雲环美科技有限公司</w:t>
      </w:r>
    </w:p>
    <w:p>
      <w:pPr>
        <w:spacing w:line="360" w:lineRule="auto"/>
        <w:ind w:firstLine="1606" w:firstLineChars="500"/>
        <w:rPr>
          <w:rFonts w:ascii="宋体" w:hAnsi="宋体" w:cs="宋体"/>
          <w:b/>
          <w:bCs/>
          <w:color w:val="auto"/>
          <w:sz w:val="32"/>
          <w:szCs w:val="32"/>
        </w:rPr>
      </w:pPr>
      <w:r>
        <w:rPr>
          <w:rFonts w:hint="eastAsia" w:ascii="宋体" w:hAnsi="宋体" w:cs="宋体"/>
          <w:b/>
          <w:bCs/>
          <w:color w:val="auto"/>
          <w:sz w:val="32"/>
          <w:szCs w:val="32"/>
        </w:rPr>
        <w:t>建设单位：巴中乾兴产业园区建设投资有限公司</w:t>
      </w:r>
    </w:p>
    <w:p>
      <w:pPr>
        <w:spacing w:line="240" w:lineRule="atLeast"/>
        <w:ind w:firstLine="721"/>
        <w:jc w:val="center"/>
        <w:rPr>
          <w:rFonts w:hint="default" w:ascii="Times New Roman" w:hAnsi="Times New Roman" w:cs="Times New Roman" w:eastAsiaTheme="minorEastAsia"/>
          <w:b/>
          <w:color w:val="auto"/>
          <w:sz w:val="32"/>
          <w:szCs w:val="32"/>
        </w:rPr>
      </w:pPr>
      <w:r>
        <w:rPr>
          <w:rFonts w:hint="default" w:ascii="Times New Roman" w:hAnsi="Times New Roman" w:cs="Times New Roman"/>
          <w:b/>
          <w:bCs/>
          <w:color w:val="auto"/>
          <w:sz w:val="32"/>
          <w:szCs w:val="32"/>
        </w:rPr>
        <w:t>202</w:t>
      </w:r>
      <w:r>
        <w:rPr>
          <w:rFonts w:hint="eastAsia" w:cs="Times New Roman"/>
          <w:b/>
          <w:bCs/>
          <w:color w:val="auto"/>
          <w:sz w:val="32"/>
          <w:szCs w:val="32"/>
          <w:lang w:val="en-US" w:eastAsia="zh-CN"/>
        </w:rPr>
        <w:t>3</w:t>
      </w:r>
      <w:r>
        <w:rPr>
          <w:rFonts w:hint="default" w:ascii="Times New Roman" w:hAnsi="Times New Roman" w:cs="Times New Roman"/>
          <w:b/>
          <w:bCs/>
          <w:color w:val="auto"/>
          <w:sz w:val="32"/>
          <w:szCs w:val="32"/>
        </w:rPr>
        <w:t>年</w:t>
      </w:r>
      <w:r>
        <w:rPr>
          <w:rFonts w:hint="eastAsia" w:cs="Times New Roman"/>
          <w:b/>
          <w:bCs/>
          <w:color w:val="auto"/>
          <w:sz w:val="32"/>
          <w:szCs w:val="32"/>
          <w:lang w:val="en-US" w:eastAsia="zh-CN"/>
        </w:rPr>
        <w:t>5</w:t>
      </w:r>
      <w:r>
        <w:rPr>
          <w:rFonts w:hint="default" w:ascii="Times New Roman" w:hAnsi="Times New Roman" w:cs="Times New Roman"/>
          <w:b/>
          <w:bCs/>
          <w:color w:val="auto"/>
          <w:sz w:val="32"/>
          <w:szCs w:val="32"/>
        </w:rPr>
        <w:t>月</w:t>
      </w:r>
    </w:p>
    <w:p>
      <w:pPr>
        <w:pStyle w:val="4"/>
        <w:pageBreakBefore/>
        <w:spacing w:line="360" w:lineRule="auto"/>
        <w:jc w:val="center"/>
        <w:rPr>
          <w:rFonts w:ascii="Times New Roman"/>
          <w:b/>
          <w:color w:val="auto"/>
          <w:sz w:val="44"/>
        </w:rPr>
        <w:sectPr>
          <w:headerReference r:id="rId3" w:type="default"/>
          <w:footerReference r:id="rId4" w:type="default"/>
          <w:footerReference r:id="rId5" w:type="even"/>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p>
    <w:p>
      <w:pPr>
        <w:pStyle w:val="4"/>
        <w:pageBreakBefore/>
        <w:spacing w:line="360" w:lineRule="auto"/>
        <w:jc w:val="center"/>
        <w:rPr>
          <w:rFonts w:ascii="Times New Roman" w:eastAsia="黑体"/>
          <w:b/>
          <w:i w:val="0"/>
          <w:iCs w:val="0"/>
          <w:color w:val="auto"/>
          <w:sz w:val="44"/>
        </w:rPr>
      </w:pPr>
      <w:r>
        <w:rPr>
          <w:rFonts w:ascii="Times New Roman" w:eastAsia="黑体"/>
          <w:b/>
          <w:i w:val="0"/>
          <w:iCs w:val="0"/>
          <w:color w:val="auto"/>
          <w:sz w:val="44"/>
        </w:rPr>
        <w:t>目录</w:t>
      </w:r>
    </w:p>
    <w:p>
      <w:pPr>
        <w:pStyle w:val="60"/>
        <w:tabs>
          <w:tab w:val="right" w:leader="dot" w:pos="8732"/>
        </w:tabs>
        <w:rPr>
          <w:i w:val="0"/>
          <w:iCs w:val="0"/>
          <w:color w:val="auto"/>
        </w:rPr>
      </w:pPr>
      <w:r>
        <w:rPr>
          <w:rFonts w:eastAsiaTheme="minorEastAsia"/>
          <w:bCs/>
          <w:i w:val="0"/>
          <w:iCs w:val="0"/>
          <w:color w:val="auto"/>
          <w:sz w:val="24"/>
          <w:szCs w:val="32"/>
        </w:rPr>
        <w:fldChar w:fldCharType="begin"/>
      </w:r>
      <w:r>
        <w:rPr>
          <w:rFonts w:eastAsiaTheme="minorEastAsia"/>
          <w:bCs/>
          <w:i w:val="0"/>
          <w:iCs w:val="0"/>
          <w:color w:val="auto"/>
          <w:sz w:val="24"/>
          <w:szCs w:val="32"/>
        </w:rPr>
        <w:instrText xml:space="preserve">TOC \o "1-3" \h \u </w:instrText>
      </w:r>
      <w:r>
        <w:rPr>
          <w:rFonts w:eastAsiaTheme="minorEastAsia"/>
          <w:bCs/>
          <w:i w:val="0"/>
          <w:iCs w:val="0"/>
          <w:color w:val="auto"/>
          <w:sz w:val="24"/>
          <w:szCs w:val="32"/>
        </w:rPr>
        <w:fldChar w:fldCharType="separate"/>
      </w: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_Toc30171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1. 概述</w:t>
      </w:r>
      <w:r>
        <w:rPr>
          <w:i w:val="0"/>
          <w:iCs w:val="0"/>
          <w:color w:val="auto"/>
        </w:rPr>
        <w:tab/>
      </w:r>
      <w:r>
        <w:rPr>
          <w:i w:val="0"/>
          <w:iCs w:val="0"/>
          <w:color w:val="auto"/>
        </w:rPr>
        <w:fldChar w:fldCharType="begin"/>
      </w:r>
      <w:r>
        <w:rPr>
          <w:i w:val="0"/>
          <w:iCs w:val="0"/>
          <w:color w:val="auto"/>
        </w:rPr>
        <w:instrText xml:space="preserve"> PAGEREF _Toc30171 \h </w:instrText>
      </w:r>
      <w:r>
        <w:rPr>
          <w:i w:val="0"/>
          <w:iCs w:val="0"/>
          <w:color w:val="auto"/>
        </w:rPr>
        <w:fldChar w:fldCharType="separate"/>
      </w:r>
      <w:r>
        <w:rPr>
          <w:i w:val="0"/>
          <w:iCs w:val="0"/>
          <w:color w:val="auto"/>
        </w:rPr>
        <w:t>1</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_Toc2567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rPr>
        <w:t xml:space="preserve">1.1 </w:t>
      </w:r>
      <w:r>
        <w:rPr>
          <w:rFonts w:ascii="Times New Roman" w:hAnsi="Times New Roman" w:cs="Times New Roman" w:eastAsiaTheme="majorEastAsia"/>
          <w:bCs/>
          <w:i w:val="0"/>
          <w:iCs w:val="0"/>
          <w:color w:val="auto"/>
          <w:kern w:val="2"/>
          <w:szCs w:val="32"/>
          <w:lang w:val="en-US" w:eastAsia="zh-CN"/>
        </w:rPr>
        <w:t>项目由来</w:t>
      </w:r>
      <w:r>
        <w:rPr>
          <w:i w:val="0"/>
          <w:iCs w:val="0"/>
          <w:color w:val="auto"/>
        </w:rPr>
        <w:tab/>
      </w:r>
      <w:r>
        <w:rPr>
          <w:i w:val="0"/>
          <w:iCs w:val="0"/>
          <w:color w:val="auto"/>
        </w:rPr>
        <w:fldChar w:fldCharType="begin"/>
      </w:r>
      <w:r>
        <w:rPr>
          <w:i w:val="0"/>
          <w:iCs w:val="0"/>
          <w:color w:val="auto"/>
        </w:rPr>
        <w:instrText xml:space="preserve"> PAGEREF _Toc2567 \h </w:instrText>
      </w:r>
      <w:r>
        <w:rPr>
          <w:i w:val="0"/>
          <w:iCs w:val="0"/>
          <w:color w:val="auto"/>
        </w:rPr>
        <w:fldChar w:fldCharType="separate"/>
      </w:r>
      <w:r>
        <w:rPr>
          <w:i w:val="0"/>
          <w:iCs w:val="0"/>
          <w:color w:val="auto"/>
        </w:rPr>
        <w:t>1</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_Toc10285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1.2 </w:t>
      </w:r>
      <w:r>
        <w:rPr>
          <w:rFonts w:ascii="Times New Roman" w:hAnsi="Times New Roman" w:cs="Times New Roman" w:eastAsiaTheme="majorEastAsia"/>
          <w:bCs/>
          <w:i w:val="0"/>
          <w:iCs w:val="0"/>
          <w:color w:val="auto"/>
          <w:kern w:val="2"/>
          <w:szCs w:val="32"/>
          <w:lang w:val="en-US" w:eastAsia="zh-CN"/>
        </w:rPr>
        <w:t>环境影响评价的工作过程</w:t>
      </w:r>
      <w:r>
        <w:rPr>
          <w:i w:val="0"/>
          <w:iCs w:val="0"/>
          <w:color w:val="auto"/>
        </w:rPr>
        <w:tab/>
      </w:r>
      <w:r>
        <w:rPr>
          <w:i w:val="0"/>
          <w:iCs w:val="0"/>
          <w:color w:val="auto"/>
        </w:rPr>
        <w:fldChar w:fldCharType="begin"/>
      </w:r>
      <w:r>
        <w:rPr>
          <w:i w:val="0"/>
          <w:iCs w:val="0"/>
          <w:color w:val="auto"/>
        </w:rPr>
        <w:instrText xml:space="preserve"> PAGEREF _Toc10285 \h </w:instrText>
      </w:r>
      <w:r>
        <w:rPr>
          <w:i w:val="0"/>
          <w:iCs w:val="0"/>
          <w:color w:val="auto"/>
        </w:rPr>
        <w:fldChar w:fldCharType="separate"/>
      </w:r>
      <w:r>
        <w:rPr>
          <w:i w:val="0"/>
          <w:iCs w:val="0"/>
          <w:color w:val="auto"/>
        </w:rPr>
        <w:t>1</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_Toc32746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1.3 </w:t>
      </w:r>
      <w:r>
        <w:rPr>
          <w:rFonts w:ascii="Times New Roman" w:hAnsi="Times New Roman" w:cs="Times New Roman" w:eastAsiaTheme="majorEastAsia"/>
          <w:bCs/>
          <w:i w:val="0"/>
          <w:iCs w:val="0"/>
          <w:color w:val="auto"/>
          <w:kern w:val="2"/>
          <w:szCs w:val="32"/>
          <w:lang w:val="en-US" w:eastAsia="zh-CN"/>
        </w:rPr>
        <w:t>分析判定相关情况</w:t>
      </w:r>
      <w:r>
        <w:rPr>
          <w:i w:val="0"/>
          <w:iCs w:val="0"/>
          <w:color w:val="auto"/>
        </w:rPr>
        <w:tab/>
      </w:r>
      <w:r>
        <w:rPr>
          <w:i w:val="0"/>
          <w:iCs w:val="0"/>
          <w:color w:val="auto"/>
        </w:rPr>
        <w:fldChar w:fldCharType="begin"/>
      </w:r>
      <w:r>
        <w:rPr>
          <w:i w:val="0"/>
          <w:iCs w:val="0"/>
          <w:color w:val="auto"/>
        </w:rPr>
        <w:instrText xml:space="preserve"> PAGEREF _Toc32746 \h </w:instrText>
      </w:r>
      <w:r>
        <w:rPr>
          <w:i w:val="0"/>
          <w:iCs w:val="0"/>
          <w:color w:val="auto"/>
        </w:rPr>
        <w:fldChar w:fldCharType="separate"/>
      </w:r>
      <w:r>
        <w:rPr>
          <w:i w:val="0"/>
          <w:iCs w:val="0"/>
          <w:color w:val="auto"/>
        </w:rPr>
        <w:t>2</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_Toc23444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1.4 </w:t>
      </w:r>
      <w:r>
        <w:rPr>
          <w:rFonts w:ascii="Times New Roman" w:hAnsi="Times New Roman" w:cs="Times New Roman" w:eastAsiaTheme="majorEastAsia"/>
          <w:bCs/>
          <w:i w:val="0"/>
          <w:iCs w:val="0"/>
          <w:color w:val="auto"/>
          <w:kern w:val="2"/>
          <w:szCs w:val="32"/>
          <w:lang w:val="en-US" w:eastAsia="zh-CN"/>
        </w:rPr>
        <w:t>关注的主要环境问题</w:t>
      </w:r>
      <w:r>
        <w:rPr>
          <w:i w:val="0"/>
          <w:iCs w:val="0"/>
          <w:color w:val="auto"/>
        </w:rPr>
        <w:tab/>
      </w:r>
      <w:r>
        <w:rPr>
          <w:i w:val="0"/>
          <w:iCs w:val="0"/>
          <w:color w:val="auto"/>
        </w:rPr>
        <w:fldChar w:fldCharType="begin"/>
      </w:r>
      <w:r>
        <w:rPr>
          <w:i w:val="0"/>
          <w:iCs w:val="0"/>
          <w:color w:val="auto"/>
        </w:rPr>
        <w:instrText xml:space="preserve"> PAGEREF _Toc23444 \h </w:instrText>
      </w:r>
      <w:r>
        <w:rPr>
          <w:i w:val="0"/>
          <w:iCs w:val="0"/>
          <w:color w:val="auto"/>
        </w:rPr>
        <w:fldChar w:fldCharType="separate"/>
      </w:r>
      <w:r>
        <w:rPr>
          <w:i w:val="0"/>
          <w:iCs w:val="0"/>
          <w:color w:val="auto"/>
        </w:rPr>
        <w:t>3</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_Toc29603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1.5 </w:t>
      </w:r>
      <w:r>
        <w:rPr>
          <w:rFonts w:ascii="Times New Roman" w:hAnsi="Times New Roman" w:cs="Times New Roman" w:eastAsiaTheme="majorEastAsia"/>
          <w:bCs/>
          <w:i w:val="0"/>
          <w:iCs w:val="0"/>
          <w:color w:val="auto"/>
          <w:kern w:val="2"/>
          <w:szCs w:val="32"/>
          <w:lang w:val="en-US" w:eastAsia="zh-CN"/>
        </w:rPr>
        <w:t>主要环境影响</w:t>
      </w:r>
      <w:r>
        <w:rPr>
          <w:i w:val="0"/>
          <w:iCs w:val="0"/>
          <w:color w:val="auto"/>
        </w:rPr>
        <w:tab/>
      </w:r>
      <w:r>
        <w:rPr>
          <w:i w:val="0"/>
          <w:iCs w:val="0"/>
          <w:color w:val="auto"/>
        </w:rPr>
        <w:fldChar w:fldCharType="begin"/>
      </w:r>
      <w:r>
        <w:rPr>
          <w:i w:val="0"/>
          <w:iCs w:val="0"/>
          <w:color w:val="auto"/>
        </w:rPr>
        <w:instrText xml:space="preserve"> PAGEREF _Toc29603 \h </w:instrText>
      </w:r>
      <w:r>
        <w:rPr>
          <w:i w:val="0"/>
          <w:iCs w:val="0"/>
          <w:color w:val="auto"/>
        </w:rPr>
        <w:fldChar w:fldCharType="separate"/>
      </w:r>
      <w:r>
        <w:rPr>
          <w:i w:val="0"/>
          <w:iCs w:val="0"/>
          <w:color w:val="auto"/>
        </w:rPr>
        <w:t>3</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_Toc28482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1.6 </w:t>
      </w:r>
      <w:r>
        <w:rPr>
          <w:rFonts w:ascii="Times New Roman" w:hAnsi="Times New Roman" w:cs="Times New Roman" w:eastAsiaTheme="majorEastAsia"/>
          <w:bCs/>
          <w:i w:val="0"/>
          <w:iCs w:val="0"/>
          <w:color w:val="auto"/>
          <w:kern w:val="2"/>
          <w:szCs w:val="32"/>
          <w:lang w:val="en-US" w:eastAsia="zh-CN"/>
        </w:rPr>
        <w:t>环境影响报告书的主要结论</w:t>
      </w:r>
      <w:r>
        <w:rPr>
          <w:i w:val="0"/>
          <w:iCs w:val="0"/>
          <w:color w:val="auto"/>
        </w:rPr>
        <w:tab/>
      </w:r>
      <w:r>
        <w:rPr>
          <w:i w:val="0"/>
          <w:iCs w:val="0"/>
          <w:color w:val="auto"/>
        </w:rPr>
        <w:fldChar w:fldCharType="begin"/>
      </w:r>
      <w:r>
        <w:rPr>
          <w:i w:val="0"/>
          <w:iCs w:val="0"/>
          <w:color w:val="auto"/>
        </w:rPr>
        <w:instrText xml:space="preserve"> PAGEREF _Toc28482 \h </w:instrText>
      </w:r>
      <w:r>
        <w:rPr>
          <w:i w:val="0"/>
          <w:iCs w:val="0"/>
          <w:color w:val="auto"/>
        </w:rPr>
        <w:fldChar w:fldCharType="separate"/>
      </w:r>
      <w:r>
        <w:rPr>
          <w:i w:val="0"/>
          <w:iCs w:val="0"/>
          <w:color w:val="auto"/>
        </w:rPr>
        <w:t>5</w:t>
      </w:r>
      <w:r>
        <w:rPr>
          <w:i w:val="0"/>
          <w:iCs w:val="0"/>
          <w:color w:val="auto"/>
        </w:rPr>
        <w:fldChar w:fldCharType="end"/>
      </w:r>
      <w:r>
        <w:rPr>
          <w:rFonts w:eastAsiaTheme="minorEastAsia"/>
          <w:bCs/>
          <w:i w:val="0"/>
          <w:iCs w:val="0"/>
          <w:color w:val="auto"/>
          <w:szCs w:val="32"/>
        </w:rPr>
        <w:fldChar w:fldCharType="end"/>
      </w:r>
    </w:p>
    <w:p>
      <w:pPr>
        <w:pStyle w:val="60"/>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_Toc1115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2. 总则</w:t>
      </w:r>
      <w:r>
        <w:rPr>
          <w:i w:val="0"/>
          <w:iCs w:val="0"/>
          <w:color w:val="auto"/>
        </w:rPr>
        <w:tab/>
      </w:r>
      <w:r>
        <w:rPr>
          <w:i w:val="0"/>
          <w:iCs w:val="0"/>
          <w:color w:val="auto"/>
        </w:rPr>
        <w:fldChar w:fldCharType="begin"/>
      </w:r>
      <w:r>
        <w:rPr>
          <w:i w:val="0"/>
          <w:iCs w:val="0"/>
          <w:color w:val="auto"/>
        </w:rPr>
        <w:instrText xml:space="preserve"> PAGEREF _Toc1115 \h </w:instrText>
      </w:r>
      <w:r>
        <w:rPr>
          <w:i w:val="0"/>
          <w:iCs w:val="0"/>
          <w:color w:val="auto"/>
        </w:rPr>
        <w:fldChar w:fldCharType="separate"/>
      </w:r>
      <w:r>
        <w:rPr>
          <w:i w:val="0"/>
          <w:iCs w:val="0"/>
          <w:color w:val="auto"/>
        </w:rPr>
        <w:t>6</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_Toc26524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2.1 </w:t>
      </w:r>
      <w:r>
        <w:rPr>
          <w:rFonts w:ascii="Times New Roman" w:hAnsi="Times New Roman" w:cs="Times New Roman" w:eastAsiaTheme="majorEastAsia"/>
          <w:bCs/>
          <w:i w:val="0"/>
          <w:iCs w:val="0"/>
          <w:color w:val="auto"/>
          <w:kern w:val="2"/>
          <w:szCs w:val="32"/>
          <w:lang w:val="en-US" w:eastAsia="zh-CN"/>
        </w:rPr>
        <w:t>编制依据</w:t>
      </w:r>
      <w:r>
        <w:rPr>
          <w:i w:val="0"/>
          <w:iCs w:val="0"/>
          <w:color w:val="auto"/>
        </w:rPr>
        <w:tab/>
      </w:r>
      <w:r>
        <w:rPr>
          <w:i w:val="0"/>
          <w:iCs w:val="0"/>
          <w:color w:val="auto"/>
        </w:rPr>
        <w:fldChar w:fldCharType="begin"/>
      </w:r>
      <w:r>
        <w:rPr>
          <w:i w:val="0"/>
          <w:iCs w:val="0"/>
          <w:color w:val="auto"/>
        </w:rPr>
        <w:instrText xml:space="preserve"> PAGEREF _Toc26524 \h </w:instrText>
      </w:r>
      <w:r>
        <w:rPr>
          <w:i w:val="0"/>
          <w:iCs w:val="0"/>
          <w:color w:val="auto"/>
        </w:rPr>
        <w:fldChar w:fldCharType="separate"/>
      </w:r>
      <w:r>
        <w:rPr>
          <w:i w:val="0"/>
          <w:iCs w:val="0"/>
          <w:color w:val="auto"/>
        </w:rPr>
        <w:t>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_Toc28846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2.1.1 </w:t>
      </w:r>
      <w:r>
        <w:rPr>
          <w:rFonts w:hint="default" w:ascii="Times New Roman" w:hAnsi="Times New Roman" w:cs="Times New Roman" w:eastAsiaTheme="majorEastAsia"/>
          <w:bCs w:val="0"/>
          <w:i w:val="0"/>
          <w:iCs w:val="0"/>
          <w:color w:val="auto"/>
          <w:szCs w:val="24"/>
        </w:rPr>
        <w:t>法律</w:t>
      </w:r>
      <w:r>
        <w:rPr>
          <w:i w:val="0"/>
          <w:iCs w:val="0"/>
          <w:color w:val="auto"/>
        </w:rPr>
        <w:tab/>
      </w:r>
      <w:r>
        <w:rPr>
          <w:i w:val="0"/>
          <w:iCs w:val="0"/>
          <w:color w:val="auto"/>
        </w:rPr>
        <w:fldChar w:fldCharType="begin"/>
      </w:r>
      <w:r>
        <w:rPr>
          <w:i w:val="0"/>
          <w:iCs w:val="0"/>
          <w:color w:val="auto"/>
        </w:rPr>
        <w:instrText xml:space="preserve"> PAGEREF _Toc28846 \h </w:instrText>
      </w:r>
      <w:r>
        <w:rPr>
          <w:i w:val="0"/>
          <w:iCs w:val="0"/>
          <w:color w:val="auto"/>
        </w:rPr>
        <w:fldChar w:fldCharType="separate"/>
      </w:r>
      <w:r>
        <w:rPr>
          <w:i w:val="0"/>
          <w:iCs w:val="0"/>
          <w:color w:val="auto"/>
        </w:rPr>
        <w:t>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_Toc3364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2.1.2 </w:t>
      </w:r>
      <w:r>
        <w:rPr>
          <w:rFonts w:hint="default" w:ascii="Times New Roman" w:hAnsi="Times New Roman" w:cs="Times New Roman" w:eastAsiaTheme="majorEastAsia"/>
          <w:bCs w:val="0"/>
          <w:i w:val="0"/>
          <w:iCs w:val="0"/>
          <w:color w:val="auto"/>
          <w:szCs w:val="24"/>
        </w:rPr>
        <w:t>行政法规和部门规章</w:t>
      </w:r>
      <w:r>
        <w:rPr>
          <w:i w:val="0"/>
          <w:iCs w:val="0"/>
          <w:color w:val="auto"/>
        </w:rPr>
        <w:tab/>
      </w:r>
      <w:r>
        <w:rPr>
          <w:i w:val="0"/>
          <w:iCs w:val="0"/>
          <w:color w:val="auto"/>
        </w:rPr>
        <w:fldChar w:fldCharType="begin"/>
      </w:r>
      <w:r>
        <w:rPr>
          <w:i w:val="0"/>
          <w:iCs w:val="0"/>
          <w:color w:val="auto"/>
        </w:rPr>
        <w:instrText xml:space="preserve"> PAGEREF _Toc3364 \h </w:instrText>
      </w:r>
      <w:r>
        <w:rPr>
          <w:i w:val="0"/>
          <w:iCs w:val="0"/>
          <w:color w:val="auto"/>
        </w:rPr>
        <w:fldChar w:fldCharType="separate"/>
      </w:r>
      <w:r>
        <w:rPr>
          <w:i w:val="0"/>
          <w:iCs w:val="0"/>
          <w:color w:val="auto"/>
        </w:rPr>
        <w:t>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_Toc24620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2.1.3 </w:t>
      </w:r>
      <w:r>
        <w:rPr>
          <w:rFonts w:hint="default" w:ascii="Times New Roman" w:hAnsi="Times New Roman" w:cs="Times New Roman" w:eastAsiaTheme="majorEastAsia"/>
          <w:bCs w:val="0"/>
          <w:i w:val="0"/>
          <w:iCs w:val="0"/>
          <w:color w:val="auto"/>
          <w:szCs w:val="24"/>
        </w:rPr>
        <w:t>地方政策法规</w:t>
      </w:r>
      <w:r>
        <w:rPr>
          <w:i w:val="0"/>
          <w:iCs w:val="0"/>
          <w:color w:val="auto"/>
        </w:rPr>
        <w:tab/>
      </w:r>
      <w:r>
        <w:rPr>
          <w:i w:val="0"/>
          <w:iCs w:val="0"/>
          <w:color w:val="auto"/>
        </w:rPr>
        <w:fldChar w:fldCharType="begin"/>
      </w:r>
      <w:r>
        <w:rPr>
          <w:i w:val="0"/>
          <w:iCs w:val="0"/>
          <w:color w:val="auto"/>
        </w:rPr>
        <w:instrText xml:space="preserve"> PAGEREF _Toc24620 \h </w:instrText>
      </w:r>
      <w:r>
        <w:rPr>
          <w:i w:val="0"/>
          <w:iCs w:val="0"/>
          <w:color w:val="auto"/>
        </w:rPr>
        <w:fldChar w:fldCharType="separate"/>
      </w:r>
      <w:r>
        <w:rPr>
          <w:i w:val="0"/>
          <w:iCs w:val="0"/>
          <w:color w:val="auto"/>
        </w:rPr>
        <w:t>8</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_Toc16268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2.1.4 </w:t>
      </w:r>
      <w:r>
        <w:rPr>
          <w:rFonts w:hint="default" w:ascii="Times New Roman" w:hAnsi="Times New Roman" w:cs="Times New Roman" w:eastAsiaTheme="majorEastAsia"/>
          <w:bCs w:val="0"/>
          <w:i w:val="0"/>
          <w:iCs w:val="0"/>
          <w:color w:val="auto"/>
          <w:szCs w:val="24"/>
        </w:rPr>
        <w:t>导则及技术规范</w:t>
      </w:r>
      <w:r>
        <w:rPr>
          <w:i w:val="0"/>
          <w:iCs w:val="0"/>
          <w:color w:val="auto"/>
        </w:rPr>
        <w:tab/>
      </w:r>
      <w:r>
        <w:rPr>
          <w:i w:val="0"/>
          <w:iCs w:val="0"/>
          <w:color w:val="auto"/>
        </w:rPr>
        <w:fldChar w:fldCharType="begin"/>
      </w:r>
      <w:r>
        <w:rPr>
          <w:i w:val="0"/>
          <w:iCs w:val="0"/>
          <w:color w:val="auto"/>
        </w:rPr>
        <w:instrText xml:space="preserve"> PAGEREF _Toc16268 \h </w:instrText>
      </w:r>
      <w:r>
        <w:rPr>
          <w:i w:val="0"/>
          <w:iCs w:val="0"/>
          <w:color w:val="auto"/>
        </w:rPr>
        <w:fldChar w:fldCharType="separate"/>
      </w:r>
      <w:r>
        <w:rPr>
          <w:i w:val="0"/>
          <w:iCs w:val="0"/>
          <w:color w:val="auto"/>
        </w:rPr>
        <w:t>9</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_Toc25337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2.1.5 </w:t>
      </w:r>
      <w:r>
        <w:rPr>
          <w:rFonts w:hint="default" w:ascii="Times New Roman" w:hAnsi="Times New Roman" w:cs="Times New Roman" w:eastAsiaTheme="majorEastAsia"/>
          <w:bCs w:val="0"/>
          <w:i w:val="0"/>
          <w:iCs w:val="0"/>
          <w:color w:val="auto"/>
          <w:szCs w:val="24"/>
        </w:rPr>
        <w:t>项目依据</w:t>
      </w:r>
      <w:r>
        <w:rPr>
          <w:i w:val="0"/>
          <w:iCs w:val="0"/>
          <w:color w:val="auto"/>
        </w:rPr>
        <w:tab/>
      </w:r>
      <w:r>
        <w:rPr>
          <w:i w:val="0"/>
          <w:iCs w:val="0"/>
          <w:color w:val="auto"/>
        </w:rPr>
        <w:fldChar w:fldCharType="begin"/>
      </w:r>
      <w:r>
        <w:rPr>
          <w:i w:val="0"/>
          <w:iCs w:val="0"/>
          <w:color w:val="auto"/>
        </w:rPr>
        <w:instrText xml:space="preserve"> PAGEREF _Toc25337 \h </w:instrText>
      </w:r>
      <w:r>
        <w:rPr>
          <w:i w:val="0"/>
          <w:iCs w:val="0"/>
          <w:color w:val="auto"/>
        </w:rPr>
        <w:fldChar w:fldCharType="separate"/>
      </w:r>
      <w:r>
        <w:rPr>
          <w:i w:val="0"/>
          <w:iCs w:val="0"/>
          <w:color w:val="auto"/>
        </w:rPr>
        <w:t>9</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_Toc4918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2.2 </w:t>
      </w:r>
      <w:r>
        <w:rPr>
          <w:rFonts w:ascii="Times New Roman" w:hAnsi="Times New Roman" w:cs="Times New Roman" w:eastAsiaTheme="majorEastAsia"/>
          <w:bCs/>
          <w:i w:val="0"/>
          <w:iCs w:val="0"/>
          <w:color w:val="auto"/>
          <w:kern w:val="2"/>
          <w:szCs w:val="32"/>
          <w:lang w:val="en-US" w:eastAsia="zh-CN"/>
        </w:rPr>
        <w:t>评价目的及原则</w:t>
      </w:r>
      <w:r>
        <w:rPr>
          <w:i w:val="0"/>
          <w:iCs w:val="0"/>
          <w:color w:val="auto"/>
        </w:rPr>
        <w:tab/>
      </w:r>
      <w:r>
        <w:rPr>
          <w:i w:val="0"/>
          <w:iCs w:val="0"/>
          <w:color w:val="auto"/>
        </w:rPr>
        <w:fldChar w:fldCharType="begin"/>
      </w:r>
      <w:r>
        <w:rPr>
          <w:i w:val="0"/>
          <w:iCs w:val="0"/>
          <w:color w:val="auto"/>
        </w:rPr>
        <w:instrText xml:space="preserve"> PAGEREF _Toc4918 \h </w:instrText>
      </w:r>
      <w:r>
        <w:rPr>
          <w:i w:val="0"/>
          <w:iCs w:val="0"/>
          <w:color w:val="auto"/>
        </w:rPr>
        <w:fldChar w:fldCharType="separate"/>
      </w:r>
      <w:r>
        <w:rPr>
          <w:i w:val="0"/>
          <w:iCs w:val="0"/>
          <w:color w:val="auto"/>
        </w:rPr>
        <w:t>9</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_Toc21855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2.2.1 </w:t>
      </w:r>
      <w:r>
        <w:rPr>
          <w:rFonts w:hint="default" w:ascii="Times New Roman" w:hAnsi="Times New Roman" w:cs="Times New Roman" w:eastAsiaTheme="majorEastAsia"/>
          <w:bCs w:val="0"/>
          <w:i w:val="0"/>
          <w:iCs w:val="0"/>
          <w:color w:val="auto"/>
          <w:szCs w:val="24"/>
        </w:rPr>
        <w:t>评价目的</w:t>
      </w:r>
      <w:r>
        <w:rPr>
          <w:i w:val="0"/>
          <w:iCs w:val="0"/>
          <w:color w:val="auto"/>
        </w:rPr>
        <w:tab/>
      </w:r>
      <w:r>
        <w:rPr>
          <w:i w:val="0"/>
          <w:iCs w:val="0"/>
          <w:color w:val="auto"/>
        </w:rPr>
        <w:fldChar w:fldCharType="begin"/>
      </w:r>
      <w:r>
        <w:rPr>
          <w:i w:val="0"/>
          <w:iCs w:val="0"/>
          <w:color w:val="auto"/>
        </w:rPr>
        <w:instrText xml:space="preserve"> PAGEREF _Toc21855 \h </w:instrText>
      </w:r>
      <w:r>
        <w:rPr>
          <w:i w:val="0"/>
          <w:iCs w:val="0"/>
          <w:color w:val="auto"/>
        </w:rPr>
        <w:fldChar w:fldCharType="separate"/>
      </w:r>
      <w:r>
        <w:rPr>
          <w:i w:val="0"/>
          <w:iCs w:val="0"/>
          <w:color w:val="auto"/>
        </w:rPr>
        <w:t>9</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_Toc28408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2.2.2 </w:t>
      </w:r>
      <w:r>
        <w:rPr>
          <w:rFonts w:hint="default" w:ascii="Times New Roman" w:hAnsi="Times New Roman" w:cs="Times New Roman" w:eastAsiaTheme="majorEastAsia"/>
          <w:bCs w:val="0"/>
          <w:i w:val="0"/>
          <w:iCs w:val="0"/>
          <w:color w:val="auto"/>
          <w:szCs w:val="24"/>
        </w:rPr>
        <w:t>评价原则</w:t>
      </w:r>
      <w:r>
        <w:rPr>
          <w:i w:val="0"/>
          <w:iCs w:val="0"/>
          <w:color w:val="auto"/>
        </w:rPr>
        <w:tab/>
      </w:r>
      <w:r>
        <w:rPr>
          <w:i w:val="0"/>
          <w:iCs w:val="0"/>
          <w:color w:val="auto"/>
        </w:rPr>
        <w:fldChar w:fldCharType="begin"/>
      </w:r>
      <w:r>
        <w:rPr>
          <w:i w:val="0"/>
          <w:iCs w:val="0"/>
          <w:color w:val="auto"/>
        </w:rPr>
        <w:instrText xml:space="preserve"> PAGEREF _Toc28408 \h </w:instrText>
      </w:r>
      <w:r>
        <w:rPr>
          <w:i w:val="0"/>
          <w:iCs w:val="0"/>
          <w:color w:val="auto"/>
        </w:rPr>
        <w:fldChar w:fldCharType="separate"/>
      </w:r>
      <w:r>
        <w:rPr>
          <w:i w:val="0"/>
          <w:iCs w:val="0"/>
          <w:color w:val="auto"/>
        </w:rPr>
        <w:t>10</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_Toc14302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2.3 </w:t>
      </w:r>
      <w:r>
        <w:rPr>
          <w:rFonts w:ascii="Times New Roman" w:hAnsi="Times New Roman" w:cs="Times New Roman" w:eastAsiaTheme="majorEastAsia"/>
          <w:bCs/>
          <w:i w:val="0"/>
          <w:iCs w:val="0"/>
          <w:color w:val="auto"/>
          <w:kern w:val="2"/>
          <w:szCs w:val="32"/>
          <w:lang w:val="en-US" w:eastAsia="zh-CN"/>
        </w:rPr>
        <w:t>评价因子</w:t>
      </w:r>
      <w:r>
        <w:rPr>
          <w:i w:val="0"/>
          <w:iCs w:val="0"/>
          <w:color w:val="auto"/>
        </w:rPr>
        <w:tab/>
      </w:r>
      <w:r>
        <w:rPr>
          <w:i w:val="0"/>
          <w:iCs w:val="0"/>
          <w:color w:val="auto"/>
        </w:rPr>
        <w:fldChar w:fldCharType="begin"/>
      </w:r>
      <w:r>
        <w:rPr>
          <w:i w:val="0"/>
          <w:iCs w:val="0"/>
          <w:color w:val="auto"/>
        </w:rPr>
        <w:instrText xml:space="preserve"> PAGEREF _Toc14302 \h </w:instrText>
      </w:r>
      <w:r>
        <w:rPr>
          <w:i w:val="0"/>
          <w:iCs w:val="0"/>
          <w:color w:val="auto"/>
        </w:rPr>
        <w:fldChar w:fldCharType="separate"/>
      </w:r>
      <w:r>
        <w:rPr>
          <w:i w:val="0"/>
          <w:iCs w:val="0"/>
          <w:color w:val="auto"/>
        </w:rPr>
        <w:t>10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_Toc14919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2.3.1 </w:t>
      </w:r>
      <w:r>
        <w:rPr>
          <w:rFonts w:hint="default" w:ascii="Times New Roman" w:hAnsi="Times New Roman" w:cs="Times New Roman" w:eastAsiaTheme="majorEastAsia"/>
          <w:bCs w:val="0"/>
          <w:i w:val="0"/>
          <w:iCs w:val="0"/>
          <w:color w:val="auto"/>
          <w:szCs w:val="24"/>
        </w:rPr>
        <w:t>环境影响因素分析</w:t>
      </w:r>
      <w:r>
        <w:rPr>
          <w:i w:val="0"/>
          <w:iCs w:val="0"/>
          <w:color w:val="auto"/>
        </w:rPr>
        <w:tab/>
      </w:r>
      <w:r>
        <w:rPr>
          <w:i w:val="0"/>
          <w:iCs w:val="0"/>
          <w:color w:val="auto"/>
        </w:rPr>
        <w:fldChar w:fldCharType="begin"/>
      </w:r>
      <w:r>
        <w:rPr>
          <w:i w:val="0"/>
          <w:iCs w:val="0"/>
          <w:color w:val="auto"/>
        </w:rPr>
        <w:instrText xml:space="preserve"> PAGEREF _Toc14919 \h </w:instrText>
      </w:r>
      <w:r>
        <w:rPr>
          <w:i w:val="0"/>
          <w:iCs w:val="0"/>
          <w:color w:val="auto"/>
        </w:rPr>
        <w:fldChar w:fldCharType="separate"/>
      </w:r>
      <w:r>
        <w:rPr>
          <w:i w:val="0"/>
          <w:iCs w:val="0"/>
          <w:color w:val="auto"/>
        </w:rPr>
        <w:t>10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_Toc301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2.3.2 </w:t>
      </w:r>
      <w:r>
        <w:rPr>
          <w:rFonts w:hint="default" w:ascii="Times New Roman" w:hAnsi="Times New Roman" w:cs="Times New Roman" w:eastAsiaTheme="majorEastAsia"/>
          <w:bCs w:val="0"/>
          <w:i w:val="0"/>
          <w:iCs w:val="0"/>
          <w:color w:val="auto"/>
          <w:szCs w:val="24"/>
        </w:rPr>
        <w:t>评价因子</w:t>
      </w:r>
      <w:r>
        <w:rPr>
          <w:i w:val="0"/>
          <w:iCs w:val="0"/>
          <w:color w:val="auto"/>
        </w:rPr>
        <w:tab/>
      </w:r>
      <w:r>
        <w:rPr>
          <w:i w:val="0"/>
          <w:iCs w:val="0"/>
          <w:color w:val="auto"/>
        </w:rPr>
        <w:fldChar w:fldCharType="begin"/>
      </w:r>
      <w:r>
        <w:rPr>
          <w:i w:val="0"/>
          <w:iCs w:val="0"/>
          <w:color w:val="auto"/>
        </w:rPr>
        <w:instrText xml:space="preserve"> PAGEREF _Toc301 \h </w:instrText>
      </w:r>
      <w:r>
        <w:rPr>
          <w:i w:val="0"/>
          <w:iCs w:val="0"/>
          <w:color w:val="auto"/>
        </w:rPr>
        <w:fldChar w:fldCharType="separate"/>
      </w:r>
      <w:r>
        <w:rPr>
          <w:i w:val="0"/>
          <w:iCs w:val="0"/>
          <w:color w:val="auto"/>
        </w:rPr>
        <w:t>11</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_Toc20939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2.4 </w:t>
      </w:r>
      <w:r>
        <w:rPr>
          <w:rFonts w:ascii="Times New Roman" w:hAnsi="Times New Roman" w:cs="Times New Roman" w:eastAsiaTheme="majorEastAsia"/>
          <w:bCs/>
          <w:i w:val="0"/>
          <w:iCs w:val="0"/>
          <w:color w:val="auto"/>
          <w:kern w:val="2"/>
          <w:szCs w:val="32"/>
          <w:lang w:val="en-US" w:eastAsia="zh-CN"/>
        </w:rPr>
        <w:t>评价标准</w:t>
      </w:r>
      <w:r>
        <w:rPr>
          <w:i w:val="0"/>
          <w:iCs w:val="0"/>
          <w:color w:val="auto"/>
        </w:rPr>
        <w:tab/>
      </w:r>
      <w:r>
        <w:rPr>
          <w:i w:val="0"/>
          <w:iCs w:val="0"/>
          <w:color w:val="auto"/>
        </w:rPr>
        <w:fldChar w:fldCharType="begin"/>
      </w:r>
      <w:r>
        <w:rPr>
          <w:i w:val="0"/>
          <w:iCs w:val="0"/>
          <w:color w:val="auto"/>
        </w:rPr>
        <w:instrText xml:space="preserve"> PAGEREF _Toc20939 \h </w:instrText>
      </w:r>
      <w:r>
        <w:rPr>
          <w:i w:val="0"/>
          <w:iCs w:val="0"/>
          <w:color w:val="auto"/>
        </w:rPr>
        <w:fldChar w:fldCharType="separate"/>
      </w:r>
      <w:r>
        <w:rPr>
          <w:i w:val="0"/>
          <w:iCs w:val="0"/>
          <w:color w:val="auto"/>
        </w:rPr>
        <w:t>11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2.4.1 </w:t>
      </w:r>
      <w:r>
        <w:rPr>
          <w:rFonts w:hint="default" w:ascii="Times New Roman" w:hAnsi="Times New Roman" w:cs="Times New Roman" w:eastAsiaTheme="majorEastAsia"/>
          <w:bCs w:val="0"/>
          <w:i w:val="0"/>
          <w:iCs w:val="0"/>
          <w:color w:val="auto"/>
          <w:szCs w:val="24"/>
        </w:rPr>
        <w:t>环境质量标准</w:t>
      </w:r>
      <w:r>
        <w:rPr>
          <w:i w:val="0"/>
          <w:iCs w:val="0"/>
          <w:color w:val="auto"/>
        </w:rPr>
        <w:tab/>
      </w:r>
      <w:r>
        <w:rPr>
          <w:i w:val="0"/>
          <w:iCs w:val="0"/>
          <w:color w:val="auto"/>
        </w:rPr>
        <w:fldChar w:fldCharType="begin"/>
      </w:r>
      <w:r>
        <w:rPr>
          <w:i w:val="0"/>
          <w:iCs w:val="0"/>
          <w:color w:val="auto"/>
        </w:rPr>
        <w:instrText xml:space="preserve"> PAGEREF _Toc242 \h </w:instrText>
      </w:r>
      <w:r>
        <w:rPr>
          <w:i w:val="0"/>
          <w:iCs w:val="0"/>
          <w:color w:val="auto"/>
        </w:rPr>
        <w:fldChar w:fldCharType="separate"/>
      </w:r>
      <w:r>
        <w:rPr>
          <w:i w:val="0"/>
          <w:iCs w:val="0"/>
          <w:color w:val="auto"/>
        </w:rPr>
        <w:t>11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_Toc7594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2.4.2 </w:t>
      </w:r>
      <w:r>
        <w:rPr>
          <w:rFonts w:hint="default" w:ascii="Times New Roman" w:hAnsi="Times New Roman" w:cs="Times New Roman" w:eastAsiaTheme="majorEastAsia"/>
          <w:bCs w:val="0"/>
          <w:i w:val="0"/>
          <w:iCs w:val="0"/>
          <w:color w:val="auto"/>
          <w:szCs w:val="24"/>
        </w:rPr>
        <w:t>污染物排放标准</w:t>
      </w:r>
      <w:r>
        <w:rPr>
          <w:i w:val="0"/>
          <w:iCs w:val="0"/>
          <w:color w:val="auto"/>
        </w:rPr>
        <w:tab/>
      </w:r>
      <w:r>
        <w:rPr>
          <w:i w:val="0"/>
          <w:iCs w:val="0"/>
          <w:color w:val="auto"/>
        </w:rPr>
        <w:fldChar w:fldCharType="begin"/>
      </w:r>
      <w:r>
        <w:rPr>
          <w:i w:val="0"/>
          <w:iCs w:val="0"/>
          <w:color w:val="auto"/>
        </w:rPr>
        <w:instrText xml:space="preserve"> PAGEREF _Toc7594 \h </w:instrText>
      </w:r>
      <w:r>
        <w:rPr>
          <w:i w:val="0"/>
          <w:iCs w:val="0"/>
          <w:color w:val="auto"/>
        </w:rPr>
        <w:fldChar w:fldCharType="separate"/>
      </w:r>
      <w:r>
        <w:rPr>
          <w:i w:val="0"/>
          <w:iCs w:val="0"/>
          <w:color w:val="auto"/>
        </w:rPr>
        <w:t>13</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_Toc24944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2.5 </w:t>
      </w:r>
      <w:r>
        <w:rPr>
          <w:rFonts w:ascii="Times New Roman" w:hAnsi="Times New Roman" w:cs="Times New Roman" w:eastAsiaTheme="majorEastAsia"/>
          <w:bCs/>
          <w:i w:val="0"/>
          <w:iCs w:val="0"/>
          <w:color w:val="auto"/>
          <w:kern w:val="2"/>
          <w:szCs w:val="32"/>
          <w:lang w:val="en-US" w:eastAsia="zh-CN"/>
        </w:rPr>
        <w:t>评价等级划分</w:t>
      </w:r>
      <w:r>
        <w:rPr>
          <w:i w:val="0"/>
          <w:iCs w:val="0"/>
          <w:color w:val="auto"/>
        </w:rPr>
        <w:tab/>
      </w:r>
      <w:r>
        <w:rPr>
          <w:i w:val="0"/>
          <w:iCs w:val="0"/>
          <w:color w:val="auto"/>
        </w:rPr>
        <w:fldChar w:fldCharType="begin"/>
      </w:r>
      <w:r>
        <w:rPr>
          <w:i w:val="0"/>
          <w:iCs w:val="0"/>
          <w:color w:val="auto"/>
        </w:rPr>
        <w:instrText xml:space="preserve"> PAGEREF _Toc24944 \h </w:instrText>
      </w:r>
      <w:r>
        <w:rPr>
          <w:i w:val="0"/>
          <w:iCs w:val="0"/>
          <w:color w:val="auto"/>
        </w:rPr>
        <w:fldChar w:fldCharType="separate"/>
      </w:r>
      <w:r>
        <w:rPr>
          <w:i w:val="0"/>
          <w:iCs w:val="0"/>
          <w:color w:val="auto"/>
        </w:rPr>
        <w:t>14</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_Toc16131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2.5.1 </w:t>
      </w:r>
      <w:r>
        <w:rPr>
          <w:rFonts w:hint="default" w:ascii="Times New Roman" w:hAnsi="Times New Roman" w:cs="Times New Roman" w:eastAsiaTheme="majorEastAsia"/>
          <w:bCs w:val="0"/>
          <w:i w:val="0"/>
          <w:iCs w:val="0"/>
          <w:color w:val="auto"/>
          <w:szCs w:val="24"/>
        </w:rPr>
        <w:t>大气环境评价等级</w:t>
      </w:r>
      <w:r>
        <w:rPr>
          <w:i w:val="0"/>
          <w:iCs w:val="0"/>
          <w:color w:val="auto"/>
        </w:rPr>
        <w:tab/>
      </w:r>
      <w:r>
        <w:rPr>
          <w:i w:val="0"/>
          <w:iCs w:val="0"/>
          <w:color w:val="auto"/>
        </w:rPr>
        <w:fldChar w:fldCharType="begin"/>
      </w:r>
      <w:r>
        <w:rPr>
          <w:i w:val="0"/>
          <w:iCs w:val="0"/>
          <w:color w:val="auto"/>
        </w:rPr>
        <w:instrText xml:space="preserve"> PAGEREF _Toc16131 \h </w:instrText>
      </w:r>
      <w:r>
        <w:rPr>
          <w:i w:val="0"/>
          <w:iCs w:val="0"/>
          <w:color w:val="auto"/>
        </w:rPr>
        <w:fldChar w:fldCharType="separate"/>
      </w:r>
      <w:r>
        <w:rPr>
          <w:i w:val="0"/>
          <w:iCs w:val="0"/>
          <w:color w:val="auto"/>
        </w:rPr>
        <w:t>14</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_Toc1926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2.5.2 </w:t>
      </w:r>
      <w:r>
        <w:rPr>
          <w:rFonts w:hint="default" w:ascii="Times New Roman" w:hAnsi="Times New Roman" w:cs="Times New Roman" w:eastAsiaTheme="majorEastAsia"/>
          <w:bCs w:val="0"/>
          <w:i w:val="0"/>
          <w:iCs w:val="0"/>
          <w:color w:val="auto"/>
          <w:szCs w:val="24"/>
        </w:rPr>
        <w:t>地表水环境评价等级</w:t>
      </w:r>
      <w:r>
        <w:rPr>
          <w:i w:val="0"/>
          <w:iCs w:val="0"/>
          <w:color w:val="auto"/>
        </w:rPr>
        <w:tab/>
      </w:r>
      <w:r>
        <w:rPr>
          <w:i w:val="0"/>
          <w:iCs w:val="0"/>
          <w:color w:val="auto"/>
        </w:rPr>
        <w:fldChar w:fldCharType="begin"/>
      </w:r>
      <w:r>
        <w:rPr>
          <w:i w:val="0"/>
          <w:iCs w:val="0"/>
          <w:color w:val="auto"/>
        </w:rPr>
        <w:instrText xml:space="preserve"> PAGEREF _Toc1926 \h </w:instrText>
      </w:r>
      <w:r>
        <w:rPr>
          <w:i w:val="0"/>
          <w:iCs w:val="0"/>
          <w:color w:val="auto"/>
        </w:rPr>
        <w:fldChar w:fldCharType="separate"/>
      </w:r>
      <w:r>
        <w:rPr>
          <w:i w:val="0"/>
          <w:iCs w:val="0"/>
          <w:color w:val="auto"/>
        </w:rPr>
        <w:t>16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_Toc13943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2.5.3 </w:t>
      </w:r>
      <w:r>
        <w:rPr>
          <w:rFonts w:hint="default" w:ascii="Times New Roman" w:hAnsi="Times New Roman" w:cs="Times New Roman" w:eastAsiaTheme="majorEastAsia"/>
          <w:bCs w:val="0"/>
          <w:i w:val="0"/>
          <w:iCs w:val="0"/>
          <w:color w:val="auto"/>
          <w:szCs w:val="24"/>
        </w:rPr>
        <w:t>地下水环境评价等级</w:t>
      </w:r>
      <w:r>
        <w:rPr>
          <w:i w:val="0"/>
          <w:iCs w:val="0"/>
          <w:color w:val="auto"/>
        </w:rPr>
        <w:tab/>
      </w:r>
      <w:r>
        <w:rPr>
          <w:i w:val="0"/>
          <w:iCs w:val="0"/>
          <w:color w:val="auto"/>
        </w:rPr>
        <w:fldChar w:fldCharType="begin"/>
      </w:r>
      <w:r>
        <w:rPr>
          <w:i w:val="0"/>
          <w:iCs w:val="0"/>
          <w:color w:val="auto"/>
        </w:rPr>
        <w:instrText xml:space="preserve"> PAGEREF _Toc13943 \h </w:instrText>
      </w:r>
      <w:r>
        <w:rPr>
          <w:i w:val="0"/>
          <w:iCs w:val="0"/>
          <w:color w:val="auto"/>
        </w:rPr>
        <w:fldChar w:fldCharType="separate"/>
      </w:r>
      <w:r>
        <w:rPr>
          <w:i w:val="0"/>
          <w:iCs w:val="0"/>
          <w:color w:val="auto"/>
        </w:rPr>
        <w:t>17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_Toc19370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2.5.4 </w:t>
      </w:r>
      <w:r>
        <w:rPr>
          <w:rFonts w:hint="default" w:ascii="Times New Roman" w:hAnsi="Times New Roman" w:cs="Times New Roman" w:eastAsiaTheme="majorEastAsia"/>
          <w:bCs w:val="0"/>
          <w:i w:val="0"/>
          <w:iCs w:val="0"/>
          <w:color w:val="auto"/>
          <w:szCs w:val="24"/>
        </w:rPr>
        <w:t>声环境评价等级</w:t>
      </w:r>
      <w:r>
        <w:rPr>
          <w:i w:val="0"/>
          <w:iCs w:val="0"/>
          <w:color w:val="auto"/>
        </w:rPr>
        <w:tab/>
      </w:r>
      <w:r>
        <w:rPr>
          <w:i w:val="0"/>
          <w:iCs w:val="0"/>
          <w:color w:val="auto"/>
        </w:rPr>
        <w:fldChar w:fldCharType="begin"/>
      </w:r>
      <w:r>
        <w:rPr>
          <w:i w:val="0"/>
          <w:iCs w:val="0"/>
          <w:color w:val="auto"/>
        </w:rPr>
        <w:instrText xml:space="preserve"> PAGEREF _Toc19370 \h </w:instrText>
      </w:r>
      <w:r>
        <w:rPr>
          <w:i w:val="0"/>
          <w:iCs w:val="0"/>
          <w:color w:val="auto"/>
        </w:rPr>
        <w:fldChar w:fldCharType="separate"/>
      </w:r>
      <w:r>
        <w:rPr>
          <w:i w:val="0"/>
          <w:iCs w:val="0"/>
          <w:color w:val="auto"/>
        </w:rPr>
        <w:t>17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_Toc13227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2.5.5 </w:t>
      </w:r>
      <w:r>
        <w:rPr>
          <w:rFonts w:hint="default" w:ascii="Times New Roman" w:hAnsi="Times New Roman" w:cs="Times New Roman" w:eastAsiaTheme="majorEastAsia"/>
          <w:bCs w:val="0"/>
          <w:i w:val="0"/>
          <w:iCs w:val="0"/>
          <w:color w:val="auto"/>
          <w:szCs w:val="24"/>
        </w:rPr>
        <w:t>生态环境评价等级</w:t>
      </w:r>
      <w:r>
        <w:rPr>
          <w:i w:val="0"/>
          <w:iCs w:val="0"/>
          <w:color w:val="auto"/>
        </w:rPr>
        <w:tab/>
      </w:r>
      <w:r>
        <w:rPr>
          <w:i w:val="0"/>
          <w:iCs w:val="0"/>
          <w:color w:val="auto"/>
        </w:rPr>
        <w:fldChar w:fldCharType="begin"/>
      </w:r>
      <w:r>
        <w:rPr>
          <w:i w:val="0"/>
          <w:iCs w:val="0"/>
          <w:color w:val="auto"/>
        </w:rPr>
        <w:instrText xml:space="preserve"> PAGEREF _Toc13227 \h </w:instrText>
      </w:r>
      <w:r>
        <w:rPr>
          <w:i w:val="0"/>
          <w:iCs w:val="0"/>
          <w:color w:val="auto"/>
        </w:rPr>
        <w:fldChar w:fldCharType="separate"/>
      </w:r>
      <w:r>
        <w:rPr>
          <w:i w:val="0"/>
          <w:iCs w:val="0"/>
          <w:color w:val="auto"/>
        </w:rPr>
        <w:t>18</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_Toc7117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2.5.6 </w:t>
      </w:r>
      <w:r>
        <w:rPr>
          <w:rFonts w:hint="default" w:ascii="Times New Roman" w:hAnsi="Times New Roman" w:cs="Times New Roman" w:eastAsiaTheme="majorEastAsia"/>
          <w:bCs w:val="0"/>
          <w:i w:val="0"/>
          <w:iCs w:val="0"/>
          <w:color w:val="auto"/>
          <w:szCs w:val="24"/>
        </w:rPr>
        <w:t>土壤评价等级</w:t>
      </w:r>
      <w:r>
        <w:rPr>
          <w:i w:val="0"/>
          <w:iCs w:val="0"/>
          <w:color w:val="auto"/>
        </w:rPr>
        <w:tab/>
      </w:r>
      <w:r>
        <w:rPr>
          <w:i w:val="0"/>
          <w:iCs w:val="0"/>
          <w:color w:val="auto"/>
        </w:rPr>
        <w:fldChar w:fldCharType="begin"/>
      </w:r>
      <w:r>
        <w:rPr>
          <w:i w:val="0"/>
          <w:iCs w:val="0"/>
          <w:color w:val="auto"/>
        </w:rPr>
        <w:instrText xml:space="preserve"> PAGEREF _Toc7117 \h </w:instrText>
      </w:r>
      <w:r>
        <w:rPr>
          <w:i w:val="0"/>
          <w:iCs w:val="0"/>
          <w:color w:val="auto"/>
        </w:rPr>
        <w:fldChar w:fldCharType="separate"/>
      </w:r>
      <w:r>
        <w:rPr>
          <w:i w:val="0"/>
          <w:iCs w:val="0"/>
          <w:color w:val="auto"/>
        </w:rPr>
        <w:t>18</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_Toc32294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2.5.7 </w:t>
      </w:r>
      <w:r>
        <w:rPr>
          <w:rFonts w:hint="default" w:ascii="Times New Roman" w:hAnsi="Times New Roman" w:cs="Times New Roman" w:eastAsiaTheme="majorEastAsia"/>
          <w:bCs w:val="0"/>
          <w:i w:val="0"/>
          <w:iCs w:val="0"/>
          <w:color w:val="auto"/>
          <w:szCs w:val="24"/>
        </w:rPr>
        <w:t>环境风险评价等级</w:t>
      </w:r>
      <w:r>
        <w:rPr>
          <w:i w:val="0"/>
          <w:iCs w:val="0"/>
          <w:color w:val="auto"/>
        </w:rPr>
        <w:tab/>
      </w:r>
      <w:r>
        <w:rPr>
          <w:i w:val="0"/>
          <w:iCs w:val="0"/>
          <w:color w:val="auto"/>
        </w:rPr>
        <w:fldChar w:fldCharType="begin"/>
      </w:r>
      <w:r>
        <w:rPr>
          <w:i w:val="0"/>
          <w:iCs w:val="0"/>
          <w:color w:val="auto"/>
        </w:rPr>
        <w:instrText xml:space="preserve"> PAGEREF _Toc32294 \h </w:instrText>
      </w:r>
      <w:r>
        <w:rPr>
          <w:i w:val="0"/>
          <w:iCs w:val="0"/>
          <w:color w:val="auto"/>
        </w:rPr>
        <w:fldChar w:fldCharType="separate"/>
      </w:r>
      <w:r>
        <w:rPr>
          <w:i w:val="0"/>
          <w:iCs w:val="0"/>
          <w:color w:val="auto"/>
        </w:rPr>
        <w:t>19</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_Toc21833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2.6 </w:t>
      </w:r>
      <w:r>
        <w:rPr>
          <w:rFonts w:ascii="Times New Roman" w:hAnsi="Times New Roman" w:cs="Times New Roman" w:eastAsiaTheme="majorEastAsia"/>
          <w:bCs/>
          <w:i w:val="0"/>
          <w:iCs w:val="0"/>
          <w:color w:val="auto"/>
          <w:kern w:val="2"/>
          <w:szCs w:val="32"/>
          <w:lang w:val="en-US" w:eastAsia="zh-CN"/>
        </w:rPr>
        <w:t>产业政策、规划的符合性</w:t>
      </w:r>
      <w:r>
        <w:rPr>
          <w:i w:val="0"/>
          <w:iCs w:val="0"/>
          <w:color w:val="auto"/>
        </w:rPr>
        <w:tab/>
      </w:r>
      <w:r>
        <w:rPr>
          <w:i w:val="0"/>
          <w:iCs w:val="0"/>
          <w:color w:val="auto"/>
        </w:rPr>
        <w:fldChar w:fldCharType="begin"/>
      </w:r>
      <w:r>
        <w:rPr>
          <w:i w:val="0"/>
          <w:iCs w:val="0"/>
          <w:color w:val="auto"/>
        </w:rPr>
        <w:instrText xml:space="preserve"> PAGEREF _Toc21833 \h </w:instrText>
      </w:r>
      <w:r>
        <w:rPr>
          <w:i w:val="0"/>
          <w:iCs w:val="0"/>
          <w:color w:val="auto"/>
        </w:rPr>
        <w:fldChar w:fldCharType="separate"/>
      </w:r>
      <w:r>
        <w:rPr>
          <w:i w:val="0"/>
          <w:iCs w:val="0"/>
          <w:color w:val="auto"/>
        </w:rPr>
        <w:t>19</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_Toc10761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2.6.1 </w:t>
      </w:r>
      <w:r>
        <w:rPr>
          <w:rFonts w:hint="default" w:ascii="Times New Roman" w:hAnsi="Times New Roman" w:cs="Times New Roman" w:eastAsiaTheme="majorEastAsia"/>
          <w:bCs w:val="0"/>
          <w:i w:val="0"/>
          <w:iCs w:val="0"/>
          <w:color w:val="auto"/>
          <w:szCs w:val="24"/>
        </w:rPr>
        <w:t>建设项目与产业政策的符合性</w:t>
      </w:r>
      <w:r>
        <w:rPr>
          <w:i w:val="0"/>
          <w:iCs w:val="0"/>
          <w:color w:val="auto"/>
        </w:rPr>
        <w:tab/>
      </w:r>
      <w:r>
        <w:rPr>
          <w:i w:val="0"/>
          <w:iCs w:val="0"/>
          <w:color w:val="auto"/>
        </w:rPr>
        <w:fldChar w:fldCharType="begin"/>
      </w:r>
      <w:r>
        <w:rPr>
          <w:i w:val="0"/>
          <w:iCs w:val="0"/>
          <w:color w:val="auto"/>
        </w:rPr>
        <w:instrText xml:space="preserve"> PAGEREF _Toc10761 \h </w:instrText>
      </w:r>
      <w:r>
        <w:rPr>
          <w:i w:val="0"/>
          <w:iCs w:val="0"/>
          <w:color w:val="auto"/>
        </w:rPr>
        <w:fldChar w:fldCharType="separate"/>
      </w:r>
      <w:r>
        <w:rPr>
          <w:i w:val="0"/>
          <w:iCs w:val="0"/>
          <w:color w:val="auto"/>
        </w:rPr>
        <w:t>19</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_Toc24386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2.6.2 </w:t>
      </w:r>
      <w:r>
        <w:rPr>
          <w:rFonts w:hint="default" w:ascii="Times New Roman" w:hAnsi="Times New Roman" w:cs="Times New Roman" w:eastAsiaTheme="majorEastAsia"/>
          <w:bCs w:val="0"/>
          <w:i w:val="0"/>
          <w:iCs w:val="0"/>
          <w:color w:val="auto"/>
          <w:szCs w:val="24"/>
        </w:rPr>
        <w:t>项目选址与相关规划、规范的符合性</w:t>
      </w:r>
      <w:r>
        <w:rPr>
          <w:i w:val="0"/>
          <w:iCs w:val="0"/>
          <w:color w:val="auto"/>
        </w:rPr>
        <w:tab/>
      </w:r>
      <w:r>
        <w:rPr>
          <w:i w:val="0"/>
          <w:iCs w:val="0"/>
          <w:color w:val="auto"/>
        </w:rPr>
        <w:fldChar w:fldCharType="begin"/>
      </w:r>
      <w:r>
        <w:rPr>
          <w:i w:val="0"/>
          <w:iCs w:val="0"/>
          <w:color w:val="auto"/>
        </w:rPr>
        <w:instrText xml:space="preserve"> PAGEREF _Toc24386 \h </w:instrText>
      </w:r>
      <w:r>
        <w:rPr>
          <w:i w:val="0"/>
          <w:iCs w:val="0"/>
          <w:color w:val="auto"/>
        </w:rPr>
        <w:fldChar w:fldCharType="separate"/>
      </w:r>
      <w:r>
        <w:rPr>
          <w:i w:val="0"/>
          <w:iCs w:val="0"/>
          <w:color w:val="auto"/>
        </w:rPr>
        <w:t>20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_Toc8029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2.6.3 </w:t>
      </w:r>
      <w:r>
        <w:rPr>
          <w:rFonts w:hint="default" w:ascii="Times New Roman" w:hAnsi="Times New Roman" w:cs="Times New Roman" w:eastAsiaTheme="majorEastAsia"/>
          <w:bCs w:val="0"/>
          <w:i w:val="0"/>
          <w:iCs w:val="0"/>
          <w:color w:val="auto"/>
          <w:szCs w:val="24"/>
        </w:rPr>
        <w:t>选址合理性分析</w:t>
      </w:r>
      <w:r>
        <w:rPr>
          <w:i w:val="0"/>
          <w:iCs w:val="0"/>
          <w:color w:val="auto"/>
        </w:rPr>
        <w:tab/>
      </w:r>
      <w:r>
        <w:rPr>
          <w:i w:val="0"/>
          <w:iCs w:val="0"/>
          <w:color w:val="auto"/>
        </w:rPr>
        <w:fldChar w:fldCharType="begin"/>
      </w:r>
      <w:r>
        <w:rPr>
          <w:i w:val="0"/>
          <w:iCs w:val="0"/>
          <w:color w:val="auto"/>
        </w:rPr>
        <w:instrText xml:space="preserve"> PAGEREF _Toc8029 \h </w:instrText>
      </w:r>
      <w:r>
        <w:rPr>
          <w:i w:val="0"/>
          <w:iCs w:val="0"/>
          <w:color w:val="auto"/>
        </w:rPr>
        <w:fldChar w:fldCharType="separate"/>
      </w:r>
      <w:r>
        <w:rPr>
          <w:i w:val="0"/>
          <w:iCs w:val="0"/>
          <w:color w:val="auto"/>
        </w:rPr>
        <w:t>35</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_Toc4393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2.7 </w:t>
      </w:r>
      <w:r>
        <w:rPr>
          <w:rFonts w:ascii="Times New Roman" w:hAnsi="Times New Roman" w:cs="Times New Roman" w:eastAsiaTheme="majorEastAsia"/>
          <w:bCs/>
          <w:i w:val="0"/>
          <w:iCs w:val="0"/>
          <w:color w:val="auto"/>
          <w:kern w:val="2"/>
          <w:szCs w:val="32"/>
          <w:lang w:val="en-US" w:eastAsia="zh-CN"/>
        </w:rPr>
        <w:t>评价范围、主要保护目标及污染控制目标</w:t>
      </w:r>
      <w:r>
        <w:rPr>
          <w:i w:val="0"/>
          <w:iCs w:val="0"/>
          <w:color w:val="auto"/>
        </w:rPr>
        <w:tab/>
      </w:r>
      <w:r>
        <w:rPr>
          <w:i w:val="0"/>
          <w:iCs w:val="0"/>
          <w:color w:val="auto"/>
        </w:rPr>
        <w:fldChar w:fldCharType="begin"/>
      </w:r>
      <w:r>
        <w:rPr>
          <w:i w:val="0"/>
          <w:iCs w:val="0"/>
          <w:color w:val="auto"/>
        </w:rPr>
        <w:instrText xml:space="preserve"> PAGEREF _Toc4393 \h </w:instrText>
      </w:r>
      <w:r>
        <w:rPr>
          <w:i w:val="0"/>
          <w:iCs w:val="0"/>
          <w:color w:val="auto"/>
        </w:rPr>
        <w:fldChar w:fldCharType="separate"/>
      </w:r>
      <w:r>
        <w:rPr>
          <w:i w:val="0"/>
          <w:iCs w:val="0"/>
          <w:color w:val="auto"/>
        </w:rPr>
        <w:t>37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_Toc28952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2.7.1 </w:t>
      </w:r>
      <w:r>
        <w:rPr>
          <w:rFonts w:hint="default" w:ascii="Times New Roman" w:hAnsi="Times New Roman" w:cs="Times New Roman" w:eastAsiaTheme="majorEastAsia"/>
          <w:bCs w:val="0"/>
          <w:i w:val="0"/>
          <w:iCs w:val="0"/>
          <w:color w:val="auto"/>
          <w:szCs w:val="24"/>
        </w:rPr>
        <w:t>评价范围</w:t>
      </w:r>
      <w:r>
        <w:rPr>
          <w:i w:val="0"/>
          <w:iCs w:val="0"/>
          <w:color w:val="auto"/>
        </w:rPr>
        <w:tab/>
      </w:r>
      <w:r>
        <w:rPr>
          <w:i w:val="0"/>
          <w:iCs w:val="0"/>
          <w:color w:val="auto"/>
        </w:rPr>
        <w:fldChar w:fldCharType="begin"/>
      </w:r>
      <w:r>
        <w:rPr>
          <w:i w:val="0"/>
          <w:iCs w:val="0"/>
          <w:color w:val="auto"/>
        </w:rPr>
        <w:instrText xml:space="preserve"> PAGEREF _Toc28952 \h </w:instrText>
      </w:r>
      <w:r>
        <w:rPr>
          <w:i w:val="0"/>
          <w:iCs w:val="0"/>
          <w:color w:val="auto"/>
        </w:rPr>
        <w:fldChar w:fldCharType="separate"/>
      </w:r>
      <w:r>
        <w:rPr>
          <w:i w:val="0"/>
          <w:iCs w:val="0"/>
          <w:color w:val="auto"/>
        </w:rPr>
        <w:t>37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_Toc3652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2.7.2 </w:t>
      </w:r>
      <w:r>
        <w:rPr>
          <w:rFonts w:hint="default" w:ascii="Times New Roman" w:hAnsi="Times New Roman" w:cs="Times New Roman" w:eastAsiaTheme="majorEastAsia"/>
          <w:bCs w:val="0"/>
          <w:i w:val="0"/>
          <w:iCs w:val="0"/>
          <w:color w:val="auto"/>
          <w:szCs w:val="24"/>
        </w:rPr>
        <w:t>主要保护目标</w:t>
      </w:r>
      <w:r>
        <w:rPr>
          <w:i w:val="0"/>
          <w:iCs w:val="0"/>
          <w:color w:val="auto"/>
        </w:rPr>
        <w:tab/>
      </w:r>
      <w:r>
        <w:rPr>
          <w:i w:val="0"/>
          <w:iCs w:val="0"/>
          <w:color w:val="auto"/>
        </w:rPr>
        <w:fldChar w:fldCharType="begin"/>
      </w:r>
      <w:r>
        <w:rPr>
          <w:i w:val="0"/>
          <w:iCs w:val="0"/>
          <w:color w:val="auto"/>
        </w:rPr>
        <w:instrText xml:space="preserve"> PAGEREF _Toc3652 \h </w:instrText>
      </w:r>
      <w:r>
        <w:rPr>
          <w:i w:val="0"/>
          <w:iCs w:val="0"/>
          <w:color w:val="auto"/>
        </w:rPr>
        <w:fldChar w:fldCharType="separate"/>
      </w:r>
      <w:r>
        <w:rPr>
          <w:i w:val="0"/>
          <w:iCs w:val="0"/>
          <w:color w:val="auto"/>
        </w:rPr>
        <w:t>38</w:t>
      </w:r>
      <w:r>
        <w:rPr>
          <w:i w:val="0"/>
          <w:iCs w:val="0"/>
          <w:color w:val="auto"/>
        </w:rPr>
        <w:fldChar w:fldCharType="end"/>
      </w:r>
      <w:r>
        <w:rPr>
          <w:rFonts w:eastAsiaTheme="minorEastAsia"/>
          <w:bCs/>
          <w:i w:val="0"/>
          <w:iCs w:val="0"/>
          <w:color w:val="auto"/>
          <w:szCs w:val="32"/>
        </w:rPr>
        <w:fldChar w:fldCharType="end"/>
      </w:r>
    </w:p>
    <w:p>
      <w:pPr>
        <w:pStyle w:val="60"/>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_Toc18011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3. 建设项目工程分析</w:t>
      </w:r>
      <w:r>
        <w:rPr>
          <w:i w:val="0"/>
          <w:iCs w:val="0"/>
          <w:color w:val="auto"/>
        </w:rPr>
        <w:tab/>
      </w:r>
      <w:r>
        <w:rPr>
          <w:i w:val="0"/>
          <w:iCs w:val="0"/>
          <w:color w:val="auto"/>
        </w:rPr>
        <w:fldChar w:fldCharType="begin"/>
      </w:r>
      <w:r>
        <w:rPr>
          <w:i w:val="0"/>
          <w:iCs w:val="0"/>
          <w:color w:val="auto"/>
        </w:rPr>
        <w:instrText xml:space="preserve"> PAGEREF _Toc18011 \h </w:instrText>
      </w:r>
      <w:r>
        <w:rPr>
          <w:i w:val="0"/>
          <w:iCs w:val="0"/>
          <w:color w:val="auto"/>
        </w:rPr>
        <w:fldChar w:fldCharType="separate"/>
      </w:r>
      <w:r>
        <w:rPr>
          <w:i w:val="0"/>
          <w:iCs w:val="0"/>
          <w:color w:val="auto"/>
        </w:rPr>
        <w:t>40</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_Toc6201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3.1 </w:t>
      </w:r>
      <w:r>
        <w:rPr>
          <w:rFonts w:ascii="Times New Roman" w:hAnsi="Times New Roman" w:cs="Times New Roman" w:eastAsiaTheme="majorEastAsia"/>
          <w:bCs/>
          <w:i w:val="0"/>
          <w:iCs w:val="0"/>
          <w:color w:val="auto"/>
          <w:kern w:val="2"/>
          <w:szCs w:val="32"/>
          <w:lang w:val="en-US" w:eastAsia="zh-CN"/>
        </w:rPr>
        <w:t>建设项目概况</w:t>
      </w:r>
      <w:r>
        <w:rPr>
          <w:i w:val="0"/>
          <w:iCs w:val="0"/>
          <w:color w:val="auto"/>
        </w:rPr>
        <w:tab/>
      </w:r>
      <w:r>
        <w:rPr>
          <w:i w:val="0"/>
          <w:iCs w:val="0"/>
          <w:color w:val="auto"/>
        </w:rPr>
        <w:fldChar w:fldCharType="begin"/>
      </w:r>
      <w:r>
        <w:rPr>
          <w:i w:val="0"/>
          <w:iCs w:val="0"/>
          <w:color w:val="auto"/>
        </w:rPr>
        <w:instrText xml:space="preserve"> PAGEREF _Toc6201 \h </w:instrText>
      </w:r>
      <w:r>
        <w:rPr>
          <w:i w:val="0"/>
          <w:iCs w:val="0"/>
          <w:color w:val="auto"/>
        </w:rPr>
        <w:fldChar w:fldCharType="separate"/>
      </w:r>
      <w:r>
        <w:rPr>
          <w:i w:val="0"/>
          <w:iCs w:val="0"/>
          <w:color w:val="auto"/>
        </w:rPr>
        <w:t>40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_Toc3331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3.1.1 </w:t>
      </w:r>
      <w:r>
        <w:rPr>
          <w:rFonts w:hint="default" w:ascii="Times New Roman" w:hAnsi="Times New Roman" w:cs="Times New Roman" w:eastAsiaTheme="majorEastAsia"/>
          <w:bCs w:val="0"/>
          <w:i w:val="0"/>
          <w:iCs w:val="0"/>
          <w:color w:val="auto"/>
          <w:szCs w:val="24"/>
        </w:rPr>
        <w:t>项目名称、地点、性质</w:t>
      </w:r>
      <w:r>
        <w:rPr>
          <w:i w:val="0"/>
          <w:iCs w:val="0"/>
          <w:color w:val="auto"/>
        </w:rPr>
        <w:tab/>
      </w:r>
      <w:r>
        <w:rPr>
          <w:i w:val="0"/>
          <w:iCs w:val="0"/>
          <w:color w:val="auto"/>
        </w:rPr>
        <w:fldChar w:fldCharType="begin"/>
      </w:r>
      <w:r>
        <w:rPr>
          <w:i w:val="0"/>
          <w:iCs w:val="0"/>
          <w:color w:val="auto"/>
        </w:rPr>
        <w:instrText xml:space="preserve"> PAGEREF _Toc3331 \h </w:instrText>
      </w:r>
      <w:r>
        <w:rPr>
          <w:i w:val="0"/>
          <w:iCs w:val="0"/>
          <w:color w:val="auto"/>
        </w:rPr>
        <w:fldChar w:fldCharType="separate"/>
      </w:r>
      <w:r>
        <w:rPr>
          <w:i w:val="0"/>
          <w:iCs w:val="0"/>
          <w:color w:val="auto"/>
        </w:rPr>
        <w:t>40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_Toc30630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3.1.2 </w:t>
      </w:r>
      <w:r>
        <w:rPr>
          <w:rFonts w:hint="default" w:ascii="Times New Roman" w:hAnsi="Times New Roman" w:cs="Times New Roman" w:eastAsiaTheme="majorEastAsia"/>
          <w:bCs w:val="0"/>
          <w:i w:val="0"/>
          <w:iCs w:val="0"/>
          <w:color w:val="auto"/>
          <w:szCs w:val="24"/>
        </w:rPr>
        <w:t>建设规模</w:t>
      </w:r>
      <w:r>
        <w:rPr>
          <w:i w:val="0"/>
          <w:iCs w:val="0"/>
          <w:color w:val="auto"/>
        </w:rPr>
        <w:tab/>
      </w:r>
      <w:r>
        <w:rPr>
          <w:i w:val="0"/>
          <w:iCs w:val="0"/>
          <w:color w:val="auto"/>
        </w:rPr>
        <w:fldChar w:fldCharType="begin"/>
      </w:r>
      <w:r>
        <w:rPr>
          <w:i w:val="0"/>
          <w:iCs w:val="0"/>
          <w:color w:val="auto"/>
        </w:rPr>
        <w:instrText xml:space="preserve"> PAGEREF _Toc30630 \h </w:instrText>
      </w:r>
      <w:r>
        <w:rPr>
          <w:i w:val="0"/>
          <w:iCs w:val="0"/>
          <w:color w:val="auto"/>
        </w:rPr>
        <w:fldChar w:fldCharType="separate"/>
      </w:r>
      <w:r>
        <w:rPr>
          <w:i w:val="0"/>
          <w:iCs w:val="0"/>
          <w:color w:val="auto"/>
        </w:rPr>
        <w:t>40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_Toc1061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3.1.3 </w:t>
      </w:r>
      <w:r>
        <w:rPr>
          <w:rFonts w:hint="default" w:ascii="Times New Roman" w:hAnsi="Times New Roman" w:cs="Times New Roman" w:eastAsiaTheme="majorEastAsia"/>
          <w:bCs w:val="0"/>
          <w:i w:val="0"/>
          <w:iCs w:val="0"/>
          <w:color w:val="auto"/>
          <w:szCs w:val="24"/>
        </w:rPr>
        <w:t>建设内容及项目组成</w:t>
      </w:r>
      <w:r>
        <w:rPr>
          <w:i w:val="0"/>
          <w:iCs w:val="0"/>
          <w:color w:val="auto"/>
        </w:rPr>
        <w:tab/>
      </w:r>
      <w:r>
        <w:rPr>
          <w:i w:val="0"/>
          <w:iCs w:val="0"/>
          <w:color w:val="auto"/>
        </w:rPr>
        <w:fldChar w:fldCharType="begin"/>
      </w:r>
      <w:r>
        <w:rPr>
          <w:i w:val="0"/>
          <w:iCs w:val="0"/>
          <w:color w:val="auto"/>
        </w:rPr>
        <w:instrText xml:space="preserve"> PAGEREF _Toc1061 \h </w:instrText>
      </w:r>
      <w:r>
        <w:rPr>
          <w:i w:val="0"/>
          <w:iCs w:val="0"/>
          <w:color w:val="auto"/>
        </w:rPr>
        <w:fldChar w:fldCharType="separate"/>
      </w:r>
      <w:r>
        <w:rPr>
          <w:i w:val="0"/>
          <w:iCs w:val="0"/>
          <w:color w:val="auto"/>
        </w:rPr>
        <w:t>40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_Toc17189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3.1.4 </w:t>
      </w:r>
      <w:r>
        <w:rPr>
          <w:rFonts w:hint="default" w:ascii="Times New Roman" w:hAnsi="Times New Roman" w:cs="Times New Roman" w:eastAsiaTheme="majorEastAsia"/>
          <w:bCs w:val="0"/>
          <w:i w:val="0"/>
          <w:iCs w:val="0"/>
          <w:color w:val="auto"/>
          <w:szCs w:val="24"/>
        </w:rPr>
        <w:t>工程总平面布置</w:t>
      </w:r>
      <w:r>
        <w:rPr>
          <w:i w:val="0"/>
          <w:iCs w:val="0"/>
          <w:color w:val="auto"/>
        </w:rPr>
        <w:tab/>
      </w:r>
      <w:r>
        <w:rPr>
          <w:i w:val="0"/>
          <w:iCs w:val="0"/>
          <w:color w:val="auto"/>
        </w:rPr>
        <w:fldChar w:fldCharType="begin"/>
      </w:r>
      <w:r>
        <w:rPr>
          <w:i w:val="0"/>
          <w:iCs w:val="0"/>
          <w:color w:val="auto"/>
        </w:rPr>
        <w:instrText xml:space="preserve"> PAGEREF _Toc17189 \h </w:instrText>
      </w:r>
      <w:r>
        <w:rPr>
          <w:i w:val="0"/>
          <w:iCs w:val="0"/>
          <w:color w:val="auto"/>
        </w:rPr>
        <w:fldChar w:fldCharType="separate"/>
      </w:r>
      <w:r>
        <w:rPr>
          <w:i w:val="0"/>
          <w:iCs w:val="0"/>
          <w:color w:val="auto"/>
        </w:rPr>
        <w:t>42</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_Toc15264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3.1.5 </w:t>
      </w:r>
      <w:r>
        <w:rPr>
          <w:rFonts w:hint="default" w:ascii="Times New Roman" w:hAnsi="Times New Roman" w:cs="Times New Roman" w:eastAsiaTheme="majorEastAsia"/>
          <w:bCs w:val="0"/>
          <w:i w:val="0"/>
          <w:iCs w:val="0"/>
          <w:color w:val="auto"/>
          <w:szCs w:val="24"/>
        </w:rPr>
        <w:t>项目其它情况</w:t>
      </w:r>
      <w:r>
        <w:rPr>
          <w:i w:val="0"/>
          <w:iCs w:val="0"/>
          <w:color w:val="auto"/>
        </w:rPr>
        <w:tab/>
      </w:r>
      <w:r>
        <w:rPr>
          <w:i w:val="0"/>
          <w:iCs w:val="0"/>
          <w:color w:val="auto"/>
        </w:rPr>
        <w:fldChar w:fldCharType="begin"/>
      </w:r>
      <w:r>
        <w:rPr>
          <w:i w:val="0"/>
          <w:iCs w:val="0"/>
          <w:color w:val="auto"/>
        </w:rPr>
        <w:instrText xml:space="preserve"> PAGEREF _Toc15264 \h </w:instrText>
      </w:r>
      <w:r>
        <w:rPr>
          <w:i w:val="0"/>
          <w:iCs w:val="0"/>
          <w:color w:val="auto"/>
        </w:rPr>
        <w:fldChar w:fldCharType="separate"/>
      </w:r>
      <w:r>
        <w:rPr>
          <w:i w:val="0"/>
          <w:iCs w:val="0"/>
          <w:color w:val="auto"/>
        </w:rPr>
        <w:t>43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_Toc18666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3.1.6 </w:t>
      </w:r>
      <w:r>
        <w:rPr>
          <w:rFonts w:hint="default" w:ascii="Times New Roman" w:hAnsi="Times New Roman" w:cs="Times New Roman" w:eastAsiaTheme="majorEastAsia"/>
          <w:bCs w:val="0"/>
          <w:i w:val="0"/>
          <w:iCs w:val="0"/>
          <w:color w:val="auto"/>
          <w:szCs w:val="24"/>
        </w:rPr>
        <w:t>主要生产设备</w:t>
      </w:r>
      <w:r>
        <w:rPr>
          <w:i w:val="0"/>
          <w:iCs w:val="0"/>
          <w:color w:val="auto"/>
        </w:rPr>
        <w:tab/>
      </w:r>
      <w:r>
        <w:rPr>
          <w:i w:val="0"/>
          <w:iCs w:val="0"/>
          <w:color w:val="auto"/>
        </w:rPr>
        <w:fldChar w:fldCharType="begin"/>
      </w:r>
      <w:r>
        <w:rPr>
          <w:i w:val="0"/>
          <w:iCs w:val="0"/>
          <w:color w:val="auto"/>
        </w:rPr>
        <w:instrText xml:space="preserve"> PAGEREF _Toc18666 \h </w:instrText>
      </w:r>
      <w:r>
        <w:rPr>
          <w:i w:val="0"/>
          <w:iCs w:val="0"/>
          <w:color w:val="auto"/>
        </w:rPr>
        <w:fldChar w:fldCharType="separate"/>
      </w:r>
      <w:r>
        <w:rPr>
          <w:i w:val="0"/>
          <w:iCs w:val="0"/>
          <w:color w:val="auto"/>
        </w:rPr>
        <w:t>43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_Toc14153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3.1.7 </w:t>
      </w:r>
      <w:r>
        <w:rPr>
          <w:rFonts w:hint="default" w:ascii="Times New Roman" w:hAnsi="Times New Roman" w:cs="Times New Roman" w:eastAsiaTheme="majorEastAsia"/>
          <w:bCs w:val="0"/>
          <w:i w:val="0"/>
          <w:iCs w:val="0"/>
          <w:color w:val="auto"/>
          <w:szCs w:val="24"/>
        </w:rPr>
        <w:t>暖通</w:t>
      </w:r>
      <w:r>
        <w:rPr>
          <w:i w:val="0"/>
          <w:iCs w:val="0"/>
          <w:color w:val="auto"/>
        </w:rPr>
        <w:tab/>
      </w:r>
      <w:r>
        <w:rPr>
          <w:i w:val="0"/>
          <w:iCs w:val="0"/>
          <w:color w:val="auto"/>
        </w:rPr>
        <w:fldChar w:fldCharType="begin"/>
      </w:r>
      <w:r>
        <w:rPr>
          <w:i w:val="0"/>
          <w:iCs w:val="0"/>
          <w:color w:val="auto"/>
        </w:rPr>
        <w:instrText xml:space="preserve"> PAGEREF _Toc14153 \h </w:instrText>
      </w:r>
      <w:r>
        <w:rPr>
          <w:i w:val="0"/>
          <w:iCs w:val="0"/>
          <w:color w:val="auto"/>
        </w:rPr>
        <w:fldChar w:fldCharType="separate"/>
      </w:r>
      <w:r>
        <w:rPr>
          <w:i w:val="0"/>
          <w:iCs w:val="0"/>
          <w:color w:val="auto"/>
        </w:rPr>
        <w:t>43</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_Toc31270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3.2 </w:t>
      </w:r>
      <w:r>
        <w:rPr>
          <w:rFonts w:ascii="Times New Roman" w:hAnsi="Times New Roman" w:cs="Times New Roman" w:eastAsiaTheme="majorEastAsia"/>
          <w:bCs/>
          <w:i w:val="0"/>
          <w:iCs w:val="0"/>
          <w:color w:val="auto"/>
          <w:kern w:val="2"/>
          <w:szCs w:val="32"/>
          <w:lang w:val="en-US" w:eastAsia="zh-CN"/>
        </w:rPr>
        <w:t>生产工艺</w:t>
      </w:r>
      <w:r>
        <w:rPr>
          <w:i w:val="0"/>
          <w:iCs w:val="0"/>
          <w:color w:val="auto"/>
        </w:rPr>
        <w:tab/>
      </w:r>
      <w:r>
        <w:rPr>
          <w:i w:val="0"/>
          <w:iCs w:val="0"/>
          <w:color w:val="auto"/>
        </w:rPr>
        <w:fldChar w:fldCharType="begin"/>
      </w:r>
      <w:r>
        <w:rPr>
          <w:i w:val="0"/>
          <w:iCs w:val="0"/>
          <w:color w:val="auto"/>
        </w:rPr>
        <w:instrText xml:space="preserve"> PAGEREF _Toc31270 \h </w:instrText>
      </w:r>
      <w:r>
        <w:rPr>
          <w:i w:val="0"/>
          <w:iCs w:val="0"/>
          <w:color w:val="auto"/>
        </w:rPr>
        <w:fldChar w:fldCharType="separate"/>
      </w:r>
      <w:r>
        <w:rPr>
          <w:i w:val="0"/>
          <w:iCs w:val="0"/>
          <w:color w:val="auto"/>
        </w:rPr>
        <w:t>43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_Toc21904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3.2.1 </w:t>
      </w:r>
      <w:r>
        <w:rPr>
          <w:rFonts w:hint="default" w:ascii="Times New Roman" w:hAnsi="Times New Roman" w:cs="Times New Roman" w:eastAsiaTheme="majorEastAsia"/>
          <w:bCs w:val="0"/>
          <w:i w:val="0"/>
          <w:iCs w:val="0"/>
          <w:color w:val="auto"/>
          <w:szCs w:val="24"/>
        </w:rPr>
        <w:t>施工期工艺</w:t>
      </w:r>
      <w:r>
        <w:rPr>
          <w:i w:val="0"/>
          <w:iCs w:val="0"/>
          <w:color w:val="auto"/>
        </w:rPr>
        <w:tab/>
      </w:r>
      <w:r>
        <w:rPr>
          <w:i w:val="0"/>
          <w:iCs w:val="0"/>
          <w:color w:val="auto"/>
        </w:rPr>
        <w:fldChar w:fldCharType="begin"/>
      </w:r>
      <w:r>
        <w:rPr>
          <w:i w:val="0"/>
          <w:iCs w:val="0"/>
          <w:color w:val="auto"/>
        </w:rPr>
        <w:instrText xml:space="preserve"> PAGEREF _Toc21904 \h </w:instrText>
      </w:r>
      <w:r>
        <w:rPr>
          <w:i w:val="0"/>
          <w:iCs w:val="0"/>
          <w:color w:val="auto"/>
        </w:rPr>
        <w:fldChar w:fldCharType="separate"/>
      </w:r>
      <w:r>
        <w:rPr>
          <w:i w:val="0"/>
          <w:iCs w:val="0"/>
          <w:color w:val="auto"/>
        </w:rPr>
        <w:t>43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_Toc11650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3.2.2 </w:t>
      </w:r>
      <w:r>
        <w:rPr>
          <w:rFonts w:hint="default" w:ascii="Times New Roman" w:hAnsi="Times New Roman" w:cs="Times New Roman" w:eastAsiaTheme="majorEastAsia"/>
          <w:bCs w:val="0"/>
          <w:i w:val="0"/>
          <w:iCs w:val="0"/>
          <w:color w:val="auto"/>
          <w:szCs w:val="24"/>
        </w:rPr>
        <w:t>营运期生产工艺</w:t>
      </w:r>
      <w:r>
        <w:rPr>
          <w:i w:val="0"/>
          <w:iCs w:val="0"/>
          <w:color w:val="auto"/>
        </w:rPr>
        <w:tab/>
      </w:r>
      <w:r>
        <w:rPr>
          <w:i w:val="0"/>
          <w:iCs w:val="0"/>
          <w:color w:val="auto"/>
        </w:rPr>
        <w:fldChar w:fldCharType="begin"/>
      </w:r>
      <w:r>
        <w:rPr>
          <w:i w:val="0"/>
          <w:iCs w:val="0"/>
          <w:color w:val="auto"/>
        </w:rPr>
        <w:instrText xml:space="preserve"> PAGEREF _Toc11650 \h </w:instrText>
      </w:r>
      <w:r>
        <w:rPr>
          <w:i w:val="0"/>
          <w:iCs w:val="0"/>
          <w:color w:val="auto"/>
        </w:rPr>
        <w:fldChar w:fldCharType="separate"/>
      </w:r>
      <w:r>
        <w:rPr>
          <w:i w:val="0"/>
          <w:iCs w:val="0"/>
          <w:color w:val="auto"/>
        </w:rPr>
        <w:t>44</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_Toc9354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3.3 </w:t>
      </w:r>
      <w:r>
        <w:rPr>
          <w:rFonts w:ascii="Times New Roman" w:hAnsi="Times New Roman" w:cs="Times New Roman" w:eastAsiaTheme="majorEastAsia"/>
          <w:bCs/>
          <w:i w:val="0"/>
          <w:iCs w:val="0"/>
          <w:color w:val="auto"/>
          <w:kern w:val="2"/>
          <w:szCs w:val="32"/>
          <w:lang w:val="en-US" w:eastAsia="zh-CN"/>
        </w:rPr>
        <w:t>原辅材料及能耗</w:t>
      </w:r>
      <w:r>
        <w:rPr>
          <w:i w:val="0"/>
          <w:iCs w:val="0"/>
          <w:color w:val="auto"/>
        </w:rPr>
        <w:tab/>
      </w:r>
      <w:r>
        <w:rPr>
          <w:i w:val="0"/>
          <w:iCs w:val="0"/>
          <w:color w:val="auto"/>
        </w:rPr>
        <w:fldChar w:fldCharType="begin"/>
      </w:r>
      <w:r>
        <w:rPr>
          <w:i w:val="0"/>
          <w:iCs w:val="0"/>
          <w:color w:val="auto"/>
        </w:rPr>
        <w:instrText xml:space="preserve"> PAGEREF _Toc9354 \h </w:instrText>
      </w:r>
      <w:r>
        <w:rPr>
          <w:i w:val="0"/>
          <w:iCs w:val="0"/>
          <w:color w:val="auto"/>
        </w:rPr>
        <w:fldChar w:fldCharType="separate"/>
      </w:r>
      <w:r>
        <w:rPr>
          <w:i w:val="0"/>
          <w:iCs w:val="0"/>
          <w:color w:val="auto"/>
        </w:rPr>
        <w:t>46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_Toc19079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3.3.1 </w:t>
      </w:r>
      <w:r>
        <w:rPr>
          <w:rFonts w:hint="default" w:ascii="Times New Roman" w:hAnsi="Times New Roman" w:cs="Times New Roman" w:eastAsiaTheme="majorEastAsia"/>
          <w:bCs w:val="0"/>
          <w:i w:val="0"/>
          <w:iCs w:val="0"/>
          <w:color w:val="auto"/>
          <w:szCs w:val="24"/>
        </w:rPr>
        <w:t>主要原辅材料用量及规格</w:t>
      </w:r>
      <w:r>
        <w:rPr>
          <w:i w:val="0"/>
          <w:iCs w:val="0"/>
          <w:color w:val="auto"/>
        </w:rPr>
        <w:tab/>
      </w:r>
      <w:r>
        <w:rPr>
          <w:i w:val="0"/>
          <w:iCs w:val="0"/>
          <w:color w:val="auto"/>
        </w:rPr>
        <w:fldChar w:fldCharType="begin"/>
      </w:r>
      <w:r>
        <w:rPr>
          <w:i w:val="0"/>
          <w:iCs w:val="0"/>
          <w:color w:val="auto"/>
        </w:rPr>
        <w:instrText xml:space="preserve"> PAGEREF _Toc19079 \h </w:instrText>
      </w:r>
      <w:r>
        <w:rPr>
          <w:i w:val="0"/>
          <w:iCs w:val="0"/>
          <w:color w:val="auto"/>
        </w:rPr>
        <w:fldChar w:fldCharType="separate"/>
      </w:r>
      <w:r>
        <w:rPr>
          <w:i w:val="0"/>
          <w:iCs w:val="0"/>
          <w:color w:val="auto"/>
        </w:rPr>
        <w:t>46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_Toc24642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3.3.2 </w:t>
      </w:r>
      <w:r>
        <w:rPr>
          <w:rFonts w:hint="default" w:ascii="Times New Roman" w:hAnsi="Times New Roman" w:cs="Times New Roman" w:eastAsiaTheme="majorEastAsia"/>
          <w:bCs w:val="0"/>
          <w:i w:val="0"/>
          <w:iCs w:val="0"/>
          <w:color w:val="auto"/>
          <w:szCs w:val="24"/>
        </w:rPr>
        <w:t>水平衡分析</w:t>
      </w:r>
      <w:r>
        <w:rPr>
          <w:i w:val="0"/>
          <w:iCs w:val="0"/>
          <w:color w:val="auto"/>
        </w:rPr>
        <w:tab/>
      </w:r>
      <w:r>
        <w:rPr>
          <w:i w:val="0"/>
          <w:iCs w:val="0"/>
          <w:color w:val="auto"/>
        </w:rPr>
        <w:fldChar w:fldCharType="begin"/>
      </w:r>
      <w:r>
        <w:rPr>
          <w:i w:val="0"/>
          <w:iCs w:val="0"/>
          <w:color w:val="auto"/>
        </w:rPr>
        <w:instrText xml:space="preserve"> PAGEREF _Toc24642 \h </w:instrText>
      </w:r>
      <w:r>
        <w:rPr>
          <w:i w:val="0"/>
          <w:iCs w:val="0"/>
          <w:color w:val="auto"/>
        </w:rPr>
        <w:fldChar w:fldCharType="separate"/>
      </w:r>
      <w:r>
        <w:rPr>
          <w:i w:val="0"/>
          <w:iCs w:val="0"/>
          <w:color w:val="auto"/>
        </w:rPr>
        <w:t>47</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_Toc19762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3.4 </w:t>
      </w:r>
      <w:r>
        <w:rPr>
          <w:rFonts w:ascii="Times New Roman" w:hAnsi="Times New Roman" w:cs="Times New Roman" w:eastAsiaTheme="majorEastAsia"/>
          <w:bCs/>
          <w:i w:val="0"/>
          <w:iCs w:val="0"/>
          <w:color w:val="auto"/>
          <w:kern w:val="2"/>
          <w:szCs w:val="32"/>
          <w:lang w:val="en-US" w:eastAsia="zh-CN"/>
        </w:rPr>
        <w:t>主要污染物的产生及治理</w:t>
      </w:r>
      <w:r>
        <w:rPr>
          <w:i w:val="0"/>
          <w:iCs w:val="0"/>
          <w:color w:val="auto"/>
        </w:rPr>
        <w:tab/>
      </w:r>
      <w:r>
        <w:rPr>
          <w:i w:val="0"/>
          <w:iCs w:val="0"/>
          <w:color w:val="auto"/>
        </w:rPr>
        <w:fldChar w:fldCharType="begin"/>
      </w:r>
      <w:r>
        <w:rPr>
          <w:i w:val="0"/>
          <w:iCs w:val="0"/>
          <w:color w:val="auto"/>
        </w:rPr>
        <w:instrText xml:space="preserve"> PAGEREF _Toc19762 \h </w:instrText>
      </w:r>
      <w:r>
        <w:rPr>
          <w:i w:val="0"/>
          <w:iCs w:val="0"/>
          <w:color w:val="auto"/>
        </w:rPr>
        <w:fldChar w:fldCharType="separate"/>
      </w:r>
      <w:r>
        <w:rPr>
          <w:i w:val="0"/>
          <w:iCs w:val="0"/>
          <w:color w:val="auto"/>
        </w:rPr>
        <w:t>50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_Toc27757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3.4.1 </w:t>
      </w:r>
      <w:r>
        <w:rPr>
          <w:rFonts w:hint="default" w:ascii="Times New Roman" w:hAnsi="Times New Roman" w:cs="Times New Roman" w:eastAsiaTheme="majorEastAsia"/>
          <w:bCs w:val="0"/>
          <w:i w:val="0"/>
          <w:iCs w:val="0"/>
          <w:color w:val="auto"/>
          <w:szCs w:val="24"/>
        </w:rPr>
        <w:t>施工期污染物产生及治理措施</w:t>
      </w:r>
      <w:r>
        <w:rPr>
          <w:i w:val="0"/>
          <w:iCs w:val="0"/>
          <w:color w:val="auto"/>
        </w:rPr>
        <w:tab/>
      </w:r>
      <w:r>
        <w:rPr>
          <w:i w:val="0"/>
          <w:iCs w:val="0"/>
          <w:color w:val="auto"/>
        </w:rPr>
        <w:fldChar w:fldCharType="begin"/>
      </w:r>
      <w:r>
        <w:rPr>
          <w:i w:val="0"/>
          <w:iCs w:val="0"/>
          <w:color w:val="auto"/>
        </w:rPr>
        <w:instrText xml:space="preserve"> PAGEREF _Toc27757 \h </w:instrText>
      </w:r>
      <w:r>
        <w:rPr>
          <w:i w:val="0"/>
          <w:iCs w:val="0"/>
          <w:color w:val="auto"/>
        </w:rPr>
        <w:fldChar w:fldCharType="separate"/>
      </w:r>
      <w:r>
        <w:rPr>
          <w:i w:val="0"/>
          <w:iCs w:val="0"/>
          <w:color w:val="auto"/>
        </w:rPr>
        <w:t>50</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_Toc19272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3.5 </w:t>
      </w:r>
      <w:r>
        <w:rPr>
          <w:rFonts w:ascii="Times New Roman" w:hAnsi="Times New Roman" w:cs="Times New Roman" w:eastAsiaTheme="majorEastAsia"/>
          <w:bCs/>
          <w:i w:val="0"/>
          <w:iCs w:val="0"/>
          <w:color w:val="auto"/>
          <w:kern w:val="2"/>
          <w:szCs w:val="32"/>
          <w:lang w:val="en-US" w:eastAsia="zh-CN"/>
        </w:rPr>
        <w:t>配套公辅工程</w:t>
      </w:r>
      <w:r>
        <w:rPr>
          <w:i w:val="0"/>
          <w:iCs w:val="0"/>
          <w:color w:val="auto"/>
        </w:rPr>
        <w:tab/>
      </w:r>
      <w:r>
        <w:rPr>
          <w:i w:val="0"/>
          <w:iCs w:val="0"/>
          <w:color w:val="auto"/>
        </w:rPr>
        <w:fldChar w:fldCharType="begin"/>
      </w:r>
      <w:r>
        <w:rPr>
          <w:i w:val="0"/>
          <w:iCs w:val="0"/>
          <w:color w:val="auto"/>
        </w:rPr>
        <w:instrText xml:space="preserve"> PAGEREF _Toc19272 \h </w:instrText>
      </w:r>
      <w:r>
        <w:rPr>
          <w:i w:val="0"/>
          <w:iCs w:val="0"/>
          <w:color w:val="auto"/>
        </w:rPr>
        <w:fldChar w:fldCharType="separate"/>
      </w:r>
      <w:r>
        <w:rPr>
          <w:i w:val="0"/>
          <w:iCs w:val="0"/>
          <w:color w:val="auto"/>
        </w:rPr>
        <w:t>54</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_Toc27905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3.5.1 </w:t>
      </w:r>
      <w:r>
        <w:rPr>
          <w:rFonts w:hint="default" w:ascii="Times New Roman" w:hAnsi="Times New Roman" w:cs="Times New Roman" w:eastAsiaTheme="majorEastAsia"/>
          <w:bCs w:val="0"/>
          <w:i w:val="0"/>
          <w:iCs w:val="0"/>
          <w:color w:val="auto"/>
          <w:szCs w:val="24"/>
        </w:rPr>
        <w:t>给排水</w:t>
      </w:r>
      <w:r>
        <w:rPr>
          <w:i w:val="0"/>
          <w:iCs w:val="0"/>
          <w:color w:val="auto"/>
        </w:rPr>
        <w:tab/>
      </w:r>
      <w:r>
        <w:rPr>
          <w:i w:val="0"/>
          <w:iCs w:val="0"/>
          <w:color w:val="auto"/>
        </w:rPr>
        <w:fldChar w:fldCharType="begin"/>
      </w:r>
      <w:r>
        <w:rPr>
          <w:i w:val="0"/>
          <w:iCs w:val="0"/>
          <w:color w:val="auto"/>
        </w:rPr>
        <w:instrText xml:space="preserve"> PAGEREF _Toc27905 \h </w:instrText>
      </w:r>
      <w:r>
        <w:rPr>
          <w:i w:val="0"/>
          <w:iCs w:val="0"/>
          <w:color w:val="auto"/>
        </w:rPr>
        <w:fldChar w:fldCharType="separate"/>
      </w:r>
      <w:r>
        <w:rPr>
          <w:i w:val="0"/>
          <w:iCs w:val="0"/>
          <w:color w:val="auto"/>
        </w:rPr>
        <w:t>54</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_Toc12582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3.5.2 </w:t>
      </w:r>
      <w:r>
        <w:rPr>
          <w:rFonts w:hint="default" w:ascii="Times New Roman" w:hAnsi="Times New Roman" w:cs="Times New Roman" w:eastAsiaTheme="majorEastAsia"/>
          <w:bCs w:val="0"/>
          <w:i w:val="0"/>
          <w:iCs w:val="0"/>
          <w:color w:val="auto"/>
          <w:szCs w:val="24"/>
        </w:rPr>
        <w:t>供配电</w:t>
      </w:r>
      <w:r>
        <w:rPr>
          <w:i w:val="0"/>
          <w:iCs w:val="0"/>
          <w:color w:val="auto"/>
        </w:rPr>
        <w:tab/>
      </w:r>
      <w:r>
        <w:rPr>
          <w:i w:val="0"/>
          <w:iCs w:val="0"/>
          <w:color w:val="auto"/>
        </w:rPr>
        <w:fldChar w:fldCharType="begin"/>
      </w:r>
      <w:r>
        <w:rPr>
          <w:i w:val="0"/>
          <w:iCs w:val="0"/>
          <w:color w:val="auto"/>
        </w:rPr>
        <w:instrText xml:space="preserve"> PAGEREF _Toc12582 \h </w:instrText>
      </w:r>
      <w:r>
        <w:rPr>
          <w:i w:val="0"/>
          <w:iCs w:val="0"/>
          <w:color w:val="auto"/>
        </w:rPr>
        <w:fldChar w:fldCharType="separate"/>
      </w:r>
      <w:r>
        <w:rPr>
          <w:i w:val="0"/>
          <w:iCs w:val="0"/>
          <w:color w:val="auto"/>
        </w:rPr>
        <w:t>54</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_Toc31805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3.5.3 </w:t>
      </w:r>
      <w:r>
        <w:rPr>
          <w:rFonts w:hint="default" w:ascii="Times New Roman" w:hAnsi="Times New Roman" w:cs="Times New Roman" w:eastAsiaTheme="majorEastAsia"/>
          <w:bCs w:val="0"/>
          <w:i w:val="0"/>
          <w:iCs w:val="0"/>
          <w:color w:val="auto"/>
          <w:szCs w:val="24"/>
        </w:rPr>
        <w:t>交通运输</w:t>
      </w:r>
      <w:r>
        <w:rPr>
          <w:i w:val="0"/>
          <w:iCs w:val="0"/>
          <w:color w:val="auto"/>
        </w:rPr>
        <w:tab/>
      </w:r>
      <w:r>
        <w:rPr>
          <w:i w:val="0"/>
          <w:iCs w:val="0"/>
          <w:color w:val="auto"/>
        </w:rPr>
        <w:fldChar w:fldCharType="begin"/>
      </w:r>
      <w:r>
        <w:rPr>
          <w:i w:val="0"/>
          <w:iCs w:val="0"/>
          <w:color w:val="auto"/>
        </w:rPr>
        <w:instrText xml:space="preserve"> PAGEREF _Toc31805 \h </w:instrText>
      </w:r>
      <w:r>
        <w:rPr>
          <w:i w:val="0"/>
          <w:iCs w:val="0"/>
          <w:color w:val="auto"/>
        </w:rPr>
        <w:fldChar w:fldCharType="separate"/>
      </w:r>
      <w:r>
        <w:rPr>
          <w:i w:val="0"/>
          <w:iCs w:val="0"/>
          <w:color w:val="auto"/>
        </w:rPr>
        <w:t>54</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_Toc23063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3.5.4 </w:t>
      </w:r>
      <w:r>
        <w:rPr>
          <w:rFonts w:hint="default" w:ascii="Times New Roman" w:hAnsi="Times New Roman" w:cs="Times New Roman" w:eastAsiaTheme="majorEastAsia"/>
          <w:bCs w:val="0"/>
          <w:i w:val="0"/>
          <w:iCs w:val="0"/>
          <w:color w:val="auto"/>
          <w:szCs w:val="24"/>
        </w:rPr>
        <w:t>营运期污染物产生及治理措施</w:t>
      </w:r>
      <w:r>
        <w:rPr>
          <w:i w:val="0"/>
          <w:iCs w:val="0"/>
          <w:color w:val="auto"/>
        </w:rPr>
        <w:tab/>
      </w:r>
      <w:r>
        <w:rPr>
          <w:i w:val="0"/>
          <w:iCs w:val="0"/>
          <w:color w:val="auto"/>
        </w:rPr>
        <w:fldChar w:fldCharType="begin"/>
      </w:r>
      <w:r>
        <w:rPr>
          <w:i w:val="0"/>
          <w:iCs w:val="0"/>
          <w:color w:val="auto"/>
        </w:rPr>
        <w:instrText xml:space="preserve"> PAGEREF _Toc23063 \h </w:instrText>
      </w:r>
      <w:r>
        <w:rPr>
          <w:i w:val="0"/>
          <w:iCs w:val="0"/>
          <w:color w:val="auto"/>
        </w:rPr>
        <w:fldChar w:fldCharType="separate"/>
      </w:r>
      <w:r>
        <w:rPr>
          <w:i w:val="0"/>
          <w:iCs w:val="0"/>
          <w:color w:val="auto"/>
        </w:rPr>
        <w:t>54</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_Toc12827 </w:instrText>
      </w:r>
      <w:r>
        <w:rPr>
          <w:rFonts w:eastAsiaTheme="minorEastAsia"/>
          <w:bCs/>
          <w:i w:val="0"/>
          <w:iCs w:val="0"/>
          <w:color w:val="auto"/>
          <w:szCs w:val="32"/>
        </w:rPr>
        <w:fldChar w:fldCharType="separate"/>
      </w:r>
      <w:r>
        <w:rPr>
          <w:rFonts w:hint="eastAsia" w:cs="Times New Roman"/>
          <w:i w:val="0"/>
          <w:iCs w:val="0"/>
          <w:color w:val="auto"/>
        </w:rPr>
        <w:t xml:space="preserve">3.5.5 </w:t>
      </w:r>
      <w:r>
        <w:rPr>
          <w:rFonts w:hint="default" w:ascii="Times New Roman" w:hAnsi="Times New Roman" w:cs="Times New Roman" w:eastAsiaTheme="majorEastAsia"/>
          <w:bCs w:val="0"/>
          <w:i w:val="0"/>
          <w:iCs w:val="0"/>
          <w:color w:val="auto"/>
          <w:szCs w:val="24"/>
        </w:rPr>
        <w:t>项目非正常工况下的污染物排放情况</w:t>
      </w:r>
      <w:r>
        <w:rPr>
          <w:i w:val="0"/>
          <w:iCs w:val="0"/>
          <w:color w:val="auto"/>
        </w:rPr>
        <w:tab/>
      </w:r>
      <w:r>
        <w:rPr>
          <w:i w:val="0"/>
          <w:iCs w:val="0"/>
          <w:color w:val="auto"/>
        </w:rPr>
        <w:fldChar w:fldCharType="begin"/>
      </w:r>
      <w:r>
        <w:rPr>
          <w:i w:val="0"/>
          <w:iCs w:val="0"/>
          <w:color w:val="auto"/>
        </w:rPr>
        <w:instrText xml:space="preserve"> PAGEREF _Toc12827 \h </w:instrText>
      </w:r>
      <w:r>
        <w:rPr>
          <w:i w:val="0"/>
          <w:iCs w:val="0"/>
          <w:color w:val="auto"/>
        </w:rPr>
        <w:fldChar w:fldCharType="separate"/>
      </w:r>
      <w:r>
        <w:rPr>
          <w:i w:val="0"/>
          <w:iCs w:val="0"/>
          <w:color w:val="auto"/>
        </w:rPr>
        <w:t>63</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_Toc2182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3.6 </w:t>
      </w:r>
      <w:r>
        <w:rPr>
          <w:rFonts w:ascii="Times New Roman" w:hAnsi="Times New Roman" w:cs="Times New Roman" w:eastAsiaTheme="majorEastAsia"/>
          <w:bCs/>
          <w:i w:val="0"/>
          <w:iCs w:val="0"/>
          <w:color w:val="auto"/>
          <w:kern w:val="2"/>
          <w:szCs w:val="32"/>
          <w:lang w:val="en-US" w:eastAsia="zh-CN"/>
        </w:rPr>
        <w:t>项目污染物排放量</w:t>
      </w:r>
      <w:r>
        <w:rPr>
          <w:i w:val="0"/>
          <w:iCs w:val="0"/>
          <w:color w:val="auto"/>
        </w:rPr>
        <w:tab/>
      </w:r>
      <w:r>
        <w:rPr>
          <w:i w:val="0"/>
          <w:iCs w:val="0"/>
          <w:color w:val="auto"/>
        </w:rPr>
        <w:fldChar w:fldCharType="begin"/>
      </w:r>
      <w:r>
        <w:rPr>
          <w:i w:val="0"/>
          <w:iCs w:val="0"/>
          <w:color w:val="auto"/>
        </w:rPr>
        <w:instrText xml:space="preserve"> PAGEREF _Toc2182 \h </w:instrText>
      </w:r>
      <w:r>
        <w:rPr>
          <w:i w:val="0"/>
          <w:iCs w:val="0"/>
          <w:color w:val="auto"/>
        </w:rPr>
        <w:fldChar w:fldCharType="separate"/>
      </w:r>
      <w:r>
        <w:rPr>
          <w:i w:val="0"/>
          <w:iCs w:val="0"/>
          <w:color w:val="auto"/>
        </w:rPr>
        <w:t>64</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_Toc4177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3.7 </w:t>
      </w:r>
      <w:r>
        <w:rPr>
          <w:rFonts w:ascii="Times New Roman" w:hAnsi="Times New Roman" w:cs="Times New Roman" w:eastAsiaTheme="majorEastAsia"/>
          <w:bCs/>
          <w:i w:val="0"/>
          <w:iCs w:val="0"/>
          <w:color w:val="auto"/>
          <w:kern w:val="2"/>
          <w:szCs w:val="32"/>
          <w:lang w:val="en-US" w:eastAsia="zh-CN"/>
        </w:rPr>
        <w:t>总量控制</w:t>
      </w:r>
      <w:r>
        <w:rPr>
          <w:i w:val="0"/>
          <w:iCs w:val="0"/>
          <w:color w:val="auto"/>
        </w:rPr>
        <w:tab/>
      </w:r>
      <w:r>
        <w:rPr>
          <w:i w:val="0"/>
          <w:iCs w:val="0"/>
          <w:color w:val="auto"/>
        </w:rPr>
        <w:fldChar w:fldCharType="begin"/>
      </w:r>
      <w:r>
        <w:rPr>
          <w:i w:val="0"/>
          <w:iCs w:val="0"/>
          <w:color w:val="auto"/>
        </w:rPr>
        <w:instrText xml:space="preserve"> PAGEREF _Toc4177 \h </w:instrText>
      </w:r>
      <w:r>
        <w:rPr>
          <w:i w:val="0"/>
          <w:iCs w:val="0"/>
          <w:color w:val="auto"/>
        </w:rPr>
        <w:fldChar w:fldCharType="separate"/>
      </w:r>
      <w:r>
        <w:rPr>
          <w:i w:val="0"/>
          <w:iCs w:val="0"/>
          <w:color w:val="auto"/>
        </w:rPr>
        <w:t>65</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_Toc9340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3.8 </w:t>
      </w:r>
      <w:r>
        <w:rPr>
          <w:rFonts w:ascii="Times New Roman" w:hAnsi="Times New Roman" w:cs="Times New Roman" w:eastAsiaTheme="majorEastAsia"/>
          <w:bCs/>
          <w:i w:val="0"/>
          <w:iCs w:val="0"/>
          <w:color w:val="auto"/>
          <w:kern w:val="2"/>
          <w:szCs w:val="32"/>
          <w:lang w:val="en-US" w:eastAsia="zh-CN"/>
        </w:rPr>
        <w:t>清洁生产</w:t>
      </w:r>
      <w:r>
        <w:rPr>
          <w:i w:val="0"/>
          <w:iCs w:val="0"/>
          <w:color w:val="auto"/>
        </w:rPr>
        <w:tab/>
      </w:r>
      <w:r>
        <w:rPr>
          <w:i w:val="0"/>
          <w:iCs w:val="0"/>
          <w:color w:val="auto"/>
        </w:rPr>
        <w:fldChar w:fldCharType="begin"/>
      </w:r>
      <w:r>
        <w:rPr>
          <w:i w:val="0"/>
          <w:iCs w:val="0"/>
          <w:color w:val="auto"/>
        </w:rPr>
        <w:instrText xml:space="preserve"> PAGEREF _Toc9340 \h </w:instrText>
      </w:r>
      <w:r>
        <w:rPr>
          <w:i w:val="0"/>
          <w:iCs w:val="0"/>
          <w:color w:val="auto"/>
        </w:rPr>
        <w:fldChar w:fldCharType="separate"/>
      </w:r>
      <w:r>
        <w:rPr>
          <w:i w:val="0"/>
          <w:iCs w:val="0"/>
          <w:color w:val="auto"/>
        </w:rPr>
        <w:t>65</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_Toc16195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3.8.1 </w:t>
      </w:r>
      <w:r>
        <w:rPr>
          <w:rFonts w:hint="default" w:ascii="Times New Roman" w:hAnsi="Times New Roman" w:cs="Times New Roman" w:eastAsiaTheme="majorEastAsia"/>
          <w:bCs w:val="0"/>
          <w:i w:val="0"/>
          <w:iCs w:val="0"/>
          <w:color w:val="auto"/>
          <w:szCs w:val="24"/>
        </w:rPr>
        <w:t>清洁生产分析</w:t>
      </w:r>
      <w:r>
        <w:rPr>
          <w:i w:val="0"/>
          <w:iCs w:val="0"/>
          <w:color w:val="auto"/>
        </w:rPr>
        <w:tab/>
      </w:r>
      <w:r>
        <w:rPr>
          <w:i w:val="0"/>
          <w:iCs w:val="0"/>
          <w:color w:val="auto"/>
        </w:rPr>
        <w:fldChar w:fldCharType="begin"/>
      </w:r>
      <w:r>
        <w:rPr>
          <w:i w:val="0"/>
          <w:iCs w:val="0"/>
          <w:color w:val="auto"/>
        </w:rPr>
        <w:instrText xml:space="preserve"> PAGEREF _Toc16195 \h </w:instrText>
      </w:r>
      <w:r>
        <w:rPr>
          <w:i w:val="0"/>
          <w:iCs w:val="0"/>
          <w:color w:val="auto"/>
        </w:rPr>
        <w:fldChar w:fldCharType="separate"/>
      </w:r>
      <w:r>
        <w:rPr>
          <w:i w:val="0"/>
          <w:iCs w:val="0"/>
          <w:color w:val="auto"/>
        </w:rPr>
        <w:t>65</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_Toc6986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3.8.2 </w:t>
      </w:r>
      <w:r>
        <w:rPr>
          <w:rFonts w:hint="default" w:ascii="Times New Roman" w:hAnsi="Times New Roman" w:cs="Times New Roman" w:eastAsiaTheme="majorEastAsia"/>
          <w:bCs w:val="0"/>
          <w:i w:val="0"/>
          <w:iCs w:val="0"/>
          <w:color w:val="auto"/>
          <w:szCs w:val="24"/>
        </w:rPr>
        <w:t>清洁生产水平分析</w:t>
      </w:r>
      <w:r>
        <w:rPr>
          <w:i w:val="0"/>
          <w:iCs w:val="0"/>
          <w:color w:val="auto"/>
        </w:rPr>
        <w:tab/>
      </w:r>
      <w:r>
        <w:rPr>
          <w:i w:val="0"/>
          <w:iCs w:val="0"/>
          <w:color w:val="auto"/>
        </w:rPr>
        <w:fldChar w:fldCharType="begin"/>
      </w:r>
      <w:r>
        <w:rPr>
          <w:i w:val="0"/>
          <w:iCs w:val="0"/>
          <w:color w:val="auto"/>
        </w:rPr>
        <w:instrText xml:space="preserve"> PAGEREF _Toc6986 \h </w:instrText>
      </w:r>
      <w:r>
        <w:rPr>
          <w:i w:val="0"/>
          <w:iCs w:val="0"/>
          <w:color w:val="auto"/>
        </w:rPr>
        <w:fldChar w:fldCharType="separate"/>
      </w:r>
      <w:r>
        <w:rPr>
          <w:i w:val="0"/>
          <w:iCs w:val="0"/>
          <w:color w:val="auto"/>
        </w:rPr>
        <w:t>66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_Toc11154 </w:instrText>
      </w:r>
      <w:r>
        <w:rPr>
          <w:rFonts w:eastAsiaTheme="minorEastAsia"/>
          <w:bCs/>
          <w:i w:val="0"/>
          <w:iCs w:val="0"/>
          <w:color w:val="auto"/>
          <w:szCs w:val="32"/>
        </w:rPr>
        <w:fldChar w:fldCharType="separate"/>
      </w:r>
      <w:r>
        <w:rPr>
          <w:rFonts w:hint="eastAsia"/>
          <w:i w:val="0"/>
          <w:iCs w:val="0"/>
          <w:color w:val="auto"/>
          <w:szCs w:val="24"/>
        </w:rPr>
        <w:t xml:space="preserve">3.8.3 </w:t>
      </w:r>
      <w:r>
        <w:rPr>
          <w:i w:val="0"/>
          <w:iCs w:val="0"/>
          <w:color w:val="auto"/>
          <w:szCs w:val="24"/>
        </w:rPr>
        <w:t>清洁生产小结</w:t>
      </w:r>
      <w:r>
        <w:rPr>
          <w:i w:val="0"/>
          <w:iCs w:val="0"/>
          <w:color w:val="auto"/>
        </w:rPr>
        <w:tab/>
      </w:r>
      <w:r>
        <w:rPr>
          <w:i w:val="0"/>
          <w:iCs w:val="0"/>
          <w:color w:val="auto"/>
        </w:rPr>
        <w:fldChar w:fldCharType="begin"/>
      </w:r>
      <w:r>
        <w:rPr>
          <w:i w:val="0"/>
          <w:iCs w:val="0"/>
          <w:color w:val="auto"/>
        </w:rPr>
        <w:instrText xml:space="preserve"> PAGEREF _Toc11154 \h </w:instrText>
      </w:r>
      <w:r>
        <w:rPr>
          <w:i w:val="0"/>
          <w:iCs w:val="0"/>
          <w:color w:val="auto"/>
        </w:rPr>
        <w:fldChar w:fldCharType="separate"/>
      </w:r>
      <w:r>
        <w:rPr>
          <w:i w:val="0"/>
          <w:iCs w:val="0"/>
          <w:color w:val="auto"/>
        </w:rPr>
        <w:t>68</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_Toc20820 </w:instrText>
      </w:r>
      <w:r>
        <w:rPr>
          <w:rFonts w:eastAsiaTheme="minorEastAsia"/>
          <w:bCs/>
          <w:i w:val="0"/>
          <w:iCs w:val="0"/>
          <w:color w:val="auto"/>
          <w:szCs w:val="32"/>
        </w:rPr>
        <w:fldChar w:fldCharType="separate"/>
      </w:r>
      <w:r>
        <w:rPr>
          <w:rFonts w:hint="eastAsia"/>
          <w:i w:val="0"/>
          <w:iCs w:val="0"/>
          <w:color w:val="auto"/>
          <w:szCs w:val="24"/>
        </w:rPr>
        <w:t xml:space="preserve">3.8.4 </w:t>
      </w:r>
      <w:r>
        <w:rPr>
          <w:i w:val="0"/>
          <w:iCs w:val="0"/>
          <w:color w:val="auto"/>
          <w:szCs w:val="24"/>
        </w:rPr>
        <w:t>加强清洁生产建议措施</w:t>
      </w:r>
      <w:r>
        <w:rPr>
          <w:i w:val="0"/>
          <w:iCs w:val="0"/>
          <w:color w:val="auto"/>
        </w:rPr>
        <w:tab/>
      </w:r>
      <w:r>
        <w:rPr>
          <w:i w:val="0"/>
          <w:iCs w:val="0"/>
          <w:color w:val="auto"/>
        </w:rPr>
        <w:fldChar w:fldCharType="begin"/>
      </w:r>
      <w:r>
        <w:rPr>
          <w:i w:val="0"/>
          <w:iCs w:val="0"/>
          <w:color w:val="auto"/>
        </w:rPr>
        <w:instrText xml:space="preserve"> PAGEREF _Toc20820 \h </w:instrText>
      </w:r>
      <w:r>
        <w:rPr>
          <w:i w:val="0"/>
          <w:iCs w:val="0"/>
          <w:color w:val="auto"/>
        </w:rPr>
        <w:fldChar w:fldCharType="separate"/>
      </w:r>
      <w:r>
        <w:rPr>
          <w:i w:val="0"/>
          <w:iCs w:val="0"/>
          <w:color w:val="auto"/>
        </w:rPr>
        <w:t>68</w:t>
      </w:r>
      <w:r>
        <w:rPr>
          <w:i w:val="0"/>
          <w:iCs w:val="0"/>
          <w:color w:val="auto"/>
        </w:rPr>
        <w:fldChar w:fldCharType="end"/>
      </w:r>
      <w:r>
        <w:rPr>
          <w:rFonts w:eastAsiaTheme="minorEastAsia"/>
          <w:bCs/>
          <w:i w:val="0"/>
          <w:iCs w:val="0"/>
          <w:color w:val="auto"/>
          <w:szCs w:val="32"/>
        </w:rPr>
        <w:fldChar w:fldCharType="end"/>
      </w:r>
    </w:p>
    <w:p>
      <w:pPr>
        <w:pStyle w:val="60"/>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_Toc24400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4. 环境现状调查与评价</w:t>
      </w:r>
      <w:r>
        <w:rPr>
          <w:i w:val="0"/>
          <w:iCs w:val="0"/>
          <w:color w:val="auto"/>
        </w:rPr>
        <w:tab/>
      </w:r>
      <w:r>
        <w:rPr>
          <w:i w:val="0"/>
          <w:iCs w:val="0"/>
          <w:color w:val="auto"/>
        </w:rPr>
        <w:fldChar w:fldCharType="begin"/>
      </w:r>
      <w:r>
        <w:rPr>
          <w:i w:val="0"/>
          <w:iCs w:val="0"/>
          <w:color w:val="auto"/>
        </w:rPr>
        <w:instrText xml:space="preserve"> PAGEREF _Toc24400 \h </w:instrText>
      </w:r>
      <w:r>
        <w:rPr>
          <w:i w:val="0"/>
          <w:iCs w:val="0"/>
          <w:color w:val="auto"/>
        </w:rPr>
        <w:fldChar w:fldCharType="separate"/>
      </w:r>
      <w:r>
        <w:rPr>
          <w:i w:val="0"/>
          <w:iCs w:val="0"/>
          <w:color w:val="auto"/>
        </w:rPr>
        <w:t>70</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_Toc10295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4.1 </w:t>
      </w:r>
      <w:r>
        <w:rPr>
          <w:rFonts w:ascii="Times New Roman" w:hAnsi="Times New Roman" w:cs="Times New Roman" w:eastAsiaTheme="majorEastAsia"/>
          <w:bCs/>
          <w:i w:val="0"/>
          <w:iCs w:val="0"/>
          <w:color w:val="auto"/>
          <w:kern w:val="2"/>
          <w:szCs w:val="32"/>
          <w:lang w:val="en-US" w:eastAsia="zh-CN"/>
        </w:rPr>
        <w:t>自然环境调查与评价</w:t>
      </w:r>
      <w:r>
        <w:rPr>
          <w:i w:val="0"/>
          <w:iCs w:val="0"/>
          <w:color w:val="auto"/>
        </w:rPr>
        <w:tab/>
      </w:r>
      <w:r>
        <w:rPr>
          <w:i w:val="0"/>
          <w:iCs w:val="0"/>
          <w:color w:val="auto"/>
        </w:rPr>
        <w:fldChar w:fldCharType="begin"/>
      </w:r>
      <w:r>
        <w:rPr>
          <w:i w:val="0"/>
          <w:iCs w:val="0"/>
          <w:color w:val="auto"/>
        </w:rPr>
        <w:instrText xml:space="preserve"> PAGEREF _Toc10295 \h </w:instrText>
      </w:r>
      <w:r>
        <w:rPr>
          <w:i w:val="0"/>
          <w:iCs w:val="0"/>
          <w:color w:val="auto"/>
        </w:rPr>
        <w:fldChar w:fldCharType="separate"/>
      </w:r>
      <w:r>
        <w:rPr>
          <w:i w:val="0"/>
          <w:iCs w:val="0"/>
          <w:color w:val="auto"/>
        </w:rPr>
        <w:t>70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_Toc24192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4.1.1 </w:t>
      </w:r>
      <w:r>
        <w:rPr>
          <w:rFonts w:hint="default" w:ascii="Times New Roman" w:hAnsi="Times New Roman" w:cs="Times New Roman" w:eastAsiaTheme="majorEastAsia"/>
          <w:bCs w:val="0"/>
          <w:i w:val="0"/>
          <w:iCs w:val="0"/>
          <w:color w:val="auto"/>
          <w:szCs w:val="24"/>
        </w:rPr>
        <w:t>地理位置</w:t>
      </w:r>
      <w:r>
        <w:rPr>
          <w:i w:val="0"/>
          <w:iCs w:val="0"/>
          <w:color w:val="auto"/>
        </w:rPr>
        <w:tab/>
      </w:r>
      <w:r>
        <w:rPr>
          <w:i w:val="0"/>
          <w:iCs w:val="0"/>
          <w:color w:val="auto"/>
        </w:rPr>
        <w:fldChar w:fldCharType="begin"/>
      </w:r>
      <w:r>
        <w:rPr>
          <w:i w:val="0"/>
          <w:iCs w:val="0"/>
          <w:color w:val="auto"/>
        </w:rPr>
        <w:instrText xml:space="preserve"> PAGEREF _Toc24192 \h </w:instrText>
      </w:r>
      <w:r>
        <w:rPr>
          <w:i w:val="0"/>
          <w:iCs w:val="0"/>
          <w:color w:val="auto"/>
        </w:rPr>
        <w:fldChar w:fldCharType="separate"/>
      </w:r>
      <w:r>
        <w:rPr>
          <w:i w:val="0"/>
          <w:iCs w:val="0"/>
          <w:color w:val="auto"/>
        </w:rPr>
        <w:t>70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_Toc2199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4.1.2 </w:t>
      </w:r>
      <w:r>
        <w:rPr>
          <w:rFonts w:hint="default" w:ascii="Times New Roman" w:hAnsi="Times New Roman" w:cs="Times New Roman" w:eastAsiaTheme="majorEastAsia"/>
          <w:bCs w:val="0"/>
          <w:i w:val="0"/>
          <w:iCs w:val="0"/>
          <w:color w:val="auto"/>
          <w:szCs w:val="24"/>
        </w:rPr>
        <w:t>地形、地质、地貌</w:t>
      </w:r>
      <w:r>
        <w:rPr>
          <w:i w:val="0"/>
          <w:iCs w:val="0"/>
          <w:color w:val="auto"/>
        </w:rPr>
        <w:tab/>
      </w:r>
      <w:r>
        <w:rPr>
          <w:i w:val="0"/>
          <w:iCs w:val="0"/>
          <w:color w:val="auto"/>
        </w:rPr>
        <w:fldChar w:fldCharType="begin"/>
      </w:r>
      <w:r>
        <w:rPr>
          <w:i w:val="0"/>
          <w:iCs w:val="0"/>
          <w:color w:val="auto"/>
        </w:rPr>
        <w:instrText xml:space="preserve"> PAGEREF _Toc2199 \h </w:instrText>
      </w:r>
      <w:r>
        <w:rPr>
          <w:i w:val="0"/>
          <w:iCs w:val="0"/>
          <w:color w:val="auto"/>
        </w:rPr>
        <w:fldChar w:fldCharType="separate"/>
      </w:r>
      <w:r>
        <w:rPr>
          <w:i w:val="0"/>
          <w:iCs w:val="0"/>
          <w:color w:val="auto"/>
        </w:rPr>
        <w:t>70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_Toc25515 </w:instrText>
      </w:r>
      <w:r>
        <w:rPr>
          <w:rFonts w:eastAsiaTheme="minorEastAsia"/>
          <w:bCs/>
          <w:i w:val="0"/>
          <w:iCs w:val="0"/>
          <w:color w:val="auto"/>
          <w:szCs w:val="32"/>
        </w:rPr>
        <w:fldChar w:fldCharType="separate"/>
      </w:r>
      <w:r>
        <w:rPr>
          <w:rFonts w:hint="eastAsia"/>
          <w:i w:val="0"/>
          <w:iCs w:val="0"/>
          <w:color w:val="auto"/>
          <w:szCs w:val="24"/>
        </w:rPr>
        <w:t xml:space="preserve">4.1.3 </w:t>
      </w:r>
      <w:r>
        <w:rPr>
          <w:i w:val="0"/>
          <w:iCs w:val="0"/>
          <w:color w:val="auto"/>
          <w:szCs w:val="24"/>
        </w:rPr>
        <w:t>气候、气象</w:t>
      </w:r>
      <w:r>
        <w:rPr>
          <w:i w:val="0"/>
          <w:iCs w:val="0"/>
          <w:color w:val="auto"/>
        </w:rPr>
        <w:tab/>
      </w:r>
      <w:r>
        <w:rPr>
          <w:i w:val="0"/>
          <w:iCs w:val="0"/>
          <w:color w:val="auto"/>
        </w:rPr>
        <w:fldChar w:fldCharType="begin"/>
      </w:r>
      <w:r>
        <w:rPr>
          <w:i w:val="0"/>
          <w:iCs w:val="0"/>
          <w:color w:val="auto"/>
        </w:rPr>
        <w:instrText xml:space="preserve"> PAGEREF _Toc25515 \h </w:instrText>
      </w:r>
      <w:r>
        <w:rPr>
          <w:i w:val="0"/>
          <w:iCs w:val="0"/>
          <w:color w:val="auto"/>
        </w:rPr>
        <w:fldChar w:fldCharType="separate"/>
      </w:r>
      <w:r>
        <w:rPr>
          <w:i w:val="0"/>
          <w:iCs w:val="0"/>
          <w:color w:val="auto"/>
        </w:rPr>
        <w:t>71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_Toc17875 </w:instrText>
      </w:r>
      <w:r>
        <w:rPr>
          <w:rFonts w:eastAsiaTheme="minorEastAsia"/>
          <w:bCs/>
          <w:i w:val="0"/>
          <w:iCs w:val="0"/>
          <w:color w:val="auto"/>
          <w:szCs w:val="32"/>
        </w:rPr>
        <w:fldChar w:fldCharType="separate"/>
      </w:r>
      <w:r>
        <w:rPr>
          <w:rFonts w:hint="eastAsia"/>
          <w:i w:val="0"/>
          <w:iCs w:val="0"/>
          <w:color w:val="auto"/>
          <w:szCs w:val="24"/>
        </w:rPr>
        <w:t xml:space="preserve">4.1.4 </w:t>
      </w:r>
      <w:r>
        <w:rPr>
          <w:i w:val="0"/>
          <w:iCs w:val="0"/>
          <w:color w:val="auto"/>
          <w:szCs w:val="24"/>
        </w:rPr>
        <w:t>水文</w:t>
      </w:r>
      <w:r>
        <w:rPr>
          <w:i w:val="0"/>
          <w:iCs w:val="0"/>
          <w:color w:val="auto"/>
        </w:rPr>
        <w:tab/>
      </w:r>
      <w:r>
        <w:rPr>
          <w:i w:val="0"/>
          <w:iCs w:val="0"/>
          <w:color w:val="auto"/>
        </w:rPr>
        <w:fldChar w:fldCharType="begin"/>
      </w:r>
      <w:r>
        <w:rPr>
          <w:i w:val="0"/>
          <w:iCs w:val="0"/>
          <w:color w:val="auto"/>
        </w:rPr>
        <w:instrText xml:space="preserve"> PAGEREF _Toc17875 \h </w:instrText>
      </w:r>
      <w:r>
        <w:rPr>
          <w:i w:val="0"/>
          <w:iCs w:val="0"/>
          <w:color w:val="auto"/>
        </w:rPr>
        <w:fldChar w:fldCharType="separate"/>
      </w:r>
      <w:r>
        <w:rPr>
          <w:i w:val="0"/>
          <w:iCs w:val="0"/>
          <w:color w:val="auto"/>
        </w:rPr>
        <w:t>71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_Toc1758 </w:instrText>
      </w:r>
      <w:r>
        <w:rPr>
          <w:rFonts w:eastAsiaTheme="minorEastAsia"/>
          <w:bCs/>
          <w:i w:val="0"/>
          <w:iCs w:val="0"/>
          <w:color w:val="auto"/>
          <w:szCs w:val="32"/>
        </w:rPr>
        <w:fldChar w:fldCharType="separate"/>
      </w:r>
      <w:r>
        <w:rPr>
          <w:rFonts w:hint="eastAsia"/>
          <w:i w:val="0"/>
          <w:iCs w:val="0"/>
          <w:color w:val="auto"/>
          <w:szCs w:val="24"/>
        </w:rPr>
        <w:t xml:space="preserve">4.1.5 </w:t>
      </w:r>
      <w:r>
        <w:rPr>
          <w:i w:val="0"/>
          <w:iCs w:val="0"/>
          <w:color w:val="auto"/>
          <w:szCs w:val="24"/>
        </w:rPr>
        <w:t>植被及动物资源</w:t>
      </w:r>
      <w:r>
        <w:rPr>
          <w:i w:val="0"/>
          <w:iCs w:val="0"/>
          <w:color w:val="auto"/>
        </w:rPr>
        <w:tab/>
      </w:r>
      <w:r>
        <w:rPr>
          <w:i w:val="0"/>
          <w:iCs w:val="0"/>
          <w:color w:val="auto"/>
        </w:rPr>
        <w:fldChar w:fldCharType="begin"/>
      </w:r>
      <w:r>
        <w:rPr>
          <w:i w:val="0"/>
          <w:iCs w:val="0"/>
          <w:color w:val="auto"/>
        </w:rPr>
        <w:instrText xml:space="preserve"> PAGEREF _Toc1758 \h </w:instrText>
      </w:r>
      <w:r>
        <w:rPr>
          <w:i w:val="0"/>
          <w:iCs w:val="0"/>
          <w:color w:val="auto"/>
        </w:rPr>
        <w:fldChar w:fldCharType="separate"/>
      </w:r>
      <w:r>
        <w:rPr>
          <w:i w:val="0"/>
          <w:iCs w:val="0"/>
          <w:color w:val="auto"/>
        </w:rPr>
        <w:t>71</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_Toc2087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4.2 </w:t>
      </w:r>
      <w:r>
        <w:rPr>
          <w:rFonts w:ascii="Times New Roman" w:hAnsi="Times New Roman" w:cs="Times New Roman" w:eastAsiaTheme="majorEastAsia"/>
          <w:bCs/>
          <w:i w:val="0"/>
          <w:iCs w:val="0"/>
          <w:color w:val="auto"/>
          <w:kern w:val="2"/>
          <w:szCs w:val="32"/>
          <w:lang w:val="en-US" w:eastAsia="zh-CN"/>
        </w:rPr>
        <w:t>环境保护目标调查</w:t>
      </w:r>
      <w:r>
        <w:rPr>
          <w:i w:val="0"/>
          <w:iCs w:val="0"/>
          <w:color w:val="auto"/>
        </w:rPr>
        <w:tab/>
      </w:r>
      <w:r>
        <w:rPr>
          <w:i w:val="0"/>
          <w:iCs w:val="0"/>
          <w:color w:val="auto"/>
        </w:rPr>
        <w:fldChar w:fldCharType="begin"/>
      </w:r>
      <w:r>
        <w:rPr>
          <w:i w:val="0"/>
          <w:iCs w:val="0"/>
          <w:color w:val="auto"/>
        </w:rPr>
        <w:instrText xml:space="preserve"> PAGEREF _Toc2087 \h </w:instrText>
      </w:r>
      <w:r>
        <w:rPr>
          <w:i w:val="0"/>
          <w:iCs w:val="0"/>
          <w:color w:val="auto"/>
        </w:rPr>
        <w:fldChar w:fldCharType="separate"/>
      </w:r>
      <w:r>
        <w:rPr>
          <w:i w:val="0"/>
          <w:iCs w:val="0"/>
          <w:color w:val="auto"/>
        </w:rPr>
        <w:t>72</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_Toc1599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4.2.1 </w:t>
      </w:r>
      <w:r>
        <w:rPr>
          <w:rFonts w:hint="default" w:ascii="Times New Roman" w:hAnsi="Times New Roman" w:cs="Times New Roman" w:eastAsiaTheme="majorEastAsia"/>
          <w:bCs w:val="0"/>
          <w:i w:val="0"/>
          <w:iCs w:val="0"/>
          <w:color w:val="auto"/>
          <w:szCs w:val="24"/>
        </w:rPr>
        <w:t>环境功能区划</w:t>
      </w:r>
      <w:r>
        <w:rPr>
          <w:i w:val="0"/>
          <w:iCs w:val="0"/>
          <w:color w:val="auto"/>
        </w:rPr>
        <w:tab/>
      </w:r>
      <w:r>
        <w:rPr>
          <w:i w:val="0"/>
          <w:iCs w:val="0"/>
          <w:color w:val="auto"/>
        </w:rPr>
        <w:fldChar w:fldCharType="begin"/>
      </w:r>
      <w:r>
        <w:rPr>
          <w:i w:val="0"/>
          <w:iCs w:val="0"/>
          <w:color w:val="auto"/>
        </w:rPr>
        <w:instrText xml:space="preserve"> PAGEREF _Toc1599 \h </w:instrText>
      </w:r>
      <w:r>
        <w:rPr>
          <w:i w:val="0"/>
          <w:iCs w:val="0"/>
          <w:color w:val="auto"/>
        </w:rPr>
        <w:fldChar w:fldCharType="separate"/>
      </w:r>
      <w:r>
        <w:rPr>
          <w:i w:val="0"/>
          <w:iCs w:val="0"/>
          <w:color w:val="auto"/>
        </w:rPr>
        <w:t>72</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_Toc22674 </w:instrText>
      </w:r>
      <w:r>
        <w:rPr>
          <w:rFonts w:eastAsiaTheme="minorEastAsia"/>
          <w:bCs/>
          <w:i w:val="0"/>
          <w:iCs w:val="0"/>
          <w:color w:val="auto"/>
          <w:szCs w:val="32"/>
        </w:rPr>
        <w:fldChar w:fldCharType="separate"/>
      </w:r>
      <w:r>
        <w:rPr>
          <w:rFonts w:hint="eastAsia"/>
          <w:i w:val="0"/>
          <w:iCs w:val="0"/>
          <w:color w:val="auto"/>
          <w:szCs w:val="24"/>
        </w:rPr>
        <w:t xml:space="preserve">4.2.2 </w:t>
      </w:r>
      <w:r>
        <w:rPr>
          <w:i w:val="0"/>
          <w:iCs w:val="0"/>
          <w:color w:val="auto"/>
          <w:szCs w:val="24"/>
        </w:rPr>
        <w:t>主要的环境敏感区</w:t>
      </w:r>
      <w:r>
        <w:rPr>
          <w:i w:val="0"/>
          <w:iCs w:val="0"/>
          <w:color w:val="auto"/>
        </w:rPr>
        <w:tab/>
      </w:r>
      <w:r>
        <w:rPr>
          <w:i w:val="0"/>
          <w:iCs w:val="0"/>
          <w:color w:val="auto"/>
        </w:rPr>
        <w:fldChar w:fldCharType="begin"/>
      </w:r>
      <w:r>
        <w:rPr>
          <w:i w:val="0"/>
          <w:iCs w:val="0"/>
          <w:color w:val="auto"/>
        </w:rPr>
        <w:instrText xml:space="preserve"> PAGEREF _Toc22674 \h </w:instrText>
      </w:r>
      <w:r>
        <w:rPr>
          <w:i w:val="0"/>
          <w:iCs w:val="0"/>
          <w:color w:val="auto"/>
        </w:rPr>
        <w:fldChar w:fldCharType="separate"/>
      </w:r>
      <w:r>
        <w:rPr>
          <w:i w:val="0"/>
          <w:iCs w:val="0"/>
          <w:color w:val="auto"/>
        </w:rPr>
        <w:t>72</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_Toc17528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4.3 </w:t>
      </w:r>
      <w:r>
        <w:rPr>
          <w:rFonts w:ascii="Times New Roman" w:hAnsi="Times New Roman" w:cs="Times New Roman" w:eastAsiaTheme="majorEastAsia"/>
          <w:bCs/>
          <w:i w:val="0"/>
          <w:iCs w:val="0"/>
          <w:color w:val="auto"/>
          <w:kern w:val="2"/>
          <w:szCs w:val="32"/>
          <w:lang w:val="en-US" w:eastAsia="zh-CN"/>
        </w:rPr>
        <w:t>环境质量现状调查与评价</w:t>
      </w:r>
      <w:r>
        <w:rPr>
          <w:i w:val="0"/>
          <w:iCs w:val="0"/>
          <w:color w:val="auto"/>
        </w:rPr>
        <w:tab/>
      </w:r>
      <w:r>
        <w:rPr>
          <w:i w:val="0"/>
          <w:iCs w:val="0"/>
          <w:color w:val="auto"/>
        </w:rPr>
        <w:fldChar w:fldCharType="begin"/>
      </w:r>
      <w:r>
        <w:rPr>
          <w:i w:val="0"/>
          <w:iCs w:val="0"/>
          <w:color w:val="auto"/>
        </w:rPr>
        <w:instrText xml:space="preserve"> PAGEREF _Toc17528 \h </w:instrText>
      </w:r>
      <w:r>
        <w:rPr>
          <w:i w:val="0"/>
          <w:iCs w:val="0"/>
          <w:color w:val="auto"/>
        </w:rPr>
        <w:fldChar w:fldCharType="separate"/>
      </w:r>
      <w:r>
        <w:rPr>
          <w:i w:val="0"/>
          <w:iCs w:val="0"/>
          <w:color w:val="auto"/>
        </w:rPr>
        <w:t>73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_Toc15891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4.3.1 </w:t>
      </w:r>
      <w:r>
        <w:rPr>
          <w:rFonts w:hint="default" w:ascii="Times New Roman" w:hAnsi="Times New Roman" w:cs="Times New Roman" w:eastAsiaTheme="majorEastAsia"/>
          <w:bCs w:val="0"/>
          <w:i w:val="0"/>
          <w:iCs w:val="0"/>
          <w:color w:val="auto"/>
          <w:szCs w:val="24"/>
        </w:rPr>
        <w:t>地表水环境现状监测及评价</w:t>
      </w:r>
      <w:r>
        <w:rPr>
          <w:i w:val="0"/>
          <w:iCs w:val="0"/>
          <w:color w:val="auto"/>
        </w:rPr>
        <w:tab/>
      </w:r>
      <w:r>
        <w:rPr>
          <w:i w:val="0"/>
          <w:iCs w:val="0"/>
          <w:color w:val="auto"/>
        </w:rPr>
        <w:fldChar w:fldCharType="begin"/>
      </w:r>
      <w:r>
        <w:rPr>
          <w:i w:val="0"/>
          <w:iCs w:val="0"/>
          <w:color w:val="auto"/>
        </w:rPr>
        <w:instrText xml:space="preserve"> PAGEREF _Toc15891 \h </w:instrText>
      </w:r>
      <w:r>
        <w:rPr>
          <w:i w:val="0"/>
          <w:iCs w:val="0"/>
          <w:color w:val="auto"/>
        </w:rPr>
        <w:fldChar w:fldCharType="separate"/>
      </w:r>
      <w:r>
        <w:rPr>
          <w:i w:val="0"/>
          <w:iCs w:val="0"/>
          <w:color w:val="auto"/>
        </w:rPr>
        <w:t>73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_Toc10123 </w:instrText>
      </w:r>
      <w:r>
        <w:rPr>
          <w:rFonts w:eastAsiaTheme="minorEastAsia"/>
          <w:bCs/>
          <w:i w:val="0"/>
          <w:iCs w:val="0"/>
          <w:color w:val="auto"/>
          <w:szCs w:val="32"/>
        </w:rPr>
        <w:fldChar w:fldCharType="separate"/>
      </w:r>
      <w:r>
        <w:rPr>
          <w:rFonts w:hint="eastAsia"/>
          <w:i w:val="0"/>
          <w:iCs w:val="0"/>
          <w:color w:val="auto"/>
          <w:szCs w:val="24"/>
        </w:rPr>
        <w:t xml:space="preserve">4.3.2 </w:t>
      </w:r>
      <w:r>
        <w:rPr>
          <w:i w:val="0"/>
          <w:iCs w:val="0"/>
          <w:color w:val="auto"/>
          <w:szCs w:val="24"/>
        </w:rPr>
        <w:t>地下水质量现状监测及评价</w:t>
      </w:r>
      <w:r>
        <w:rPr>
          <w:i w:val="0"/>
          <w:iCs w:val="0"/>
          <w:color w:val="auto"/>
        </w:rPr>
        <w:tab/>
      </w:r>
      <w:r>
        <w:rPr>
          <w:i w:val="0"/>
          <w:iCs w:val="0"/>
          <w:color w:val="auto"/>
        </w:rPr>
        <w:fldChar w:fldCharType="begin"/>
      </w:r>
      <w:r>
        <w:rPr>
          <w:i w:val="0"/>
          <w:iCs w:val="0"/>
          <w:color w:val="auto"/>
        </w:rPr>
        <w:instrText xml:space="preserve"> PAGEREF _Toc10123 \h </w:instrText>
      </w:r>
      <w:r>
        <w:rPr>
          <w:i w:val="0"/>
          <w:iCs w:val="0"/>
          <w:color w:val="auto"/>
        </w:rPr>
        <w:fldChar w:fldCharType="separate"/>
      </w:r>
      <w:r>
        <w:rPr>
          <w:i w:val="0"/>
          <w:iCs w:val="0"/>
          <w:color w:val="auto"/>
        </w:rPr>
        <w:t>73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_Toc32191 </w:instrText>
      </w:r>
      <w:r>
        <w:rPr>
          <w:rFonts w:eastAsiaTheme="minorEastAsia"/>
          <w:bCs/>
          <w:i w:val="0"/>
          <w:iCs w:val="0"/>
          <w:color w:val="auto"/>
          <w:szCs w:val="32"/>
        </w:rPr>
        <w:fldChar w:fldCharType="separate"/>
      </w:r>
      <w:r>
        <w:rPr>
          <w:rFonts w:hint="eastAsia"/>
          <w:i w:val="0"/>
          <w:iCs w:val="0"/>
          <w:color w:val="auto"/>
          <w:szCs w:val="24"/>
        </w:rPr>
        <w:t xml:space="preserve">4.3.3 </w:t>
      </w:r>
      <w:r>
        <w:rPr>
          <w:i w:val="0"/>
          <w:iCs w:val="0"/>
          <w:color w:val="auto"/>
          <w:szCs w:val="24"/>
        </w:rPr>
        <w:t>环境空气现状监测与评价</w:t>
      </w:r>
      <w:r>
        <w:rPr>
          <w:i w:val="0"/>
          <w:iCs w:val="0"/>
          <w:color w:val="auto"/>
        </w:rPr>
        <w:tab/>
      </w:r>
      <w:r>
        <w:rPr>
          <w:i w:val="0"/>
          <w:iCs w:val="0"/>
          <w:color w:val="auto"/>
        </w:rPr>
        <w:fldChar w:fldCharType="begin"/>
      </w:r>
      <w:r>
        <w:rPr>
          <w:i w:val="0"/>
          <w:iCs w:val="0"/>
          <w:color w:val="auto"/>
        </w:rPr>
        <w:instrText xml:space="preserve"> PAGEREF _Toc32191 \h </w:instrText>
      </w:r>
      <w:r>
        <w:rPr>
          <w:i w:val="0"/>
          <w:iCs w:val="0"/>
          <w:color w:val="auto"/>
        </w:rPr>
        <w:fldChar w:fldCharType="separate"/>
      </w:r>
      <w:r>
        <w:rPr>
          <w:i w:val="0"/>
          <w:iCs w:val="0"/>
          <w:color w:val="auto"/>
        </w:rPr>
        <w:t>77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_Toc17148 </w:instrText>
      </w:r>
      <w:r>
        <w:rPr>
          <w:rFonts w:eastAsiaTheme="minorEastAsia"/>
          <w:bCs/>
          <w:i w:val="0"/>
          <w:iCs w:val="0"/>
          <w:color w:val="auto"/>
          <w:szCs w:val="32"/>
        </w:rPr>
        <w:fldChar w:fldCharType="separate"/>
      </w:r>
      <w:r>
        <w:rPr>
          <w:rFonts w:hint="eastAsia"/>
          <w:i w:val="0"/>
          <w:iCs w:val="0"/>
          <w:color w:val="auto"/>
          <w:szCs w:val="24"/>
        </w:rPr>
        <w:t xml:space="preserve">4.3.4 </w:t>
      </w:r>
      <w:r>
        <w:rPr>
          <w:i w:val="0"/>
          <w:iCs w:val="0"/>
          <w:color w:val="auto"/>
          <w:szCs w:val="24"/>
        </w:rPr>
        <w:t>声环境质量现状评价</w:t>
      </w:r>
      <w:r>
        <w:rPr>
          <w:i w:val="0"/>
          <w:iCs w:val="0"/>
          <w:color w:val="auto"/>
        </w:rPr>
        <w:tab/>
      </w:r>
      <w:r>
        <w:rPr>
          <w:i w:val="0"/>
          <w:iCs w:val="0"/>
          <w:color w:val="auto"/>
        </w:rPr>
        <w:fldChar w:fldCharType="begin"/>
      </w:r>
      <w:r>
        <w:rPr>
          <w:i w:val="0"/>
          <w:iCs w:val="0"/>
          <w:color w:val="auto"/>
        </w:rPr>
        <w:instrText xml:space="preserve"> PAGEREF _Toc17148 \h </w:instrText>
      </w:r>
      <w:r>
        <w:rPr>
          <w:i w:val="0"/>
          <w:iCs w:val="0"/>
          <w:color w:val="auto"/>
        </w:rPr>
        <w:fldChar w:fldCharType="separate"/>
      </w:r>
      <w:r>
        <w:rPr>
          <w:i w:val="0"/>
          <w:iCs w:val="0"/>
          <w:color w:val="auto"/>
        </w:rPr>
        <w:t>79</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_Toc23715 </w:instrText>
      </w:r>
      <w:r>
        <w:rPr>
          <w:rFonts w:eastAsiaTheme="minorEastAsia"/>
          <w:bCs/>
          <w:i w:val="0"/>
          <w:iCs w:val="0"/>
          <w:color w:val="auto"/>
          <w:szCs w:val="32"/>
        </w:rPr>
        <w:fldChar w:fldCharType="separate"/>
      </w:r>
      <w:r>
        <w:rPr>
          <w:rFonts w:hint="eastAsia"/>
          <w:i w:val="0"/>
          <w:iCs w:val="0"/>
          <w:color w:val="auto"/>
          <w:szCs w:val="24"/>
        </w:rPr>
        <w:t xml:space="preserve">4.3.5 </w:t>
      </w:r>
      <w:r>
        <w:rPr>
          <w:i w:val="0"/>
          <w:iCs w:val="0"/>
          <w:color w:val="auto"/>
          <w:szCs w:val="24"/>
        </w:rPr>
        <w:t>土壤环境现状监测与评价</w:t>
      </w:r>
      <w:r>
        <w:rPr>
          <w:i w:val="0"/>
          <w:iCs w:val="0"/>
          <w:color w:val="auto"/>
        </w:rPr>
        <w:tab/>
      </w:r>
      <w:r>
        <w:rPr>
          <w:i w:val="0"/>
          <w:iCs w:val="0"/>
          <w:color w:val="auto"/>
        </w:rPr>
        <w:fldChar w:fldCharType="begin"/>
      </w:r>
      <w:r>
        <w:rPr>
          <w:i w:val="0"/>
          <w:iCs w:val="0"/>
          <w:color w:val="auto"/>
        </w:rPr>
        <w:instrText xml:space="preserve"> PAGEREF _Toc23715 \h </w:instrText>
      </w:r>
      <w:r>
        <w:rPr>
          <w:i w:val="0"/>
          <w:iCs w:val="0"/>
          <w:color w:val="auto"/>
        </w:rPr>
        <w:fldChar w:fldCharType="separate"/>
      </w:r>
      <w:r>
        <w:rPr>
          <w:i w:val="0"/>
          <w:iCs w:val="0"/>
          <w:color w:val="auto"/>
        </w:rPr>
        <w:t>80</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_Toc20677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4.4 </w:t>
      </w:r>
      <w:r>
        <w:rPr>
          <w:rFonts w:ascii="Times New Roman" w:hAnsi="Times New Roman" w:cs="Times New Roman" w:eastAsiaTheme="majorEastAsia"/>
          <w:bCs/>
          <w:i w:val="0"/>
          <w:iCs w:val="0"/>
          <w:color w:val="auto"/>
          <w:kern w:val="2"/>
          <w:szCs w:val="32"/>
          <w:lang w:val="en-US" w:eastAsia="zh-CN"/>
        </w:rPr>
        <w:t>区域污染源调查</w:t>
      </w:r>
      <w:r>
        <w:rPr>
          <w:i w:val="0"/>
          <w:iCs w:val="0"/>
          <w:color w:val="auto"/>
        </w:rPr>
        <w:tab/>
      </w:r>
      <w:r>
        <w:rPr>
          <w:i w:val="0"/>
          <w:iCs w:val="0"/>
          <w:color w:val="auto"/>
        </w:rPr>
        <w:fldChar w:fldCharType="begin"/>
      </w:r>
      <w:r>
        <w:rPr>
          <w:i w:val="0"/>
          <w:iCs w:val="0"/>
          <w:color w:val="auto"/>
        </w:rPr>
        <w:instrText xml:space="preserve"> PAGEREF _Toc20677 \h </w:instrText>
      </w:r>
      <w:r>
        <w:rPr>
          <w:i w:val="0"/>
          <w:iCs w:val="0"/>
          <w:color w:val="auto"/>
        </w:rPr>
        <w:fldChar w:fldCharType="separate"/>
      </w:r>
      <w:r>
        <w:rPr>
          <w:i w:val="0"/>
          <w:iCs w:val="0"/>
          <w:color w:val="auto"/>
        </w:rPr>
        <w:t>82</w:t>
      </w:r>
      <w:r>
        <w:rPr>
          <w:i w:val="0"/>
          <w:iCs w:val="0"/>
          <w:color w:val="auto"/>
        </w:rPr>
        <w:fldChar w:fldCharType="end"/>
      </w:r>
      <w:r>
        <w:rPr>
          <w:rFonts w:eastAsiaTheme="minorEastAsia"/>
          <w:bCs/>
          <w:i w:val="0"/>
          <w:iCs w:val="0"/>
          <w:color w:val="auto"/>
          <w:szCs w:val="32"/>
        </w:rPr>
        <w:fldChar w:fldCharType="end"/>
      </w:r>
    </w:p>
    <w:p>
      <w:pPr>
        <w:pStyle w:val="60"/>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_Toc22125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5. 环境影响预测与评价</w:t>
      </w:r>
      <w:r>
        <w:rPr>
          <w:i w:val="0"/>
          <w:iCs w:val="0"/>
          <w:color w:val="auto"/>
        </w:rPr>
        <w:tab/>
      </w:r>
      <w:r>
        <w:rPr>
          <w:i w:val="0"/>
          <w:iCs w:val="0"/>
          <w:color w:val="auto"/>
        </w:rPr>
        <w:fldChar w:fldCharType="begin"/>
      </w:r>
      <w:r>
        <w:rPr>
          <w:i w:val="0"/>
          <w:iCs w:val="0"/>
          <w:color w:val="auto"/>
        </w:rPr>
        <w:instrText xml:space="preserve"> PAGEREF _Toc22125 \h </w:instrText>
      </w:r>
      <w:r>
        <w:rPr>
          <w:i w:val="0"/>
          <w:iCs w:val="0"/>
          <w:color w:val="auto"/>
        </w:rPr>
        <w:fldChar w:fldCharType="separate"/>
      </w:r>
      <w:r>
        <w:rPr>
          <w:i w:val="0"/>
          <w:iCs w:val="0"/>
          <w:color w:val="auto"/>
        </w:rPr>
        <w:t>83</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_Toc17951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5.1 </w:t>
      </w:r>
      <w:r>
        <w:rPr>
          <w:rFonts w:ascii="Times New Roman" w:hAnsi="Times New Roman" w:cs="Times New Roman" w:eastAsiaTheme="majorEastAsia"/>
          <w:bCs/>
          <w:i w:val="0"/>
          <w:iCs w:val="0"/>
          <w:color w:val="auto"/>
          <w:kern w:val="2"/>
          <w:szCs w:val="32"/>
          <w:lang w:val="en-US" w:eastAsia="zh-CN"/>
        </w:rPr>
        <w:t>施工期环境影响预测与评价</w:t>
      </w:r>
      <w:r>
        <w:rPr>
          <w:i w:val="0"/>
          <w:iCs w:val="0"/>
          <w:color w:val="auto"/>
        </w:rPr>
        <w:tab/>
      </w:r>
      <w:r>
        <w:rPr>
          <w:i w:val="0"/>
          <w:iCs w:val="0"/>
          <w:color w:val="auto"/>
        </w:rPr>
        <w:fldChar w:fldCharType="begin"/>
      </w:r>
      <w:r>
        <w:rPr>
          <w:i w:val="0"/>
          <w:iCs w:val="0"/>
          <w:color w:val="auto"/>
        </w:rPr>
        <w:instrText xml:space="preserve"> PAGEREF _Toc17951 \h </w:instrText>
      </w:r>
      <w:r>
        <w:rPr>
          <w:i w:val="0"/>
          <w:iCs w:val="0"/>
          <w:color w:val="auto"/>
        </w:rPr>
        <w:fldChar w:fldCharType="separate"/>
      </w:r>
      <w:r>
        <w:rPr>
          <w:i w:val="0"/>
          <w:iCs w:val="0"/>
          <w:color w:val="auto"/>
        </w:rPr>
        <w:t>83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_Toc44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5.1.1 </w:t>
      </w:r>
      <w:r>
        <w:rPr>
          <w:rFonts w:hint="default" w:ascii="Times New Roman" w:hAnsi="Times New Roman" w:cs="Times New Roman" w:eastAsiaTheme="majorEastAsia"/>
          <w:bCs w:val="0"/>
          <w:i w:val="0"/>
          <w:iCs w:val="0"/>
          <w:color w:val="auto"/>
          <w:szCs w:val="24"/>
        </w:rPr>
        <w:t>施工期生态环境影响分析</w:t>
      </w:r>
      <w:r>
        <w:rPr>
          <w:i w:val="0"/>
          <w:iCs w:val="0"/>
          <w:color w:val="auto"/>
        </w:rPr>
        <w:tab/>
      </w:r>
      <w:r>
        <w:rPr>
          <w:i w:val="0"/>
          <w:iCs w:val="0"/>
          <w:color w:val="auto"/>
        </w:rPr>
        <w:fldChar w:fldCharType="begin"/>
      </w:r>
      <w:r>
        <w:rPr>
          <w:i w:val="0"/>
          <w:iCs w:val="0"/>
          <w:color w:val="auto"/>
        </w:rPr>
        <w:instrText xml:space="preserve"> PAGEREF _Toc44 \h </w:instrText>
      </w:r>
      <w:r>
        <w:rPr>
          <w:i w:val="0"/>
          <w:iCs w:val="0"/>
          <w:color w:val="auto"/>
        </w:rPr>
        <w:fldChar w:fldCharType="separate"/>
      </w:r>
      <w:r>
        <w:rPr>
          <w:i w:val="0"/>
          <w:iCs w:val="0"/>
          <w:color w:val="auto"/>
        </w:rPr>
        <w:t>83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_Toc8713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5.1.2 </w:t>
      </w:r>
      <w:r>
        <w:rPr>
          <w:rFonts w:hint="default" w:ascii="Times New Roman" w:hAnsi="Times New Roman" w:cs="Times New Roman" w:eastAsiaTheme="majorEastAsia"/>
          <w:bCs w:val="0"/>
          <w:i w:val="0"/>
          <w:iCs w:val="0"/>
          <w:color w:val="auto"/>
          <w:szCs w:val="24"/>
        </w:rPr>
        <w:t>施工期噪声影响分析</w:t>
      </w:r>
      <w:r>
        <w:rPr>
          <w:i w:val="0"/>
          <w:iCs w:val="0"/>
          <w:color w:val="auto"/>
        </w:rPr>
        <w:tab/>
      </w:r>
      <w:r>
        <w:rPr>
          <w:i w:val="0"/>
          <w:iCs w:val="0"/>
          <w:color w:val="auto"/>
        </w:rPr>
        <w:fldChar w:fldCharType="begin"/>
      </w:r>
      <w:r>
        <w:rPr>
          <w:i w:val="0"/>
          <w:iCs w:val="0"/>
          <w:color w:val="auto"/>
        </w:rPr>
        <w:instrText xml:space="preserve"> PAGEREF _Toc8713 \h </w:instrText>
      </w:r>
      <w:r>
        <w:rPr>
          <w:i w:val="0"/>
          <w:iCs w:val="0"/>
          <w:color w:val="auto"/>
        </w:rPr>
        <w:fldChar w:fldCharType="separate"/>
      </w:r>
      <w:r>
        <w:rPr>
          <w:i w:val="0"/>
          <w:iCs w:val="0"/>
          <w:color w:val="auto"/>
        </w:rPr>
        <w:t>83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_Toc18967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5.1.3 </w:t>
      </w:r>
      <w:r>
        <w:rPr>
          <w:rFonts w:hint="default" w:ascii="Times New Roman" w:hAnsi="Times New Roman" w:cs="Times New Roman" w:eastAsiaTheme="majorEastAsia"/>
          <w:bCs w:val="0"/>
          <w:i w:val="0"/>
          <w:iCs w:val="0"/>
          <w:color w:val="auto"/>
          <w:szCs w:val="24"/>
        </w:rPr>
        <w:t>施工</w:t>
      </w:r>
      <w:r>
        <w:rPr>
          <w:rFonts w:hint="eastAsia" w:cs="Times New Roman" w:eastAsiaTheme="majorEastAsia"/>
          <w:bCs w:val="0"/>
          <w:i w:val="0"/>
          <w:iCs w:val="0"/>
          <w:color w:val="auto"/>
          <w:szCs w:val="24"/>
          <w:lang w:val="en-US" w:eastAsia="zh-CN"/>
        </w:rPr>
        <w:t>大气</w:t>
      </w:r>
      <w:r>
        <w:rPr>
          <w:rFonts w:hint="default" w:ascii="Times New Roman" w:hAnsi="Times New Roman" w:cs="Times New Roman" w:eastAsiaTheme="majorEastAsia"/>
          <w:bCs w:val="0"/>
          <w:i w:val="0"/>
          <w:iCs w:val="0"/>
          <w:color w:val="auto"/>
          <w:szCs w:val="24"/>
        </w:rPr>
        <w:t>环境影响分析</w:t>
      </w:r>
      <w:r>
        <w:rPr>
          <w:i w:val="0"/>
          <w:iCs w:val="0"/>
          <w:color w:val="auto"/>
        </w:rPr>
        <w:tab/>
      </w:r>
      <w:r>
        <w:rPr>
          <w:i w:val="0"/>
          <w:iCs w:val="0"/>
          <w:color w:val="auto"/>
        </w:rPr>
        <w:fldChar w:fldCharType="begin"/>
      </w:r>
      <w:r>
        <w:rPr>
          <w:i w:val="0"/>
          <w:iCs w:val="0"/>
          <w:color w:val="auto"/>
        </w:rPr>
        <w:instrText xml:space="preserve"> PAGEREF _Toc18967 \h </w:instrText>
      </w:r>
      <w:r>
        <w:rPr>
          <w:i w:val="0"/>
          <w:iCs w:val="0"/>
          <w:color w:val="auto"/>
        </w:rPr>
        <w:fldChar w:fldCharType="separate"/>
      </w:r>
      <w:r>
        <w:rPr>
          <w:i w:val="0"/>
          <w:iCs w:val="0"/>
          <w:color w:val="auto"/>
        </w:rPr>
        <w:t>85</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_Toc28653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5.1.4 </w:t>
      </w:r>
      <w:r>
        <w:rPr>
          <w:rFonts w:hint="default" w:ascii="Times New Roman" w:hAnsi="Times New Roman" w:cs="Times New Roman" w:eastAsiaTheme="majorEastAsia"/>
          <w:bCs w:val="0"/>
          <w:i w:val="0"/>
          <w:iCs w:val="0"/>
          <w:color w:val="auto"/>
          <w:szCs w:val="24"/>
        </w:rPr>
        <w:t>施工期固体废物对环境的影响分析</w:t>
      </w:r>
      <w:r>
        <w:rPr>
          <w:i w:val="0"/>
          <w:iCs w:val="0"/>
          <w:color w:val="auto"/>
        </w:rPr>
        <w:tab/>
      </w:r>
      <w:r>
        <w:rPr>
          <w:i w:val="0"/>
          <w:iCs w:val="0"/>
          <w:color w:val="auto"/>
        </w:rPr>
        <w:fldChar w:fldCharType="begin"/>
      </w:r>
      <w:r>
        <w:rPr>
          <w:i w:val="0"/>
          <w:iCs w:val="0"/>
          <w:color w:val="auto"/>
        </w:rPr>
        <w:instrText xml:space="preserve"> PAGEREF _Toc28653 \h </w:instrText>
      </w:r>
      <w:r>
        <w:rPr>
          <w:i w:val="0"/>
          <w:iCs w:val="0"/>
          <w:color w:val="auto"/>
        </w:rPr>
        <w:fldChar w:fldCharType="separate"/>
      </w:r>
      <w:r>
        <w:rPr>
          <w:i w:val="0"/>
          <w:iCs w:val="0"/>
          <w:color w:val="auto"/>
        </w:rPr>
        <w:t>85</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_Toc3994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5.1.5 </w:t>
      </w:r>
      <w:r>
        <w:rPr>
          <w:rFonts w:hint="default" w:ascii="Times New Roman" w:hAnsi="Times New Roman" w:cs="Times New Roman" w:eastAsiaTheme="majorEastAsia"/>
          <w:bCs w:val="0"/>
          <w:i w:val="0"/>
          <w:iCs w:val="0"/>
          <w:color w:val="auto"/>
          <w:szCs w:val="24"/>
        </w:rPr>
        <w:t>施工期废(污)水影响预测分析</w:t>
      </w:r>
      <w:r>
        <w:rPr>
          <w:i w:val="0"/>
          <w:iCs w:val="0"/>
          <w:color w:val="auto"/>
        </w:rPr>
        <w:tab/>
      </w:r>
      <w:r>
        <w:rPr>
          <w:i w:val="0"/>
          <w:iCs w:val="0"/>
          <w:color w:val="auto"/>
        </w:rPr>
        <w:fldChar w:fldCharType="begin"/>
      </w:r>
      <w:r>
        <w:rPr>
          <w:i w:val="0"/>
          <w:iCs w:val="0"/>
          <w:color w:val="auto"/>
        </w:rPr>
        <w:instrText xml:space="preserve"> PAGEREF _Toc3994 \h </w:instrText>
      </w:r>
      <w:r>
        <w:rPr>
          <w:i w:val="0"/>
          <w:iCs w:val="0"/>
          <w:color w:val="auto"/>
        </w:rPr>
        <w:fldChar w:fldCharType="separate"/>
      </w:r>
      <w:r>
        <w:rPr>
          <w:i w:val="0"/>
          <w:iCs w:val="0"/>
          <w:color w:val="auto"/>
        </w:rPr>
        <w:t>85</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_Toc31612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5.1.6 </w:t>
      </w:r>
      <w:r>
        <w:rPr>
          <w:rFonts w:hint="default" w:ascii="Times New Roman" w:hAnsi="Times New Roman" w:cs="Times New Roman" w:eastAsiaTheme="majorEastAsia"/>
          <w:bCs w:val="0"/>
          <w:i w:val="0"/>
          <w:iCs w:val="0"/>
          <w:color w:val="auto"/>
          <w:szCs w:val="24"/>
        </w:rPr>
        <w:t>施工期环境影响的对策</w:t>
      </w:r>
      <w:r>
        <w:rPr>
          <w:i w:val="0"/>
          <w:iCs w:val="0"/>
          <w:color w:val="auto"/>
        </w:rPr>
        <w:tab/>
      </w:r>
      <w:r>
        <w:rPr>
          <w:i w:val="0"/>
          <w:iCs w:val="0"/>
          <w:color w:val="auto"/>
        </w:rPr>
        <w:fldChar w:fldCharType="begin"/>
      </w:r>
      <w:r>
        <w:rPr>
          <w:i w:val="0"/>
          <w:iCs w:val="0"/>
          <w:color w:val="auto"/>
        </w:rPr>
        <w:instrText xml:space="preserve"> PAGEREF _Toc31612 \h </w:instrText>
      </w:r>
      <w:r>
        <w:rPr>
          <w:i w:val="0"/>
          <w:iCs w:val="0"/>
          <w:color w:val="auto"/>
        </w:rPr>
        <w:fldChar w:fldCharType="separate"/>
      </w:r>
      <w:r>
        <w:rPr>
          <w:i w:val="0"/>
          <w:iCs w:val="0"/>
          <w:color w:val="auto"/>
        </w:rPr>
        <w:t>85</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_Toc7112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5.1.7 </w:t>
      </w:r>
      <w:r>
        <w:rPr>
          <w:rFonts w:hint="default" w:ascii="Times New Roman" w:hAnsi="Times New Roman" w:cs="Times New Roman" w:eastAsiaTheme="majorEastAsia"/>
          <w:bCs w:val="0"/>
          <w:i w:val="0"/>
          <w:iCs w:val="0"/>
          <w:color w:val="auto"/>
          <w:szCs w:val="24"/>
        </w:rPr>
        <w:t>水土保持</w:t>
      </w:r>
      <w:r>
        <w:rPr>
          <w:i w:val="0"/>
          <w:iCs w:val="0"/>
          <w:color w:val="auto"/>
        </w:rPr>
        <w:tab/>
      </w:r>
      <w:r>
        <w:rPr>
          <w:i w:val="0"/>
          <w:iCs w:val="0"/>
          <w:color w:val="auto"/>
        </w:rPr>
        <w:fldChar w:fldCharType="begin"/>
      </w:r>
      <w:r>
        <w:rPr>
          <w:i w:val="0"/>
          <w:iCs w:val="0"/>
          <w:color w:val="auto"/>
        </w:rPr>
        <w:instrText xml:space="preserve"> PAGEREF _Toc7112 \h </w:instrText>
      </w:r>
      <w:r>
        <w:rPr>
          <w:i w:val="0"/>
          <w:iCs w:val="0"/>
          <w:color w:val="auto"/>
        </w:rPr>
        <w:fldChar w:fldCharType="separate"/>
      </w:r>
      <w:r>
        <w:rPr>
          <w:i w:val="0"/>
          <w:iCs w:val="0"/>
          <w:color w:val="auto"/>
        </w:rPr>
        <w:t>86</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_Toc249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5.2 </w:t>
      </w:r>
      <w:r>
        <w:rPr>
          <w:rFonts w:ascii="Times New Roman" w:hAnsi="Times New Roman" w:cs="Times New Roman" w:eastAsiaTheme="majorEastAsia"/>
          <w:bCs/>
          <w:i w:val="0"/>
          <w:iCs w:val="0"/>
          <w:color w:val="auto"/>
          <w:kern w:val="2"/>
          <w:szCs w:val="32"/>
          <w:lang w:val="en-US" w:eastAsia="zh-CN"/>
        </w:rPr>
        <w:t>运营期环境影响预测与评价</w:t>
      </w:r>
      <w:r>
        <w:rPr>
          <w:i w:val="0"/>
          <w:iCs w:val="0"/>
          <w:color w:val="auto"/>
        </w:rPr>
        <w:tab/>
      </w:r>
      <w:r>
        <w:rPr>
          <w:i w:val="0"/>
          <w:iCs w:val="0"/>
          <w:color w:val="auto"/>
        </w:rPr>
        <w:fldChar w:fldCharType="begin"/>
      </w:r>
      <w:r>
        <w:rPr>
          <w:i w:val="0"/>
          <w:iCs w:val="0"/>
          <w:color w:val="auto"/>
        </w:rPr>
        <w:instrText xml:space="preserve"> PAGEREF _Toc249 \h </w:instrText>
      </w:r>
      <w:r>
        <w:rPr>
          <w:i w:val="0"/>
          <w:iCs w:val="0"/>
          <w:color w:val="auto"/>
        </w:rPr>
        <w:fldChar w:fldCharType="separate"/>
      </w:r>
      <w:r>
        <w:rPr>
          <w:i w:val="0"/>
          <w:iCs w:val="0"/>
          <w:color w:val="auto"/>
        </w:rPr>
        <w:t>87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_Toc26968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5.2.1 </w:t>
      </w:r>
      <w:r>
        <w:rPr>
          <w:rFonts w:hint="default" w:ascii="Times New Roman" w:hAnsi="Times New Roman" w:cs="Times New Roman" w:eastAsiaTheme="majorEastAsia"/>
          <w:bCs w:val="0"/>
          <w:i w:val="0"/>
          <w:iCs w:val="0"/>
          <w:color w:val="auto"/>
          <w:szCs w:val="24"/>
        </w:rPr>
        <w:t>地下水环境影响分析</w:t>
      </w:r>
      <w:r>
        <w:rPr>
          <w:i w:val="0"/>
          <w:iCs w:val="0"/>
          <w:color w:val="auto"/>
        </w:rPr>
        <w:tab/>
      </w:r>
      <w:r>
        <w:rPr>
          <w:i w:val="0"/>
          <w:iCs w:val="0"/>
          <w:color w:val="auto"/>
        </w:rPr>
        <w:fldChar w:fldCharType="begin"/>
      </w:r>
      <w:r>
        <w:rPr>
          <w:i w:val="0"/>
          <w:iCs w:val="0"/>
          <w:color w:val="auto"/>
        </w:rPr>
        <w:instrText xml:space="preserve"> PAGEREF _Toc26968 \h </w:instrText>
      </w:r>
      <w:r>
        <w:rPr>
          <w:i w:val="0"/>
          <w:iCs w:val="0"/>
          <w:color w:val="auto"/>
        </w:rPr>
        <w:fldChar w:fldCharType="separate"/>
      </w:r>
      <w:r>
        <w:rPr>
          <w:i w:val="0"/>
          <w:iCs w:val="0"/>
          <w:color w:val="auto"/>
        </w:rPr>
        <w:t>87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_Toc27093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5.2.2 </w:t>
      </w:r>
      <w:r>
        <w:rPr>
          <w:rFonts w:hint="default" w:ascii="Times New Roman" w:hAnsi="Times New Roman" w:cs="Times New Roman" w:eastAsiaTheme="majorEastAsia"/>
          <w:bCs w:val="0"/>
          <w:i w:val="0"/>
          <w:iCs w:val="0"/>
          <w:color w:val="auto"/>
          <w:szCs w:val="24"/>
        </w:rPr>
        <w:t>地表水环境影响分析</w:t>
      </w:r>
      <w:r>
        <w:rPr>
          <w:i w:val="0"/>
          <w:iCs w:val="0"/>
          <w:color w:val="auto"/>
        </w:rPr>
        <w:tab/>
      </w:r>
      <w:r>
        <w:rPr>
          <w:i w:val="0"/>
          <w:iCs w:val="0"/>
          <w:color w:val="auto"/>
        </w:rPr>
        <w:fldChar w:fldCharType="begin"/>
      </w:r>
      <w:r>
        <w:rPr>
          <w:i w:val="0"/>
          <w:iCs w:val="0"/>
          <w:color w:val="auto"/>
        </w:rPr>
        <w:instrText xml:space="preserve"> PAGEREF _Toc27093 \h </w:instrText>
      </w:r>
      <w:r>
        <w:rPr>
          <w:i w:val="0"/>
          <w:iCs w:val="0"/>
          <w:color w:val="auto"/>
        </w:rPr>
        <w:fldChar w:fldCharType="separate"/>
      </w:r>
      <w:r>
        <w:rPr>
          <w:i w:val="0"/>
          <w:iCs w:val="0"/>
          <w:color w:val="auto"/>
        </w:rPr>
        <w:t>96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_Toc30525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5.2.3 </w:t>
      </w:r>
      <w:r>
        <w:rPr>
          <w:rFonts w:hint="default" w:ascii="Times New Roman" w:hAnsi="Times New Roman" w:cs="Times New Roman" w:eastAsiaTheme="majorEastAsia"/>
          <w:bCs w:val="0"/>
          <w:i w:val="0"/>
          <w:iCs w:val="0"/>
          <w:color w:val="auto"/>
          <w:szCs w:val="24"/>
        </w:rPr>
        <w:t>大气环境影响分析</w:t>
      </w:r>
      <w:r>
        <w:rPr>
          <w:i w:val="0"/>
          <w:iCs w:val="0"/>
          <w:color w:val="auto"/>
        </w:rPr>
        <w:tab/>
      </w:r>
      <w:r>
        <w:rPr>
          <w:i w:val="0"/>
          <w:iCs w:val="0"/>
          <w:color w:val="auto"/>
        </w:rPr>
        <w:fldChar w:fldCharType="begin"/>
      </w:r>
      <w:r>
        <w:rPr>
          <w:i w:val="0"/>
          <w:iCs w:val="0"/>
          <w:color w:val="auto"/>
        </w:rPr>
        <w:instrText xml:space="preserve"> PAGEREF _Toc30525 \h </w:instrText>
      </w:r>
      <w:r>
        <w:rPr>
          <w:i w:val="0"/>
          <w:iCs w:val="0"/>
          <w:color w:val="auto"/>
        </w:rPr>
        <w:fldChar w:fldCharType="separate"/>
      </w:r>
      <w:r>
        <w:rPr>
          <w:i w:val="0"/>
          <w:iCs w:val="0"/>
          <w:color w:val="auto"/>
        </w:rPr>
        <w:t>96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_Toc12122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5.2.4 </w:t>
      </w:r>
      <w:r>
        <w:rPr>
          <w:rFonts w:hint="default" w:ascii="Times New Roman" w:hAnsi="Times New Roman" w:cs="Times New Roman" w:eastAsiaTheme="majorEastAsia"/>
          <w:bCs w:val="0"/>
          <w:i w:val="0"/>
          <w:iCs w:val="0"/>
          <w:color w:val="auto"/>
          <w:szCs w:val="24"/>
        </w:rPr>
        <w:t>声学环境影响分析</w:t>
      </w:r>
      <w:r>
        <w:rPr>
          <w:i w:val="0"/>
          <w:iCs w:val="0"/>
          <w:color w:val="auto"/>
        </w:rPr>
        <w:tab/>
      </w:r>
      <w:r>
        <w:rPr>
          <w:i w:val="0"/>
          <w:iCs w:val="0"/>
          <w:color w:val="auto"/>
        </w:rPr>
        <w:fldChar w:fldCharType="begin"/>
      </w:r>
      <w:r>
        <w:rPr>
          <w:i w:val="0"/>
          <w:iCs w:val="0"/>
          <w:color w:val="auto"/>
        </w:rPr>
        <w:instrText xml:space="preserve"> PAGEREF _Toc12122 \h </w:instrText>
      </w:r>
      <w:r>
        <w:rPr>
          <w:i w:val="0"/>
          <w:iCs w:val="0"/>
          <w:color w:val="auto"/>
        </w:rPr>
        <w:fldChar w:fldCharType="separate"/>
      </w:r>
      <w:r>
        <w:rPr>
          <w:i w:val="0"/>
          <w:iCs w:val="0"/>
          <w:color w:val="auto"/>
        </w:rPr>
        <w:t>102</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_Toc32567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5.2.5 </w:t>
      </w:r>
      <w:r>
        <w:rPr>
          <w:rFonts w:hint="default" w:ascii="Times New Roman" w:hAnsi="Times New Roman" w:cs="Times New Roman" w:eastAsiaTheme="majorEastAsia"/>
          <w:bCs w:val="0"/>
          <w:i w:val="0"/>
          <w:iCs w:val="0"/>
          <w:color w:val="auto"/>
          <w:szCs w:val="24"/>
        </w:rPr>
        <w:t>固体废物环境影响分析</w:t>
      </w:r>
      <w:r>
        <w:rPr>
          <w:i w:val="0"/>
          <w:iCs w:val="0"/>
          <w:color w:val="auto"/>
        </w:rPr>
        <w:tab/>
      </w:r>
      <w:r>
        <w:rPr>
          <w:i w:val="0"/>
          <w:iCs w:val="0"/>
          <w:color w:val="auto"/>
        </w:rPr>
        <w:fldChar w:fldCharType="begin"/>
      </w:r>
      <w:r>
        <w:rPr>
          <w:i w:val="0"/>
          <w:iCs w:val="0"/>
          <w:color w:val="auto"/>
        </w:rPr>
        <w:instrText xml:space="preserve"> PAGEREF _Toc32567 \h </w:instrText>
      </w:r>
      <w:r>
        <w:rPr>
          <w:i w:val="0"/>
          <w:iCs w:val="0"/>
          <w:color w:val="auto"/>
        </w:rPr>
        <w:fldChar w:fldCharType="separate"/>
      </w:r>
      <w:r>
        <w:rPr>
          <w:i w:val="0"/>
          <w:iCs w:val="0"/>
          <w:color w:val="auto"/>
        </w:rPr>
        <w:t>109</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_Toc7032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5.2.6 </w:t>
      </w:r>
      <w:r>
        <w:rPr>
          <w:rFonts w:hint="default" w:ascii="Times New Roman" w:hAnsi="Times New Roman" w:cs="Times New Roman" w:eastAsiaTheme="majorEastAsia"/>
          <w:bCs w:val="0"/>
          <w:i w:val="0"/>
          <w:iCs w:val="0"/>
          <w:color w:val="auto"/>
          <w:szCs w:val="24"/>
        </w:rPr>
        <w:t>土壤环境影响分析</w:t>
      </w:r>
      <w:r>
        <w:rPr>
          <w:i w:val="0"/>
          <w:iCs w:val="0"/>
          <w:color w:val="auto"/>
        </w:rPr>
        <w:tab/>
      </w:r>
      <w:r>
        <w:rPr>
          <w:i w:val="0"/>
          <w:iCs w:val="0"/>
          <w:color w:val="auto"/>
        </w:rPr>
        <w:fldChar w:fldCharType="begin"/>
      </w:r>
      <w:r>
        <w:rPr>
          <w:i w:val="0"/>
          <w:iCs w:val="0"/>
          <w:color w:val="auto"/>
        </w:rPr>
        <w:instrText xml:space="preserve"> PAGEREF _Toc7032 \h </w:instrText>
      </w:r>
      <w:r>
        <w:rPr>
          <w:i w:val="0"/>
          <w:iCs w:val="0"/>
          <w:color w:val="auto"/>
        </w:rPr>
        <w:fldChar w:fldCharType="separate"/>
      </w:r>
      <w:r>
        <w:rPr>
          <w:i w:val="0"/>
          <w:iCs w:val="0"/>
          <w:color w:val="auto"/>
        </w:rPr>
        <w:t>111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_Toc1499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5.2.7 环境风险</w:t>
      </w:r>
      <w:r>
        <w:rPr>
          <w:i w:val="0"/>
          <w:iCs w:val="0"/>
          <w:color w:val="auto"/>
        </w:rPr>
        <w:tab/>
      </w:r>
      <w:r>
        <w:rPr>
          <w:i w:val="0"/>
          <w:iCs w:val="0"/>
          <w:color w:val="auto"/>
        </w:rPr>
        <w:fldChar w:fldCharType="begin"/>
      </w:r>
      <w:r>
        <w:rPr>
          <w:i w:val="0"/>
          <w:iCs w:val="0"/>
          <w:color w:val="auto"/>
        </w:rPr>
        <w:instrText xml:space="preserve"> PAGEREF _Toc1499 \h </w:instrText>
      </w:r>
      <w:r>
        <w:rPr>
          <w:i w:val="0"/>
          <w:iCs w:val="0"/>
          <w:color w:val="auto"/>
        </w:rPr>
        <w:fldChar w:fldCharType="separate"/>
      </w:r>
      <w:r>
        <w:rPr>
          <w:i w:val="0"/>
          <w:iCs w:val="0"/>
          <w:color w:val="auto"/>
        </w:rPr>
        <w:t>112</w:t>
      </w:r>
      <w:r>
        <w:rPr>
          <w:i w:val="0"/>
          <w:iCs w:val="0"/>
          <w:color w:val="auto"/>
        </w:rPr>
        <w:fldChar w:fldCharType="end"/>
      </w:r>
      <w:r>
        <w:rPr>
          <w:rFonts w:eastAsiaTheme="minorEastAsia"/>
          <w:bCs/>
          <w:i w:val="0"/>
          <w:iCs w:val="0"/>
          <w:color w:val="auto"/>
          <w:szCs w:val="32"/>
        </w:rPr>
        <w:fldChar w:fldCharType="end"/>
      </w:r>
    </w:p>
    <w:p>
      <w:pPr>
        <w:pStyle w:val="60"/>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_Toc8498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6. 环境保护措施及其可行性论证</w:t>
      </w:r>
      <w:r>
        <w:rPr>
          <w:i w:val="0"/>
          <w:iCs w:val="0"/>
          <w:color w:val="auto"/>
        </w:rPr>
        <w:tab/>
      </w:r>
      <w:r>
        <w:rPr>
          <w:i w:val="0"/>
          <w:iCs w:val="0"/>
          <w:color w:val="auto"/>
        </w:rPr>
        <w:fldChar w:fldCharType="begin"/>
      </w:r>
      <w:r>
        <w:rPr>
          <w:i w:val="0"/>
          <w:iCs w:val="0"/>
          <w:color w:val="auto"/>
        </w:rPr>
        <w:instrText xml:space="preserve"> PAGEREF _Toc8498 \h </w:instrText>
      </w:r>
      <w:r>
        <w:rPr>
          <w:i w:val="0"/>
          <w:iCs w:val="0"/>
          <w:color w:val="auto"/>
        </w:rPr>
        <w:fldChar w:fldCharType="separate"/>
      </w:r>
      <w:r>
        <w:rPr>
          <w:i w:val="0"/>
          <w:iCs w:val="0"/>
          <w:color w:val="auto"/>
        </w:rPr>
        <w:t>118</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_Toc14300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6.1 </w:t>
      </w:r>
      <w:r>
        <w:rPr>
          <w:rFonts w:ascii="Times New Roman" w:hAnsi="Times New Roman" w:cs="Times New Roman" w:eastAsiaTheme="majorEastAsia"/>
          <w:bCs/>
          <w:i w:val="0"/>
          <w:iCs w:val="0"/>
          <w:color w:val="auto"/>
          <w:kern w:val="2"/>
          <w:szCs w:val="32"/>
          <w:lang w:val="en-US" w:eastAsia="zh-CN"/>
        </w:rPr>
        <w:t>施工期</w:t>
      </w:r>
      <w:r>
        <w:rPr>
          <w:i w:val="0"/>
          <w:iCs w:val="0"/>
          <w:color w:val="auto"/>
        </w:rPr>
        <w:tab/>
      </w:r>
      <w:r>
        <w:rPr>
          <w:i w:val="0"/>
          <w:iCs w:val="0"/>
          <w:color w:val="auto"/>
        </w:rPr>
        <w:fldChar w:fldCharType="begin"/>
      </w:r>
      <w:r>
        <w:rPr>
          <w:i w:val="0"/>
          <w:iCs w:val="0"/>
          <w:color w:val="auto"/>
        </w:rPr>
        <w:instrText xml:space="preserve"> PAGEREF _Toc14300 \h </w:instrText>
      </w:r>
      <w:r>
        <w:rPr>
          <w:i w:val="0"/>
          <w:iCs w:val="0"/>
          <w:color w:val="auto"/>
        </w:rPr>
        <w:fldChar w:fldCharType="separate"/>
      </w:r>
      <w:r>
        <w:rPr>
          <w:i w:val="0"/>
          <w:iCs w:val="0"/>
          <w:color w:val="auto"/>
        </w:rPr>
        <w:t>118</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_Toc4415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6.1.1 </w:t>
      </w:r>
      <w:r>
        <w:rPr>
          <w:rFonts w:hint="default" w:ascii="Times New Roman" w:hAnsi="Times New Roman" w:cs="Times New Roman" w:eastAsiaTheme="majorEastAsia"/>
          <w:bCs w:val="0"/>
          <w:i w:val="0"/>
          <w:iCs w:val="0"/>
          <w:color w:val="auto"/>
          <w:szCs w:val="24"/>
        </w:rPr>
        <w:t>施工期</w:t>
      </w:r>
      <w:r>
        <w:rPr>
          <w:rFonts w:hint="eastAsia" w:ascii="Times New Roman" w:hAnsi="Times New Roman" w:cs="Times New Roman" w:eastAsiaTheme="majorEastAsia"/>
          <w:bCs w:val="0"/>
          <w:i w:val="0"/>
          <w:iCs w:val="0"/>
          <w:color w:val="auto"/>
          <w:szCs w:val="24"/>
        </w:rPr>
        <w:t>废水</w:t>
      </w:r>
      <w:r>
        <w:rPr>
          <w:i w:val="0"/>
          <w:iCs w:val="0"/>
          <w:color w:val="auto"/>
        </w:rPr>
        <w:tab/>
      </w:r>
      <w:r>
        <w:rPr>
          <w:i w:val="0"/>
          <w:iCs w:val="0"/>
          <w:color w:val="auto"/>
        </w:rPr>
        <w:fldChar w:fldCharType="begin"/>
      </w:r>
      <w:r>
        <w:rPr>
          <w:i w:val="0"/>
          <w:iCs w:val="0"/>
          <w:color w:val="auto"/>
        </w:rPr>
        <w:instrText xml:space="preserve"> PAGEREF _Toc4415 \h </w:instrText>
      </w:r>
      <w:r>
        <w:rPr>
          <w:i w:val="0"/>
          <w:iCs w:val="0"/>
          <w:color w:val="auto"/>
        </w:rPr>
        <w:fldChar w:fldCharType="separate"/>
      </w:r>
      <w:r>
        <w:rPr>
          <w:i w:val="0"/>
          <w:iCs w:val="0"/>
          <w:color w:val="auto"/>
        </w:rPr>
        <w:t>118</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_Toc26272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6.1.2 </w:t>
      </w:r>
      <w:r>
        <w:rPr>
          <w:rFonts w:hint="default" w:ascii="Times New Roman" w:hAnsi="Times New Roman" w:cs="Times New Roman" w:eastAsiaTheme="majorEastAsia"/>
          <w:bCs w:val="0"/>
          <w:i w:val="0"/>
          <w:iCs w:val="0"/>
          <w:color w:val="auto"/>
          <w:szCs w:val="24"/>
        </w:rPr>
        <w:t>施工期</w:t>
      </w:r>
      <w:r>
        <w:rPr>
          <w:rFonts w:hint="eastAsia" w:ascii="Times New Roman" w:hAnsi="Times New Roman" w:cs="Times New Roman" w:eastAsiaTheme="majorEastAsia"/>
          <w:bCs w:val="0"/>
          <w:i w:val="0"/>
          <w:iCs w:val="0"/>
          <w:color w:val="auto"/>
          <w:szCs w:val="24"/>
        </w:rPr>
        <w:t>废气</w:t>
      </w:r>
      <w:r>
        <w:rPr>
          <w:i w:val="0"/>
          <w:iCs w:val="0"/>
          <w:color w:val="auto"/>
        </w:rPr>
        <w:tab/>
      </w:r>
      <w:r>
        <w:rPr>
          <w:i w:val="0"/>
          <w:iCs w:val="0"/>
          <w:color w:val="auto"/>
        </w:rPr>
        <w:fldChar w:fldCharType="begin"/>
      </w:r>
      <w:r>
        <w:rPr>
          <w:i w:val="0"/>
          <w:iCs w:val="0"/>
          <w:color w:val="auto"/>
        </w:rPr>
        <w:instrText xml:space="preserve"> PAGEREF _Toc26272 \h </w:instrText>
      </w:r>
      <w:r>
        <w:rPr>
          <w:i w:val="0"/>
          <w:iCs w:val="0"/>
          <w:color w:val="auto"/>
        </w:rPr>
        <w:fldChar w:fldCharType="separate"/>
      </w:r>
      <w:r>
        <w:rPr>
          <w:i w:val="0"/>
          <w:iCs w:val="0"/>
          <w:color w:val="auto"/>
        </w:rPr>
        <w:t>118</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_Toc21717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6.1.3 </w:t>
      </w:r>
      <w:r>
        <w:rPr>
          <w:rFonts w:hint="default" w:ascii="Times New Roman" w:hAnsi="Times New Roman" w:cs="Times New Roman" w:eastAsiaTheme="majorEastAsia"/>
          <w:bCs w:val="0"/>
          <w:i w:val="0"/>
          <w:iCs w:val="0"/>
          <w:color w:val="auto"/>
          <w:szCs w:val="24"/>
        </w:rPr>
        <w:t>施工期</w:t>
      </w:r>
      <w:r>
        <w:rPr>
          <w:rFonts w:hint="eastAsia" w:ascii="Times New Roman" w:hAnsi="Times New Roman" w:cs="Times New Roman" w:eastAsiaTheme="majorEastAsia"/>
          <w:bCs w:val="0"/>
          <w:i w:val="0"/>
          <w:iCs w:val="0"/>
          <w:color w:val="auto"/>
          <w:szCs w:val="24"/>
        </w:rPr>
        <w:t>噪声</w:t>
      </w:r>
      <w:r>
        <w:rPr>
          <w:i w:val="0"/>
          <w:iCs w:val="0"/>
          <w:color w:val="auto"/>
        </w:rPr>
        <w:tab/>
      </w:r>
      <w:r>
        <w:rPr>
          <w:i w:val="0"/>
          <w:iCs w:val="0"/>
          <w:color w:val="auto"/>
        </w:rPr>
        <w:fldChar w:fldCharType="begin"/>
      </w:r>
      <w:r>
        <w:rPr>
          <w:i w:val="0"/>
          <w:iCs w:val="0"/>
          <w:color w:val="auto"/>
        </w:rPr>
        <w:instrText xml:space="preserve"> PAGEREF _Toc21717 \h </w:instrText>
      </w:r>
      <w:r>
        <w:rPr>
          <w:i w:val="0"/>
          <w:iCs w:val="0"/>
          <w:color w:val="auto"/>
        </w:rPr>
        <w:fldChar w:fldCharType="separate"/>
      </w:r>
      <w:r>
        <w:rPr>
          <w:i w:val="0"/>
          <w:iCs w:val="0"/>
          <w:color w:val="auto"/>
        </w:rPr>
        <w:t>119</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_Toc18012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6.1.4 </w:t>
      </w:r>
      <w:r>
        <w:rPr>
          <w:rFonts w:hint="default" w:ascii="Times New Roman" w:hAnsi="Times New Roman" w:cs="Times New Roman" w:eastAsiaTheme="majorEastAsia"/>
          <w:bCs w:val="0"/>
          <w:i w:val="0"/>
          <w:iCs w:val="0"/>
          <w:color w:val="auto"/>
          <w:szCs w:val="24"/>
        </w:rPr>
        <w:t>施工期固废</w:t>
      </w:r>
      <w:r>
        <w:rPr>
          <w:i w:val="0"/>
          <w:iCs w:val="0"/>
          <w:color w:val="auto"/>
        </w:rPr>
        <w:tab/>
      </w:r>
      <w:r>
        <w:rPr>
          <w:i w:val="0"/>
          <w:iCs w:val="0"/>
          <w:color w:val="auto"/>
        </w:rPr>
        <w:fldChar w:fldCharType="begin"/>
      </w:r>
      <w:r>
        <w:rPr>
          <w:i w:val="0"/>
          <w:iCs w:val="0"/>
          <w:color w:val="auto"/>
        </w:rPr>
        <w:instrText xml:space="preserve"> PAGEREF _Toc18012 \h </w:instrText>
      </w:r>
      <w:r>
        <w:rPr>
          <w:i w:val="0"/>
          <w:iCs w:val="0"/>
          <w:color w:val="auto"/>
        </w:rPr>
        <w:fldChar w:fldCharType="separate"/>
      </w:r>
      <w:r>
        <w:rPr>
          <w:i w:val="0"/>
          <w:iCs w:val="0"/>
          <w:color w:val="auto"/>
        </w:rPr>
        <w:t>120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_Toc26561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6.1.5 </w:t>
      </w:r>
      <w:r>
        <w:rPr>
          <w:rFonts w:hint="default" w:ascii="Times New Roman" w:hAnsi="Times New Roman" w:cs="Times New Roman" w:eastAsiaTheme="majorEastAsia"/>
          <w:bCs w:val="0"/>
          <w:i w:val="0"/>
          <w:iCs w:val="0"/>
          <w:color w:val="auto"/>
          <w:szCs w:val="24"/>
        </w:rPr>
        <w:t>施工期生态</w:t>
      </w:r>
      <w:r>
        <w:rPr>
          <w:i w:val="0"/>
          <w:iCs w:val="0"/>
          <w:color w:val="auto"/>
        </w:rPr>
        <w:tab/>
      </w:r>
      <w:r>
        <w:rPr>
          <w:i w:val="0"/>
          <w:iCs w:val="0"/>
          <w:color w:val="auto"/>
        </w:rPr>
        <w:fldChar w:fldCharType="begin"/>
      </w:r>
      <w:r>
        <w:rPr>
          <w:i w:val="0"/>
          <w:iCs w:val="0"/>
          <w:color w:val="auto"/>
        </w:rPr>
        <w:instrText xml:space="preserve"> PAGEREF _Toc26561 \h </w:instrText>
      </w:r>
      <w:r>
        <w:rPr>
          <w:i w:val="0"/>
          <w:iCs w:val="0"/>
          <w:color w:val="auto"/>
        </w:rPr>
        <w:fldChar w:fldCharType="separate"/>
      </w:r>
      <w:r>
        <w:rPr>
          <w:i w:val="0"/>
          <w:iCs w:val="0"/>
          <w:color w:val="auto"/>
        </w:rPr>
        <w:t>120</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_Toc25176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6.2 </w:t>
      </w:r>
      <w:r>
        <w:rPr>
          <w:rFonts w:ascii="Times New Roman" w:hAnsi="Times New Roman" w:cs="Times New Roman" w:eastAsiaTheme="majorEastAsia"/>
          <w:bCs/>
          <w:i w:val="0"/>
          <w:iCs w:val="0"/>
          <w:color w:val="auto"/>
          <w:kern w:val="2"/>
          <w:szCs w:val="32"/>
          <w:lang w:val="en-US" w:eastAsia="zh-CN"/>
        </w:rPr>
        <w:t>营运期</w:t>
      </w:r>
      <w:r>
        <w:rPr>
          <w:i w:val="0"/>
          <w:iCs w:val="0"/>
          <w:color w:val="auto"/>
        </w:rPr>
        <w:tab/>
      </w:r>
      <w:r>
        <w:rPr>
          <w:i w:val="0"/>
          <w:iCs w:val="0"/>
          <w:color w:val="auto"/>
        </w:rPr>
        <w:fldChar w:fldCharType="begin"/>
      </w:r>
      <w:r>
        <w:rPr>
          <w:i w:val="0"/>
          <w:iCs w:val="0"/>
          <w:color w:val="auto"/>
        </w:rPr>
        <w:instrText xml:space="preserve"> PAGEREF _Toc25176 \h </w:instrText>
      </w:r>
      <w:r>
        <w:rPr>
          <w:i w:val="0"/>
          <w:iCs w:val="0"/>
          <w:color w:val="auto"/>
        </w:rPr>
        <w:fldChar w:fldCharType="separate"/>
      </w:r>
      <w:r>
        <w:rPr>
          <w:i w:val="0"/>
          <w:iCs w:val="0"/>
          <w:color w:val="auto"/>
        </w:rPr>
        <w:t>121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_Toc21550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6.2.1 </w:t>
      </w:r>
      <w:r>
        <w:rPr>
          <w:rFonts w:hint="default" w:ascii="Times New Roman" w:hAnsi="Times New Roman" w:cs="Times New Roman" w:eastAsiaTheme="majorEastAsia"/>
          <w:bCs w:val="0"/>
          <w:i w:val="0"/>
          <w:iCs w:val="0"/>
          <w:color w:val="auto"/>
          <w:szCs w:val="24"/>
        </w:rPr>
        <w:t>营运期</w:t>
      </w:r>
      <w:r>
        <w:rPr>
          <w:rFonts w:hint="eastAsia" w:ascii="Times New Roman" w:hAnsi="Times New Roman" w:cs="Times New Roman" w:eastAsiaTheme="majorEastAsia"/>
          <w:bCs w:val="0"/>
          <w:i w:val="0"/>
          <w:iCs w:val="0"/>
          <w:color w:val="auto"/>
          <w:szCs w:val="24"/>
        </w:rPr>
        <w:t>废水</w:t>
      </w:r>
      <w:r>
        <w:rPr>
          <w:i w:val="0"/>
          <w:iCs w:val="0"/>
          <w:color w:val="auto"/>
        </w:rPr>
        <w:tab/>
      </w:r>
      <w:r>
        <w:rPr>
          <w:i w:val="0"/>
          <w:iCs w:val="0"/>
          <w:color w:val="auto"/>
        </w:rPr>
        <w:fldChar w:fldCharType="begin"/>
      </w:r>
      <w:r>
        <w:rPr>
          <w:i w:val="0"/>
          <w:iCs w:val="0"/>
          <w:color w:val="auto"/>
        </w:rPr>
        <w:instrText xml:space="preserve"> PAGEREF _Toc21550 \h </w:instrText>
      </w:r>
      <w:r>
        <w:rPr>
          <w:i w:val="0"/>
          <w:iCs w:val="0"/>
          <w:color w:val="auto"/>
        </w:rPr>
        <w:fldChar w:fldCharType="separate"/>
      </w:r>
      <w:r>
        <w:rPr>
          <w:i w:val="0"/>
          <w:iCs w:val="0"/>
          <w:color w:val="auto"/>
        </w:rPr>
        <w:t>121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_Toc8201 </w:instrText>
      </w:r>
      <w:r>
        <w:rPr>
          <w:rFonts w:eastAsiaTheme="minorEastAsia"/>
          <w:bCs/>
          <w:i w:val="0"/>
          <w:iCs w:val="0"/>
          <w:color w:val="auto"/>
          <w:szCs w:val="32"/>
        </w:rPr>
        <w:fldChar w:fldCharType="separate"/>
      </w:r>
      <w:r>
        <w:rPr>
          <w:rFonts w:hint="eastAsia" w:ascii="Times New Roman" w:hAnsi="Times New Roman" w:eastAsia="宋体" w:cs="Times New Roman"/>
          <w:i w:val="0"/>
          <w:iCs w:val="0"/>
          <w:color w:val="auto"/>
          <w:szCs w:val="18"/>
        </w:rPr>
        <w:t xml:space="preserve">6.2.2 </w:t>
      </w:r>
      <w:r>
        <w:rPr>
          <w:rFonts w:ascii="Times New Roman" w:hAnsi="Times New Roman" w:eastAsia="宋体" w:cs="Times New Roman"/>
          <w:i w:val="0"/>
          <w:iCs w:val="0"/>
          <w:color w:val="auto"/>
          <w:szCs w:val="18"/>
        </w:rPr>
        <w:t>营运期地下水</w:t>
      </w:r>
      <w:r>
        <w:rPr>
          <w:i w:val="0"/>
          <w:iCs w:val="0"/>
          <w:color w:val="auto"/>
        </w:rPr>
        <w:tab/>
      </w:r>
      <w:r>
        <w:rPr>
          <w:i w:val="0"/>
          <w:iCs w:val="0"/>
          <w:color w:val="auto"/>
        </w:rPr>
        <w:fldChar w:fldCharType="begin"/>
      </w:r>
      <w:r>
        <w:rPr>
          <w:i w:val="0"/>
          <w:iCs w:val="0"/>
          <w:color w:val="auto"/>
        </w:rPr>
        <w:instrText xml:space="preserve"> PAGEREF _Toc8201 \h </w:instrText>
      </w:r>
      <w:r>
        <w:rPr>
          <w:i w:val="0"/>
          <w:iCs w:val="0"/>
          <w:color w:val="auto"/>
        </w:rPr>
        <w:fldChar w:fldCharType="separate"/>
      </w:r>
      <w:r>
        <w:rPr>
          <w:i w:val="0"/>
          <w:iCs w:val="0"/>
          <w:color w:val="auto"/>
        </w:rPr>
        <w:t>121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_Toc17876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6.2.3 </w:t>
      </w:r>
      <w:r>
        <w:rPr>
          <w:rFonts w:hint="default" w:ascii="Times New Roman" w:hAnsi="Times New Roman" w:cs="Times New Roman" w:eastAsiaTheme="majorEastAsia"/>
          <w:bCs w:val="0"/>
          <w:i w:val="0"/>
          <w:iCs w:val="0"/>
          <w:color w:val="auto"/>
          <w:szCs w:val="24"/>
        </w:rPr>
        <w:t>营运期废气</w:t>
      </w:r>
      <w:r>
        <w:rPr>
          <w:i w:val="0"/>
          <w:iCs w:val="0"/>
          <w:color w:val="auto"/>
        </w:rPr>
        <w:tab/>
      </w:r>
      <w:r>
        <w:rPr>
          <w:i w:val="0"/>
          <w:iCs w:val="0"/>
          <w:color w:val="auto"/>
        </w:rPr>
        <w:fldChar w:fldCharType="begin"/>
      </w:r>
      <w:r>
        <w:rPr>
          <w:i w:val="0"/>
          <w:iCs w:val="0"/>
          <w:color w:val="auto"/>
        </w:rPr>
        <w:instrText xml:space="preserve"> PAGEREF _Toc17876 \h </w:instrText>
      </w:r>
      <w:r>
        <w:rPr>
          <w:i w:val="0"/>
          <w:iCs w:val="0"/>
          <w:color w:val="auto"/>
        </w:rPr>
        <w:fldChar w:fldCharType="separate"/>
      </w:r>
      <w:r>
        <w:rPr>
          <w:i w:val="0"/>
          <w:iCs w:val="0"/>
          <w:color w:val="auto"/>
        </w:rPr>
        <w:t>123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_Toc12308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6.2.4 </w:t>
      </w:r>
      <w:r>
        <w:rPr>
          <w:rFonts w:hint="default" w:ascii="Times New Roman" w:hAnsi="Times New Roman" w:cs="Times New Roman" w:eastAsiaTheme="majorEastAsia"/>
          <w:bCs w:val="0"/>
          <w:i w:val="0"/>
          <w:iCs w:val="0"/>
          <w:color w:val="auto"/>
          <w:szCs w:val="24"/>
        </w:rPr>
        <w:t>营运期噪声</w:t>
      </w:r>
      <w:r>
        <w:rPr>
          <w:i w:val="0"/>
          <w:iCs w:val="0"/>
          <w:color w:val="auto"/>
        </w:rPr>
        <w:tab/>
      </w:r>
      <w:r>
        <w:rPr>
          <w:i w:val="0"/>
          <w:iCs w:val="0"/>
          <w:color w:val="auto"/>
        </w:rPr>
        <w:fldChar w:fldCharType="begin"/>
      </w:r>
      <w:r>
        <w:rPr>
          <w:i w:val="0"/>
          <w:iCs w:val="0"/>
          <w:color w:val="auto"/>
        </w:rPr>
        <w:instrText xml:space="preserve"> PAGEREF _Toc12308 \h </w:instrText>
      </w:r>
      <w:r>
        <w:rPr>
          <w:i w:val="0"/>
          <w:iCs w:val="0"/>
          <w:color w:val="auto"/>
        </w:rPr>
        <w:fldChar w:fldCharType="separate"/>
      </w:r>
      <w:r>
        <w:rPr>
          <w:i w:val="0"/>
          <w:iCs w:val="0"/>
          <w:color w:val="auto"/>
        </w:rPr>
        <w:t>126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_Toc14175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6.2.5 </w:t>
      </w:r>
      <w:r>
        <w:rPr>
          <w:rFonts w:hint="default" w:ascii="Times New Roman" w:hAnsi="Times New Roman" w:cs="Times New Roman" w:eastAsiaTheme="majorEastAsia"/>
          <w:bCs w:val="0"/>
          <w:i w:val="0"/>
          <w:iCs w:val="0"/>
          <w:color w:val="auto"/>
          <w:szCs w:val="24"/>
        </w:rPr>
        <w:t>营运期固废</w:t>
      </w:r>
      <w:r>
        <w:rPr>
          <w:i w:val="0"/>
          <w:iCs w:val="0"/>
          <w:color w:val="auto"/>
        </w:rPr>
        <w:tab/>
      </w:r>
      <w:r>
        <w:rPr>
          <w:i w:val="0"/>
          <w:iCs w:val="0"/>
          <w:color w:val="auto"/>
        </w:rPr>
        <w:fldChar w:fldCharType="begin"/>
      </w:r>
      <w:r>
        <w:rPr>
          <w:i w:val="0"/>
          <w:iCs w:val="0"/>
          <w:color w:val="auto"/>
        </w:rPr>
        <w:instrText xml:space="preserve"> PAGEREF _Toc14175 \h </w:instrText>
      </w:r>
      <w:r>
        <w:rPr>
          <w:i w:val="0"/>
          <w:iCs w:val="0"/>
          <w:color w:val="auto"/>
        </w:rPr>
        <w:fldChar w:fldCharType="separate"/>
      </w:r>
      <w:r>
        <w:rPr>
          <w:i w:val="0"/>
          <w:iCs w:val="0"/>
          <w:color w:val="auto"/>
        </w:rPr>
        <w:t>127</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_Toc1163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6.3 土壤污染防治措施</w:t>
      </w:r>
      <w:r>
        <w:rPr>
          <w:i w:val="0"/>
          <w:iCs w:val="0"/>
          <w:color w:val="auto"/>
        </w:rPr>
        <w:tab/>
      </w:r>
      <w:r>
        <w:rPr>
          <w:i w:val="0"/>
          <w:iCs w:val="0"/>
          <w:color w:val="auto"/>
        </w:rPr>
        <w:fldChar w:fldCharType="begin"/>
      </w:r>
      <w:r>
        <w:rPr>
          <w:i w:val="0"/>
          <w:iCs w:val="0"/>
          <w:color w:val="auto"/>
        </w:rPr>
        <w:instrText xml:space="preserve"> PAGEREF _Toc1163 \h </w:instrText>
      </w:r>
      <w:r>
        <w:rPr>
          <w:i w:val="0"/>
          <w:iCs w:val="0"/>
          <w:color w:val="auto"/>
        </w:rPr>
        <w:fldChar w:fldCharType="separate"/>
      </w:r>
      <w:r>
        <w:rPr>
          <w:i w:val="0"/>
          <w:iCs w:val="0"/>
          <w:color w:val="auto"/>
        </w:rPr>
        <w:t>127</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_Toc5200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6.4 </w:t>
      </w:r>
      <w:r>
        <w:rPr>
          <w:rFonts w:ascii="Times New Roman" w:hAnsi="Times New Roman" w:cs="Times New Roman" w:eastAsiaTheme="majorEastAsia"/>
          <w:bCs/>
          <w:i w:val="0"/>
          <w:iCs w:val="0"/>
          <w:color w:val="auto"/>
          <w:kern w:val="2"/>
          <w:szCs w:val="32"/>
          <w:lang w:val="en-US" w:eastAsia="zh-CN"/>
        </w:rPr>
        <w:t>绿化措施及建议</w:t>
      </w:r>
      <w:r>
        <w:rPr>
          <w:i w:val="0"/>
          <w:iCs w:val="0"/>
          <w:color w:val="auto"/>
        </w:rPr>
        <w:tab/>
      </w:r>
      <w:r>
        <w:rPr>
          <w:i w:val="0"/>
          <w:iCs w:val="0"/>
          <w:color w:val="auto"/>
        </w:rPr>
        <w:fldChar w:fldCharType="begin"/>
      </w:r>
      <w:r>
        <w:rPr>
          <w:i w:val="0"/>
          <w:iCs w:val="0"/>
          <w:color w:val="auto"/>
        </w:rPr>
        <w:instrText xml:space="preserve"> PAGEREF _Toc5200 \h </w:instrText>
      </w:r>
      <w:r>
        <w:rPr>
          <w:i w:val="0"/>
          <w:iCs w:val="0"/>
          <w:color w:val="auto"/>
        </w:rPr>
        <w:fldChar w:fldCharType="separate"/>
      </w:r>
      <w:r>
        <w:rPr>
          <w:i w:val="0"/>
          <w:iCs w:val="0"/>
          <w:color w:val="auto"/>
        </w:rPr>
        <w:t>127</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_Toc24024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6.5 </w:t>
      </w:r>
      <w:r>
        <w:rPr>
          <w:rFonts w:ascii="Times New Roman" w:hAnsi="Times New Roman" w:cs="Times New Roman" w:eastAsiaTheme="majorEastAsia"/>
          <w:bCs/>
          <w:i w:val="0"/>
          <w:iCs w:val="0"/>
          <w:color w:val="auto"/>
          <w:kern w:val="2"/>
          <w:szCs w:val="32"/>
          <w:lang w:val="en-US" w:eastAsia="zh-CN"/>
        </w:rPr>
        <w:t>其他防范措施</w:t>
      </w:r>
      <w:r>
        <w:rPr>
          <w:i w:val="0"/>
          <w:iCs w:val="0"/>
          <w:color w:val="auto"/>
        </w:rPr>
        <w:tab/>
      </w:r>
      <w:r>
        <w:rPr>
          <w:i w:val="0"/>
          <w:iCs w:val="0"/>
          <w:color w:val="auto"/>
        </w:rPr>
        <w:fldChar w:fldCharType="begin"/>
      </w:r>
      <w:r>
        <w:rPr>
          <w:i w:val="0"/>
          <w:iCs w:val="0"/>
          <w:color w:val="auto"/>
        </w:rPr>
        <w:instrText xml:space="preserve"> PAGEREF _Toc24024 \h </w:instrText>
      </w:r>
      <w:r>
        <w:rPr>
          <w:i w:val="0"/>
          <w:iCs w:val="0"/>
          <w:color w:val="auto"/>
        </w:rPr>
        <w:fldChar w:fldCharType="separate"/>
      </w:r>
      <w:r>
        <w:rPr>
          <w:i w:val="0"/>
          <w:iCs w:val="0"/>
          <w:color w:val="auto"/>
        </w:rPr>
        <w:t>128</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_Toc15016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6.6 </w:t>
      </w:r>
      <w:r>
        <w:rPr>
          <w:rFonts w:ascii="Times New Roman" w:hAnsi="Times New Roman" w:cs="Times New Roman" w:eastAsiaTheme="majorEastAsia"/>
          <w:bCs/>
          <w:i w:val="0"/>
          <w:iCs w:val="0"/>
          <w:color w:val="auto"/>
          <w:kern w:val="2"/>
          <w:szCs w:val="32"/>
          <w:lang w:val="en-US" w:eastAsia="zh-CN"/>
        </w:rPr>
        <w:t>项目污染防治措施及投资估算</w:t>
      </w:r>
      <w:r>
        <w:rPr>
          <w:i w:val="0"/>
          <w:iCs w:val="0"/>
          <w:color w:val="auto"/>
        </w:rPr>
        <w:tab/>
      </w:r>
      <w:r>
        <w:rPr>
          <w:i w:val="0"/>
          <w:iCs w:val="0"/>
          <w:color w:val="auto"/>
        </w:rPr>
        <w:fldChar w:fldCharType="begin"/>
      </w:r>
      <w:r>
        <w:rPr>
          <w:i w:val="0"/>
          <w:iCs w:val="0"/>
          <w:color w:val="auto"/>
        </w:rPr>
        <w:instrText xml:space="preserve"> PAGEREF _Toc15016 \h </w:instrText>
      </w:r>
      <w:r>
        <w:rPr>
          <w:i w:val="0"/>
          <w:iCs w:val="0"/>
          <w:color w:val="auto"/>
        </w:rPr>
        <w:fldChar w:fldCharType="separate"/>
      </w:r>
      <w:r>
        <w:rPr>
          <w:i w:val="0"/>
          <w:iCs w:val="0"/>
          <w:color w:val="auto"/>
        </w:rPr>
        <w:t>128</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_Toc25366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6.7 </w:t>
      </w:r>
      <w:r>
        <w:rPr>
          <w:rFonts w:ascii="Times New Roman" w:hAnsi="Times New Roman" w:cs="Times New Roman" w:eastAsiaTheme="majorEastAsia"/>
          <w:bCs/>
          <w:i w:val="0"/>
          <w:iCs w:val="0"/>
          <w:color w:val="auto"/>
          <w:kern w:val="2"/>
          <w:szCs w:val="32"/>
          <w:lang w:val="en-US" w:eastAsia="zh-CN"/>
        </w:rPr>
        <w:t>经济效益和社会效益</w:t>
      </w:r>
      <w:r>
        <w:rPr>
          <w:i w:val="0"/>
          <w:iCs w:val="0"/>
          <w:color w:val="auto"/>
        </w:rPr>
        <w:tab/>
      </w:r>
      <w:r>
        <w:rPr>
          <w:i w:val="0"/>
          <w:iCs w:val="0"/>
          <w:color w:val="auto"/>
        </w:rPr>
        <w:fldChar w:fldCharType="begin"/>
      </w:r>
      <w:r>
        <w:rPr>
          <w:i w:val="0"/>
          <w:iCs w:val="0"/>
          <w:color w:val="auto"/>
        </w:rPr>
        <w:instrText xml:space="preserve"> PAGEREF _Toc25366 \h </w:instrText>
      </w:r>
      <w:r>
        <w:rPr>
          <w:i w:val="0"/>
          <w:iCs w:val="0"/>
          <w:color w:val="auto"/>
        </w:rPr>
        <w:fldChar w:fldCharType="separate"/>
      </w:r>
      <w:r>
        <w:rPr>
          <w:i w:val="0"/>
          <w:iCs w:val="0"/>
          <w:color w:val="auto"/>
        </w:rPr>
        <w:t>130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_Toc12692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6.7.1 </w:t>
      </w:r>
      <w:r>
        <w:rPr>
          <w:rFonts w:hint="default" w:ascii="Times New Roman" w:hAnsi="Times New Roman" w:cs="Times New Roman" w:eastAsiaTheme="majorEastAsia"/>
          <w:bCs w:val="0"/>
          <w:i w:val="0"/>
          <w:iCs w:val="0"/>
          <w:color w:val="auto"/>
          <w:szCs w:val="24"/>
        </w:rPr>
        <w:t>经济效益</w:t>
      </w:r>
      <w:r>
        <w:rPr>
          <w:i w:val="0"/>
          <w:iCs w:val="0"/>
          <w:color w:val="auto"/>
        </w:rPr>
        <w:tab/>
      </w:r>
      <w:r>
        <w:rPr>
          <w:i w:val="0"/>
          <w:iCs w:val="0"/>
          <w:color w:val="auto"/>
        </w:rPr>
        <w:fldChar w:fldCharType="begin"/>
      </w:r>
      <w:r>
        <w:rPr>
          <w:i w:val="0"/>
          <w:iCs w:val="0"/>
          <w:color w:val="auto"/>
        </w:rPr>
        <w:instrText xml:space="preserve"> PAGEREF _Toc12692 \h </w:instrText>
      </w:r>
      <w:r>
        <w:rPr>
          <w:i w:val="0"/>
          <w:iCs w:val="0"/>
          <w:color w:val="auto"/>
        </w:rPr>
        <w:fldChar w:fldCharType="separate"/>
      </w:r>
      <w:r>
        <w:rPr>
          <w:i w:val="0"/>
          <w:iCs w:val="0"/>
          <w:color w:val="auto"/>
        </w:rPr>
        <w:t>130</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_Toc27530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6.7.2 </w:t>
      </w:r>
      <w:r>
        <w:rPr>
          <w:rFonts w:hint="default" w:ascii="Times New Roman" w:hAnsi="Times New Roman" w:cs="Times New Roman" w:eastAsiaTheme="majorEastAsia"/>
          <w:bCs w:val="0"/>
          <w:i w:val="0"/>
          <w:iCs w:val="0"/>
          <w:color w:val="auto"/>
          <w:szCs w:val="24"/>
        </w:rPr>
        <w:t>社会效益</w:t>
      </w:r>
      <w:r>
        <w:rPr>
          <w:i w:val="0"/>
          <w:iCs w:val="0"/>
          <w:color w:val="auto"/>
        </w:rPr>
        <w:tab/>
      </w:r>
      <w:r>
        <w:rPr>
          <w:i w:val="0"/>
          <w:iCs w:val="0"/>
          <w:color w:val="auto"/>
        </w:rPr>
        <w:fldChar w:fldCharType="begin"/>
      </w:r>
      <w:r>
        <w:rPr>
          <w:i w:val="0"/>
          <w:iCs w:val="0"/>
          <w:color w:val="auto"/>
        </w:rPr>
        <w:instrText xml:space="preserve"> PAGEREF _Toc27530 \h </w:instrText>
      </w:r>
      <w:r>
        <w:rPr>
          <w:i w:val="0"/>
          <w:iCs w:val="0"/>
          <w:color w:val="auto"/>
        </w:rPr>
        <w:fldChar w:fldCharType="separate"/>
      </w:r>
      <w:r>
        <w:rPr>
          <w:i w:val="0"/>
          <w:iCs w:val="0"/>
          <w:color w:val="auto"/>
        </w:rPr>
        <w:t>130</w:t>
      </w:r>
      <w:r>
        <w:rPr>
          <w:i w:val="0"/>
          <w:iCs w:val="0"/>
          <w:color w:val="auto"/>
        </w:rPr>
        <w:fldChar w:fldCharType="end"/>
      </w:r>
      <w:r>
        <w:rPr>
          <w:rFonts w:eastAsiaTheme="minorEastAsia"/>
          <w:bCs/>
          <w:i w:val="0"/>
          <w:iCs w:val="0"/>
          <w:color w:val="auto"/>
          <w:szCs w:val="32"/>
        </w:rPr>
        <w:fldChar w:fldCharType="end"/>
      </w:r>
    </w:p>
    <w:p>
      <w:pPr>
        <w:pStyle w:val="60"/>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_Toc28810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7. 环境影响经济损益分析</w:t>
      </w:r>
      <w:r>
        <w:rPr>
          <w:i w:val="0"/>
          <w:iCs w:val="0"/>
          <w:color w:val="auto"/>
        </w:rPr>
        <w:tab/>
      </w:r>
      <w:r>
        <w:rPr>
          <w:i w:val="0"/>
          <w:iCs w:val="0"/>
          <w:color w:val="auto"/>
        </w:rPr>
        <w:fldChar w:fldCharType="begin"/>
      </w:r>
      <w:r>
        <w:rPr>
          <w:i w:val="0"/>
          <w:iCs w:val="0"/>
          <w:color w:val="auto"/>
        </w:rPr>
        <w:instrText xml:space="preserve"> PAGEREF _Toc28810 \h </w:instrText>
      </w:r>
      <w:r>
        <w:rPr>
          <w:i w:val="0"/>
          <w:iCs w:val="0"/>
          <w:color w:val="auto"/>
        </w:rPr>
        <w:fldChar w:fldCharType="separate"/>
      </w:r>
      <w:r>
        <w:rPr>
          <w:i w:val="0"/>
          <w:iCs w:val="0"/>
          <w:color w:val="auto"/>
        </w:rPr>
        <w:t>131</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_Toc8017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7.1 </w:t>
      </w:r>
      <w:r>
        <w:rPr>
          <w:rFonts w:ascii="Times New Roman" w:hAnsi="Times New Roman" w:cs="Times New Roman" w:eastAsiaTheme="majorEastAsia"/>
          <w:bCs/>
          <w:i w:val="0"/>
          <w:iCs w:val="0"/>
          <w:color w:val="auto"/>
          <w:kern w:val="2"/>
          <w:szCs w:val="32"/>
          <w:lang w:val="en-US" w:eastAsia="zh-CN"/>
        </w:rPr>
        <w:t>环境影响经济损益分析</w:t>
      </w:r>
      <w:r>
        <w:rPr>
          <w:i w:val="0"/>
          <w:iCs w:val="0"/>
          <w:color w:val="auto"/>
        </w:rPr>
        <w:tab/>
      </w:r>
      <w:r>
        <w:rPr>
          <w:i w:val="0"/>
          <w:iCs w:val="0"/>
          <w:color w:val="auto"/>
        </w:rPr>
        <w:fldChar w:fldCharType="begin"/>
      </w:r>
      <w:r>
        <w:rPr>
          <w:i w:val="0"/>
          <w:iCs w:val="0"/>
          <w:color w:val="auto"/>
        </w:rPr>
        <w:instrText xml:space="preserve"> PAGEREF _Toc8017 \h </w:instrText>
      </w:r>
      <w:r>
        <w:rPr>
          <w:i w:val="0"/>
          <w:iCs w:val="0"/>
          <w:color w:val="auto"/>
        </w:rPr>
        <w:fldChar w:fldCharType="separate"/>
      </w:r>
      <w:r>
        <w:rPr>
          <w:i w:val="0"/>
          <w:iCs w:val="0"/>
          <w:color w:val="auto"/>
        </w:rPr>
        <w:t>131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_Toc5717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7.1.1 </w:t>
      </w:r>
      <w:r>
        <w:rPr>
          <w:rFonts w:hint="default" w:ascii="Times New Roman" w:hAnsi="Times New Roman" w:cs="Times New Roman" w:eastAsiaTheme="majorEastAsia"/>
          <w:bCs w:val="0"/>
          <w:i w:val="0"/>
          <w:iCs w:val="0"/>
          <w:color w:val="auto"/>
          <w:szCs w:val="24"/>
        </w:rPr>
        <w:t>环保投资及运行费用分析</w:t>
      </w:r>
      <w:r>
        <w:rPr>
          <w:i w:val="0"/>
          <w:iCs w:val="0"/>
          <w:color w:val="auto"/>
        </w:rPr>
        <w:tab/>
      </w:r>
      <w:r>
        <w:rPr>
          <w:i w:val="0"/>
          <w:iCs w:val="0"/>
          <w:color w:val="auto"/>
        </w:rPr>
        <w:fldChar w:fldCharType="begin"/>
      </w:r>
      <w:r>
        <w:rPr>
          <w:i w:val="0"/>
          <w:iCs w:val="0"/>
          <w:color w:val="auto"/>
        </w:rPr>
        <w:instrText xml:space="preserve"> PAGEREF _Toc5717 \h </w:instrText>
      </w:r>
      <w:r>
        <w:rPr>
          <w:i w:val="0"/>
          <w:iCs w:val="0"/>
          <w:color w:val="auto"/>
        </w:rPr>
        <w:fldChar w:fldCharType="separate"/>
      </w:r>
      <w:r>
        <w:rPr>
          <w:i w:val="0"/>
          <w:iCs w:val="0"/>
          <w:color w:val="auto"/>
        </w:rPr>
        <w:t>131</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_Toc12588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7.1.2 </w:t>
      </w:r>
      <w:r>
        <w:rPr>
          <w:rFonts w:hint="default" w:ascii="Times New Roman" w:hAnsi="Times New Roman" w:cs="Times New Roman" w:eastAsiaTheme="majorEastAsia"/>
          <w:bCs w:val="0"/>
          <w:i w:val="0"/>
          <w:iCs w:val="0"/>
          <w:color w:val="auto"/>
          <w:szCs w:val="24"/>
        </w:rPr>
        <w:t>环境损益分析</w:t>
      </w:r>
      <w:r>
        <w:rPr>
          <w:i w:val="0"/>
          <w:iCs w:val="0"/>
          <w:color w:val="auto"/>
        </w:rPr>
        <w:tab/>
      </w:r>
      <w:r>
        <w:rPr>
          <w:i w:val="0"/>
          <w:iCs w:val="0"/>
          <w:color w:val="auto"/>
        </w:rPr>
        <w:fldChar w:fldCharType="begin"/>
      </w:r>
      <w:r>
        <w:rPr>
          <w:i w:val="0"/>
          <w:iCs w:val="0"/>
          <w:color w:val="auto"/>
        </w:rPr>
        <w:instrText xml:space="preserve"> PAGEREF _Toc12588 \h </w:instrText>
      </w:r>
      <w:r>
        <w:rPr>
          <w:i w:val="0"/>
          <w:iCs w:val="0"/>
          <w:color w:val="auto"/>
        </w:rPr>
        <w:fldChar w:fldCharType="separate"/>
      </w:r>
      <w:r>
        <w:rPr>
          <w:i w:val="0"/>
          <w:iCs w:val="0"/>
          <w:color w:val="auto"/>
        </w:rPr>
        <w:t>131</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_Toc816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7.2 </w:t>
      </w:r>
      <w:r>
        <w:rPr>
          <w:rFonts w:ascii="Times New Roman" w:hAnsi="Times New Roman" w:cs="Times New Roman" w:eastAsiaTheme="majorEastAsia"/>
          <w:bCs/>
          <w:i w:val="0"/>
          <w:iCs w:val="0"/>
          <w:color w:val="auto"/>
          <w:kern w:val="2"/>
          <w:szCs w:val="32"/>
          <w:lang w:val="en-US" w:eastAsia="zh-CN"/>
        </w:rPr>
        <w:t>小结</w:t>
      </w:r>
      <w:r>
        <w:rPr>
          <w:i w:val="0"/>
          <w:iCs w:val="0"/>
          <w:color w:val="auto"/>
        </w:rPr>
        <w:tab/>
      </w:r>
      <w:r>
        <w:rPr>
          <w:i w:val="0"/>
          <w:iCs w:val="0"/>
          <w:color w:val="auto"/>
        </w:rPr>
        <w:fldChar w:fldCharType="begin"/>
      </w:r>
      <w:r>
        <w:rPr>
          <w:i w:val="0"/>
          <w:iCs w:val="0"/>
          <w:color w:val="auto"/>
        </w:rPr>
        <w:instrText xml:space="preserve"> PAGEREF _Toc816 \h </w:instrText>
      </w:r>
      <w:r>
        <w:rPr>
          <w:i w:val="0"/>
          <w:iCs w:val="0"/>
          <w:color w:val="auto"/>
        </w:rPr>
        <w:fldChar w:fldCharType="separate"/>
      </w:r>
      <w:r>
        <w:rPr>
          <w:i w:val="0"/>
          <w:iCs w:val="0"/>
          <w:color w:val="auto"/>
        </w:rPr>
        <w:t>132</w:t>
      </w:r>
      <w:r>
        <w:rPr>
          <w:i w:val="0"/>
          <w:iCs w:val="0"/>
          <w:color w:val="auto"/>
        </w:rPr>
        <w:fldChar w:fldCharType="end"/>
      </w:r>
      <w:r>
        <w:rPr>
          <w:rFonts w:eastAsiaTheme="minorEastAsia"/>
          <w:bCs/>
          <w:i w:val="0"/>
          <w:iCs w:val="0"/>
          <w:color w:val="auto"/>
          <w:szCs w:val="32"/>
        </w:rPr>
        <w:fldChar w:fldCharType="end"/>
      </w:r>
    </w:p>
    <w:p>
      <w:pPr>
        <w:pStyle w:val="60"/>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_Toc32508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8. 建设管理与监测计划</w:t>
      </w:r>
      <w:r>
        <w:rPr>
          <w:i w:val="0"/>
          <w:iCs w:val="0"/>
          <w:color w:val="auto"/>
        </w:rPr>
        <w:tab/>
      </w:r>
      <w:r>
        <w:rPr>
          <w:i w:val="0"/>
          <w:iCs w:val="0"/>
          <w:color w:val="auto"/>
        </w:rPr>
        <w:fldChar w:fldCharType="begin"/>
      </w:r>
      <w:r>
        <w:rPr>
          <w:i w:val="0"/>
          <w:iCs w:val="0"/>
          <w:color w:val="auto"/>
        </w:rPr>
        <w:instrText xml:space="preserve"> PAGEREF _Toc32508 \h </w:instrText>
      </w:r>
      <w:r>
        <w:rPr>
          <w:i w:val="0"/>
          <w:iCs w:val="0"/>
          <w:color w:val="auto"/>
        </w:rPr>
        <w:fldChar w:fldCharType="separate"/>
      </w:r>
      <w:r>
        <w:rPr>
          <w:i w:val="0"/>
          <w:iCs w:val="0"/>
          <w:color w:val="auto"/>
        </w:rPr>
        <w:t>133</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_Toc27069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8.1 </w:t>
      </w:r>
      <w:r>
        <w:rPr>
          <w:rFonts w:ascii="Times New Roman" w:hAnsi="Times New Roman" w:cs="Times New Roman" w:eastAsiaTheme="majorEastAsia"/>
          <w:bCs/>
          <w:i w:val="0"/>
          <w:iCs w:val="0"/>
          <w:color w:val="auto"/>
          <w:kern w:val="2"/>
          <w:szCs w:val="32"/>
          <w:lang w:val="en-US" w:eastAsia="zh-CN"/>
        </w:rPr>
        <w:t>环境管理</w:t>
      </w:r>
      <w:r>
        <w:rPr>
          <w:i w:val="0"/>
          <w:iCs w:val="0"/>
          <w:color w:val="auto"/>
        </w:rPr>
        <w:tab/>
      </w:r>
      <w:r>
        <w:rPr>
          <w:i w:val="0"/>
          <w:iCs w:val="0"/>
          <w:color w:val="auto"/>
        </w:rPr>
        <w:fldChar w:fldCharType="begin"/>
      </w:r>
      <w:r>
        <w:rPr>
          <w:i w:val="0"/>
          <w:iCs w:val="0"/>
          <w:color w:val="auto"/>
        </w:rPr>
        <w:instrText xml:space="preserve"> PAGEREF _Toc27069 \h </w:instrText>
      </w:r>
      <w:r>
        <w:rPr>
          <w:i w:val="0"/>
          <w:iCs w:val="0"/>
          <w:color w:val="auto"/>
        </w:rPr>
        <w:fldChar w:fldCharType="separate"/>
      </w:r>
      <w:r>
        <w:rPr>
          <w:i w:val="0"/>
          <w:iCs w:val="0"/>
          <w:color w:val="auto"/>
        </w:rPr>
        <w:t>133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_Toc13309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8.1.1 </w:t>
      </w:r>
      <w:r>
        <w:rPr>
          <w:rFonts w:hint="default" w:ascii="Times New Roman" w:hAnsi="Times New Roman" w:cs="Times New Roman" w:eastAsiaTheme="majorEastAsia"/>
          <w:bCs w:val="0"/>
          <w:i w:val="0"/>
          <w:iCs w:val="0"/>
          <w:color w:val="auto"/>
          <w:szCs w:val="24"/>
        </w:rPr>
        <w:t>环境管理工作内容</w:t>
      </w:r>
      <w:r>
        <w:rPr>
          <w:i w:val="0"/>
          <w:iCs w:val="0"/>
          <w:color w:val="auto"/>
        </w:rPr>
        <w:tab/>
      </w:r>
      <w:r>
        <w:rPr>
          <w:i w:val="0"/>
          <w:iCs w:val="0"/>
          <w:color w:val="auto"/>
        </w:rPr>
        <w:fldChar w:fldCharType="begin"/>
      </w:r>
      <w:r>
        <w:rPr>
          <w:i w:val="0"/>
          <w:iCs w:val="0"/>
          <w:color w:val="auto"/>
        </w:rPr>
        <w:instrText xml:space="preserve"> PAGEREF _Toc13309 \h </w:instrText>
      </w:r>
      <w:r>
        <w:rPr>
          <w:i w:val="0"/>
          <w:iCs w:val="0"/>
          <w:color w:val="auto"/>
        </w:rPr>
        <w:fldChar w:fldCharType="separate"/>
      </w:r>
      <w:r>
        <w:rPr>
          <w:i w:val="0"/>
          <w:iCs w:val="0"/>
          <w:color w:val="auto"/>
        </w:rPr>
        <w:t>133</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_Toc1765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8.1.2 </w:t>
      </w:r>
      <w:r>
        <w:rPr>
          <w:rFonts w:hint="default" w:ascii="Times New Roman" w:hAnsi="Times New Roman" w:cs="Times New Roman" w:eastAsiaTheme="majorEastAsia"/>
          <w:bCs w:val="0"/>
          <w:i w:val="0"/>
          <w:iCs w:val="0"/>
          <w:color w:val="auto"/>
          <w:szCs w:val="24"/>
        </w:rPr>
        <w:t>环境管理计划</w:t>
      </w:r>
      <w:r>
        <w:rPr>
          <w:i w:val="0"/>
          <w:iCs w:val="0"/>
          <w:color w:val="auto"/>
        </w:rPr>
        <w:tab/>
      </w:r>
      <w:r>
        <w:rPr>
          <w:i w:val="0"/>
          <w:iCs w:val="0"/>
          <w:color w:val="auto"/>
        </w:rPr>
        <w:fldChar w:fldCharType="begin"/>
      </w:r>
      <w:r>
        <w:rPr>
          <w:i w:val="0"/>
          <w:iCs w:val="0"/>
          <w:color w:val="auto"/>
        </w:rPr>
        <w:instrText xml:space="preserve"> PAGEREF _Toc1765 \h </w:instrText>
      </w:r>
      <w:r>
        <w:rPr>
          <w:i w:val="0"/>
          <w:iCs w:val="0"/>
          <w:color w:val="auto"/>
        </w:rPr>
        <w:fldChar w:fldCharType="separate"/>
      </w:r>
      <w:r>
        <w:rPr>
          <w:i w:val="0"/>
          <w:iCs w:val="0"/>
          <w:color w:val="auto"/>
        </w:rPr>
        <w:t>134</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_Toc17829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8.1.3 </w:t>
      </w:r>
      <w:r>
        <w:rPr>
          <w:rFonts w:hint="default" w:ascii="Times New Roman" w:hAnsi="Times New Roman" w:cs="Times New Roman" w:eastAsiaTheme="majorEastAsia"/>
          <w:bCs w:val="0"/>
          <w:i w:val="0"/>
          <w:iCs w:val="0"/>
          <w:color w:val="auto"/>
          <w:szCs w:val="24"/>
        </w:rPr>
        <w:t>环境管理</w:t>
      </w:r>
      <w:r>
        <w:rPr>
          <w:i w:val="0"/>
          <w:iCs w:val="0"/>
          <w:color w:val="auto"/>
        </w:rPr>
        <w:tab/>
      </w:r>
      <w:r>
        <w:rPr>
          <w:i w:val="0"/>
          <w:iCs w:val="0"/>
          <w:color w:val="auto"/>
        </w:rPr>
        <w:fldChar w:fldCharType="begin"/>
      </w:r>
      <w:r>
        <w:rPr>
          <w:i w:val="0"/>
          <w:iCs w:val="0"/>
          <w:color w:val="auto"/>
        </w:rPr>
        <w:instrText xml:space="preserve"> PAGEREF _Toc17829 \h </w:instrText>
      </w:r>
      <w:r>
        <w:rPr>
          <w:i w:val="0"/>
          <w:iCs w:val="0"/>
          <w:color w:val="auto"/>
        </w:rPr>
        <w:fldChar w:fldCharType="separate"/>
      </w:r>
      <w:r>
        <w:rPr>
          <w:i w:val="0"/>
          <w:iCs w:val="0"/>
          <w:color w:val="auto"/>
        </w:rPr>
        <w:t>135</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_Toc15793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8.2 </w:t>
      </w:r>
      <w:r>
        <w:rPr>
          <w:rFonts w:ascii="Times New Roman" w:hAnsi="Times New Roman" w:cs="Times New Roman" w:eastAsiaTheme="majorEastAsia"/>
          <w:bCs/>
          <w:i w:val="0"/>
          <w:iCs w:val="0"/>
          <w:color w:val="auto"/>
          <w:kern w:val="2"/>
          <w:szCs w:val="32"/>
          <w:lang w:val="en-US" w:eastAsia="zh-CN"/>
        </w:rPr>
        <w:t>监测计划</w:t>
      </w:r>
      <w:r>
        <w:rPr>
          <w:i w:val="0"/>
          <w:iCs w:val="0"/>
          <w:color w:val="auto"/>
        </w:rPr>
        <w:tab/>
      </w:r>
      <w:r>
        <w:rPr>
          <w:i w:val="0"/>
          <w:iCs w:val="0"/>
          <w:color w:val="auto"/>
        </w:rPr>
        <w:fldChar w:fldCharType="begin"/>
      </w:r>
      <w:r>
        <w:rPr>
          <w:i w:val="0"/>
          <w:iCs w:val="0"/>
          <w:color w:val="auto"/>
        </w:rPr>
        <w:instrText xml:space="preserve"> PAGEREF _Toc15793 \h </w:instrText>
      </w:r>
      <w:r>
        <w:rPr>
          <w:i w:val="0"/>
          <w:iCs w:val="0"/>
          <w:color w:val="auto"/>
        </w:rPr>
        <w:fldChar w:fldCharType="separate"/>
      </w:r>
      <w:r>
        <w:rPr>
          <w:i w:val="0"/>
          <w:iCs w:val="0"/>
          <w:color w:val="auto"/>
        </w:rPr>
        <w:t>136</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_Toc26779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8.2.1 </w:t>
      </w:r>
      <w:r>
        <w:rPr>
          <w:rFonts w:hint="default" w:ascii="Times New Roman" w:hAnsi="Times New Roman" w:cs="Times New Roman" w:eastAsiaTheme="majorEastAsia"/>
          <w:bCs w:val="0"/>
          <w:i w:val="0"/>
          <w:iCs w:val="0"/>
          <w:color w:val="auto"/>
          <w:szCs w:val="24"/>
        </w:rPr>
        <w:t>环境监测管理</w:t>
      </w:r>
      <w:r>
        <w:rPr>
          <w:i w:val="0"/>
          <w:iCs w:val="0"/>
          <w:color w:val="auto"/>
        </w:rPr>
        <w:tab/>
      </w:r>
      <w:r>
        <w:rPr>
          <w:i w:val="0"/>
          <w:iCs w:val="0"/>
          <w:color w:val="auto"/>
        </w:rPr>
        <w:fldChar w:fldCharType="begin"/>
      </w:r>
      <w:r>
        <w:rPr>
          <w:i w:val="0"/>
          <w:iCs w:val="0"/>
          <w:color w:val="auto"/>
        </w:rPr>
        <w:instrText xml:space="preserve"> PAGEREF _Toc26779 \h </w:instrText>
      </w:r>
      <w:r>
        <w:rPr>
          <w:i w:val="0"/>
          <w:iCs w:val="0"/>
          <w:color w:val="auto"/>
        </w:rPr>
        <w:fldChar w:fldCharType="separate"/>
      </w:r>
      <w:r>
        <w:rPr>
          <w:i w:val="0"/>
          <w:iCs w:val="0"/>
          <w:color w:val="auto"/>
        </w:rPr>
        <w:t>136</w:t>
      </w:r>
      <w:r>
        <w:rPr>
          <w:i w:val="0"/>
          <w:iCs w:val="0"/>
          <w:color w:val="auto"/>
        </w:rPr>
        <w:fldChar w:fldCharType="end"/>
      </w:r>
      <w:r>
        <w:rPr>
          <w:rFonts w:eastAsiaTheme="minorEastAsia"/>
          <w:bCs/>
          <w:i w:val="0"/>
          <w:iCs w:val="0"/>
          <w:color w:val="auto"/>
          <w:szCs w:val="32"/>
        </w:rPr>
        <w:fldChar w:fldCharType="end"/>
      </w:r>
    </w:p>
    <w:p>
      <w:pPr>
        <w:pStyle w:val="60"/>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_Toc24289 </w:instrText>
      </w:r>
      <w:r>
        <w:rPr>
          <w:rFonts w:eastAsiaTheme="minorEastAsia"/>
          <w:bCs/>
          <w:i w:val="0"/>
          <w:iCs w:val="0"/>
          <w:color w:val="auto"/>
          <w:szCs w:val="32"/>
        </w:rPr>
        <w:fldChar w:fldCharType="separate"/>
      </w:r>
      <w:r>
        <w:rPr>
          <w:rFonts w:hint="eastAsia" w:asciiTheme="majorEastAsia" w:hAnsiTheme="majorEastAsia" w:eastAsiaTheme="majorEastAsia" w:cstheme="majorEastAsia"/>
          <w:bCs/>
          <w:i w:val="0"/>
          <w:iCs w:val="0"/>
          <w:color w:val="auto"/>
          <w:szCs w:val="32"/>
        </w:rPr>
        <w:t>9. 环境影响评价结论</w:t>
      </w:r>
      <w:r>
        <w:rPr>
          <w:i w:val="0"/>
          <w:iCs w:val="0"/>
          <w:color w:val="auto"/>
        </w:rPr>
        <w:tab/>
      </w:r>
      <w:r>
        <w:rPr>
          <w:i w:val="0"/>
          <w:iCs w:val="0"/>
          <w:color w:val="auto"/>
        </w:rPr>
        <w:fldChar w:fldCharType="begin"/>
      </w:r>
      <w:r>
        <w:rPr>
          <w:i w:val="0"/>
          <w:iCs w:val="0"/>
          <w:color w:val="auto"/>
        </w:rPr>
        <w:instrText xml:space="preserve"> PAGEREF _Toc24289 \h </w:instrText>
      </w:r>
      <w:r>
        <w:rPr>
          <w:i w:val="0"/>
          <w:iCs w:val="0"/>
          <w:color w:val="auto"/>
        </w:rPr>
        <w:fldChar w:fldCharType="separate"/>
      </w:r>
      <w:r>
        <w:rPr>
          <w:i w:val="0"/>
          <w:iCs w:val="0"/>
          <w:color w:val="auto"/>
        </w:rPr>
        <w:t>137</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_Toc18032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9.1 </w:t>
      </w:r>
      <w:r>
        <w:rPr>
          <w:rFonts w:ascii="Times New Roman" w:hAnsi="Times New Roman" w:cs="Times New Roman" w:eastAsiaTheme="majorEastAsia"/>
          <w:bCs/>
          <w:i w:val="0"/>
          <w:iCs w:val="0"/>
          <w:color w:val="auto"/>
          <w:kern w:val="2"/>
          <w:szCs w:val="32"/>
          <w:lang w:val="en-US" w:eastAsia="zh-CN"/>
        </w:rPr>
        <w:t>建设概况</w:t>
      </w:r>
      <w:r>
        <w:rPr>
          <w:i w:val="0"/>
          <w:iCs w:val="0"/>
          <w:color w:val="auto"/>
        </w:rPr>
        <w:tab/>
      </w:r>
      <w:r>
        <w:rPr>
          <w:i w:val="0"/>
          <w:iCs w:val="0"/>
          <w:color w:val="auto"/>
        </w:rPr>
        <w:fldChar w:fldCharType="begin"/>
      </w:r>
      <w:r>
        <w:rPr>
          <w:i w:val="0"/>
          <w:iCs w:val="0"/>
          <w:color w:val="auto"/>
        </w:rPr>
        <w:instrText xml:space="preserve"> PAGEREF _Toc18032 \h </w:instrText>
      </w:r>
      <w:r>
        <w:rPr>
          <w:i w:val="0"/>
          <w:iCs w:val="0"/>
          <w:color w:val="auto"/>
        </w:rPr>
        <w:fldChar w:fldCharType="separate"/>
      </w:r>
      <w:r>
        <w:rPr>
          <w:i w:val="0"/>
          <w:iCs w:val="0"/>
          <w:color w:val="auto"/>
        </w:rPr>
        <w:t>137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_Toc25169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9.1.1 </w:t>
      </w:r>
      <w:r>
        <w:rPr>
          <w:rFonts w:hint="default" w:ascii="Times New Roman" w:hAnsi="Times New Roman" w:cs="Times New Roman" w:eastAsiaTheme="majorEastAsia"/>
          <w:bCs w:val="0"/>
          <w:i w:val="0"/>
          <w:iCs w:val="0"/>
          <w:color w:val="auto"/>
          <w:szCs w:val="24"/>
        </w:rPr>
        <w:t>项目概况</w:t>
      </w:r>
      <w:r>
        <w:rPr>
          <w:i w:val="0"/>
          <w:iCs w:val="0"/>
          <w:color w:val="auto"/>
        </w:rPr>
        <w:tab/>
      </w:r>
      <w:r>
        <w:rPr>
          <w:i w:val="0"/>
          <w:iCs w:val="0"/>
          <w:color w:val="auto"/>
        </w:rPr>
        <w:fldChar w:fldCharType="begin"/>
      </w:r>
      <w:r>
        <w:rPr>
          <w:i w:val="0"/>
          <w:iCs w:val="0"/>
          <w:color w:val="auto"/>
        </w:rPr>
        <w:instrText xml:space="preserve"> PAGEREF _Toc25169 \h </w:instrText>
      </w:r>
      <w:r>
        <w:rPr>
          <w:i w:val="0"/>
          <w:iCs w:val="0"/>
          <w:color w:val="auto"/>
        </w:rPr>
        <w:fldChar w:fldCharType="separate"/>
      </w:r>
      <w:r>
        <w:rPr>
          <w:i w:val="0"/>
          <w:iCs w:val="0"/>
          <w:color w:val="auto"/>
        </w:rPr>
        <w:t>137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_Toc16884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9.1.2 </w:t>
      </w:r>
      <w:r>
        <w:rPr>
          <w:rFonts w:hint="default" w:ascii="Times New Roman" w:hAnsi="Times New Roman" w:cs="Times New Roman" w:eastAsiaTheme="majorEastAsia"/>
          <w:bCs w:val="0"/>
          <w:i w:val="0"/>
          <w:iCs w:val="0"/>
          <w:color w:val="auto"/>
          <w:szCs w:val="24"/>
        </w:rPr>
        <w:t>项目的产业政策符合性</w:t>
      </w:r>
      <w:r>
        <w:rPr>
          <w:i w:val="0"/>
          <w:iCs w:val="0"/>
          <w:color w:val="auto"/>
        </w:rPr>
        <w:tab/>
      </w:r>
      <w:r>
        <w:rPr>
          <w:i w:val="0"/>
          <w:iCs w:val="0"/>
          <w:color w:val="auto"/>
        </w:rPr>
        <w:fldChar w:fldCharType="begin"/>
      </w:r>
      <w:r>
        <w:rPr>
          <w:i w:val="0"/>
          <w:iCs w:val="0"/>
          <w:color w:val="auto"/>
        </w:rPr>
        <w:instrText xml:space="preserve"> PAGEREF _Toc16884 \h </w:instrText>
      </w:r>
      <w:r>
        <w:rPr>
          <w:i w:val="0"/>
          <w:iCs w:val="0"/>
          <w:color w:val="auto"/>
        </w:rPr>
        <w:fldChar w:fldCharType="separate"/>
      </w:r>
      <w:r>
        <w:rPr>
          <w:i w:val="0"/>
          <w:iCs w:val="0"/>
          <w:color w:val="auto"/>
        </w:rPr>
        <w:t>137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_Toc18537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9.1.3 </w:t>
      </w:r>
      <w:r>
        <w:rPr>
          <w:rFonts w:hint="default" w:ascii="Times New Roman" w:hAnsi="Times New Roman" w:cs="Times New Roman" w:eastAsiaTheme="majorEastAsia"/>
          <w:bCs w:val="0"/>
          <w:i w:val="0"/>
          <w:iCs w:val="0"/>
          <w:color w:val="auto"/>
          <w:szCs w:val="24"/>
        </w:rPr>
        <w:t>项目与规划符合性</w:t>
      </w:r>
      <w:r>
        <w:rPr>
          <w:i w:val="0"/>
          <w:iCs w:val="0"/>
          <w:color w:val="auto"/>
        </w:rPr>
        <w:tab/>
      </w:r>
      <w:r>
        <w:rPr>
          <w:i w:val="0"/>
          <w:iCs w:val="0"/>
          <w:color w:val="auto"/>
        </w:rPr>
        <w:fldChar w:fldCharType="begin"/>
      </w:r>
      <w:r>
        <w:rPr>
          <w:i w:val="0"/>
          <w:iCs w:val="0"/>
          <w:color w:val="auto"/>
        </w:rPr>
        <w:instrText xml:space="preserve"> PAGEREF _Toc18537 \h </w:instrText>
      </w:r>
      <w:r>
        <w:rPr>
          <w:i w:val="0"/>
          <w:iCs w:val="0"/>
          <w:color w:val="auto"/>
        </w:rPr>
        <w:fldChar w:fldCharType="separate"/>
      </w:r>
      <w:r>
        <w:rPr>
          <w:i w:val="0"/>
          <w:iCs w:val="0"/>
          <w:color w:val="auto"/>
        </w:rPr>
        <w:t>137</w:t>
      </w:r>
      <w:r>
        <w:rPr>
          <w:i w:val="0"/>
          <w:iCs w:val="0"/>
          <w:color w:val="auto"/>
        </w:rPr>
        <w:fldChar w:fldCharType="end"/>
      </w:r>
      <w:r>
        <w:rPr>
          <w:rFonts w:eastAsiaTheme="minorEastAsia"/>
          <w:bCs/>
          <w:i w:val="0"/>
          <w:iCs w:val="0"/>
          <w:color w:val="auto"/>
          <w:szCs w:val="32"/>
        </w:rPr>
        <w:fldChar w:fldCharType="end"/>
      </w:r>
    </w:p>
    <w:p>
      <w:pPr>
        <w:pStyle w:val="4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_Toc18270 </w:instrText>
      </w:r>
      <w:r>
        <w:rPr>
          <w:rFonts w:eastAsiaTheme="minorEastAsia"/>
          <w:bCs/>
          <w:i w:val="0"/>
          <w:iCs w:val="0"/>
          <w:color w:val="auto"/>
          <w:szCs w:val="32"/>
        </w:rPr>
        <w:fldChar w:fldCharType="separate"/>
      </w:r>
      <w:r>
        <w:rPr>
          <w:rFonts w:hint="eastAsia" w:ascii="Times New Roman" w:hAnsi="Times New Roman" w:cs="Times New Roman" w:eastAsiaTheme="majorEastAsia"/>
          <w:bCs w:val="0"/>
          <w:i w:val="0"/>
          <w:iCs w:val="0"/>
          <w:color w:val="auto"/>
          <w:szCs w:val="24"/>
        </w:rPr>
        <w:t xml:space="preserve">9.1.4 </w:t>
      </w:r>
      <w:r>
        <w:rPr>
          <w:rFonts w:hint="default" w:ascii="Times New Roman" w:hAnsi="Times New Roman" w:cs="Times New Roman" w:eastAsiaTheme="majorEastAsia"/>
          <w:bCs w:val="0"/>
          <w:i w:val="0"/>
          <w:iCs w:val="0"/>
          <w:color w:val="auto"/>
          <w:szCs w:val="24"/>
        </w:rPr>
        <w:t>选址合理性分析</w:t>
      </w:r>
      <w:r>
        <w:rPr>
          <w:i w:val="0"/>
          <w:iCs w:val="0"/>
          <w:color w:val="auto"/>
        </w:rPr>
        <w:tab/>
      </w:r>
      <w:r>
        <w:rPr>
          <w:i w:val="0"/>
          <w:iCs w:val="0"/>
          <w:color w:val="auto"/>
        </w:rPr>
        <w:fldChar w:fldCharType="begin"/>
      </w:r>
      <w:r>
        <w:rPr>
          <w:i w:val="0"/>
          <w:iCs w:val="0"/>
          <w:color w:val="auto"/>
        </w:rPr>
        <w:instrText xml:space="preserve"> PAGEREF _Toc18270 \h </w:instrText>
      </w:r>
      <w:r>
        <w:rPr>
          <w:i w:val="0"/>
          <w:iCs w:val="0"/>
          <w:color w:val="auto"/>
        </w:rPr>
        <w:fldChar w:fldCharType="separate"/>
      </w:r>
      <w:r>
        <w:rPr>
          <w:i w:val="0"/>
          <w:iCs w:val="0"/>
          <w:color w:val="auto"/>
        </w:rPr>
        <w:t>137</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_Toc19501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9.2 </w:t>
      </w:r>
      <w:r>
        <w:rPr>
          <w:rFonts w:ascii="Times New Roman" w:hAnsi="Times New Roman" w:cs="Times New Roman" w:eastAsiaTheme="majorEastAsia"/>
          <w:bCs/>
          <w:i w:val="0"/>
          <w:iCs w:val="0"/>
          <w:color w:val="auto"/>
          <w:kern w:val="2"/>
          <w:szCs w:val="32"/>
          <w:lang w:val="en-US" w:eastAsia="zh-CN"/>
        </w:rPr>
        <w:t>环境质量现状</w:t>
      </w:r>
      <w:r>
        <w:rPr>
          <w:i w:val="0"/>
          <w:iCs w:val="0"/>
          <w:color w:val="auto"/>
        </w:rPr>
        <w:tab/>
      </w:r>
      <w:r>
        <w:rPr>
          <w:i w:val="0"/>
          <w:iCs w:val="0"/>
          <w:color w:val="auto"/>
        </w:rPr>
        <w:fldChar w:fldCharType="begin"/>
      </w:r>
      <w:r>
        <w:rPr>
          <w:i w:val="0"/>
          <w:iCs w:val="0"/>
          <w:color w:val="auto"/>
        </w:rPr>
        <w:instrText xml:space="preserve"> PAGEREF _Toc19501 \h </w:instrText>
      </w:r>
      <w:r>
        <w:rPr>
          <w:i w:val="0"/>
          <w:iCs w:val="0"/>
          <w:color w:val="auto"/>
        </w:rPr>
        <w:fldChar w:fldCharType="separate"/>
      </w:r>
      <w:r>
        <w:rPr>
          <w:i w:val="0"/>
          <w:iCs w:val="0"/>
          <w:color w:val="auto"/>
        </w:rPr>
        <w:t>139</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_Toc20139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9.3 </w:t>
      </w:r>
      <w:r>
        <w:rPr>
          <w:rFonts w:ascii="Times New Roman" w:hAnsi="Times New Roman" w:cs="Times New Roman" w:eastAsiaTheme="majorEastAsia"/>
          <w:bCs/>
          <w:i w:val="0"/>
          <w:iCs w:val="0"/>
          <w:color w:val="auto"/>
          <w:kern w:val="2"/>
          <w:szCs w:val="32"/>
          <w:lang w:val="en-US" w:eastAsia="zh-CN"/>
        </w:rPr>
        <w:t>污染物排放情况</w:t>
      </w:r>
      <w:r>
        <w:rPr>
          <w:i w:val="0"/>
          <w:iCs w:val="0"/>
          <w:color w:val="auto"/>
        </w:rPr>
        <w:tab/>
      </w:r>
      <w:r>
        <w:rPr>
          <w:i w:val="0"/>
          <w:iCs w:val="0"/>
          <w:color w:val="auto"/>
        </w:rPr>
        <w:fldChar w:fldCharType="begin"/>
      </w:r>
      <w:r>
        <w:rPr>
          <w:i w:val="0"/>
          <w:iCs w:val="0"/>
          <w:color w:val="auto"/>
        </w:rPr>
        <w:instrText xml:space="preserve"> PAGEREF _Toc20139 \h </w:instrText>
      </w:r>
      <w:r>
        <w:rPr>
          <w:i w:val="0"/>
          <w:iCs w:val="0"/>
          <w:color w:val="auto"/>
        </w:rPr>
        <w:fldChar w:fldCharType="separate"/>
      </w:r>
      <w:r>
        <w:rPr>
          <w:i w:val="0"/>
          <w:iCs w:val="0"/>
          <w:color w:val="auto"/>
        </w:rPr>
        <w:t>139</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_Toc4772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9.4 </w:t>
      </w:r>
      <w:r>
        <w:rPr>
          <w:rFonts w:ascii="Times New Roman" w:hAnsi="Times New Roman" w:cs="Times New Roman" w:eastAsiaTheme="majorEastAsia"/>
          <w:bCs/>
          <w:i w:val="0"/>
          <w:iCs w:val="0"/>
          <w:color w:val="auto"/>
          <w:kern w:val="2"/>
          <w:szCs w:val="32"/>
          <w:lang w:val="en-US" w:eastAsia="zh-CN"/>
        </w:rPr>
        <w:t>主要环境影响</w:t>
      </w:r>
      <w:r>
        <w:rPr>
          <w:i w:val="0"/>
          <w:iCs w:val="0"/>
          <w:color w:val="auto"/>
        </w:rPr>
        <w:tab/>
      </w:r>
      <w:r>
        <w:rPr>
          <w:i w:val="0"/>
          <w:iCs w:val="0"/>
          <w:color w:val="auto"/>
        </w:rPr>
        <w:fldChar w:fldCharType="begin"/>
      </w:r>
      <w:r>
        <w:rPr>
          <w:i w:val="0"/>
          <w:iCs w:val="0"/>
          <w:color w:val="auto"/>
        </w:rPr>
        <w:instrText xml:space="preserve"> PAGEREF _Toc4772 \h </w:instrText>
      </w:r>
      <w:r>
        <w:rPr>
          <w:i w:val="0"/>
          <w:iCs w:val="0"/>
          <w:color w:val="auto"/>
        </w:rPr>
        <w:fldChar w:fldCharType="separate"/>
      </w:r>
      <w:r>
        <w:rPr>
          <w:i w:val="0"/>
          <w:iCs w:val="0"/>
          <w:color w:val="auto"/>
        </w:rPr>
        <w:t>140</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_Toc10703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9.5 </w:t>
      </w:r>
      <w:r>
        <w:rPr>
          <w:rFonts w:ascii="Times New Roman" w:hAnsi="Times New Roman" w:cs="Times New Roman" w:eastAsiaTheme="majorEastAsia"/>
          <w:bCs/>
          <w:i w:val="0"/>
          <w:iCs w:val="0"/>
          <w:color w:val="auto"/>
          <w:kern w:val="2"/>
          <w:szCs w:val="32"/>
          <w:lang w:val="en-US" w:eastAsia="zh-CN"/>
        </w:rPr>
        <w:t>公众意见采纳情况</w:t>
      </w:r>
      <w:r>
        <w:rPr>
          <w:i w:val="0"/>
          <w:iCs w:val="0"/>
          <w:color w:val="auto"/>
        </w:rPr>
        <w:tab/>
      </w:r>
      <w:r>
        <w:rPr>
          <w:i w:val="0"/>
          <w:iCs w:val="0"/>
          <w:color w:val="auto"/>
        </w:rPr>
        <w:fldChar w:fldCharType="begin"/>
      </w:r>
      <w:r>
        <w:rPr>
          <w:i w:val="0"/>
          <w:iCs w:val="0"/>
          <w:color w:val="auto"/>
        </w:rPr>
        <w:instrText xml:space="preserve"> PAGEREF _Toc10703 \h </w:instrText>
      </w:r>
      <w:r>
        <w:rPr>
          <w:i w:val="0"/>
          <w:iCs w:val="0"/>
          <w:color w:val="auto"/>
        </w:rPr>
        <w:fldChar w:fldCharType="separate"/>
      </w:r>
      <w:r>
        <w:rPr>
          <w:i w:val="0"/>
          <w:iCs w:val="0"/>
          <w:color w:val="auto"/>
        </w:rPr>
        <w:t>141</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_Toc10933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9.6 </w:t>
      </w:r>
      <w:r>
        <w:rPr>
          <w:rFonts w:ascii="Times New Roman" w:hAnsi="Times New Roman" w:cs="Times New Roman" w:eastAsiaTheme="majorEastAsia"/>
          <w:bCs/>
          <w:i w:val="0"/>
          <w:iCs w:val="0"/>
          <w:color w:val="auto"/>
          <w:kern w:val="2"/>
          <w:szCs w:val="32"/>
          <w:lang w:val="en-US" w:eastAsia="zh-CN"/>
        </w:rPr>
        <w:t>环境保护措施</w:t>
      </w:r>
      <w:r>
        <w:rPr>
          <w:i w:val="0"/>
          <w:iCs w:val="0"/>
          <w:color w:val="auto"/>
        </w:rPr>
        <w:tab/>
      </w:r>
      <w:r>
        <w:rPr>
          <w:i w:val="0"/>
          <w:iCs w:val="0"/>
          <w:color w:val="auto"/>
        </w:rPr>
        <w:fldChar w:fldCharType="begin"/>
      </w:r>
      <w:r>
        <w:rPr>
          <w:i w:val="0"/>
          <w:iCs w:val="0"/>
          <w:color w:val="auto"/>
        </w:rPr>
        <w:instrText xml:space="preserve"> PAGEREF _Toc10933 \h </w:instrText>
      </w:r>
      <w:r>
        <w:rPr>
          <w:i w:val="0"/>
          <w:iCs w:val="0"/>
          <w:color w:val="auto"/>
        </w:rPr>
        <w:fldChar w:fldCharType="separate"/>
      </w:r>
      <w:r>
        <w:rPr>
          <w:i w:val="0"/>
          <w:iCs w:val="0"/>
          <w:color w:val="auto"/>
        </w:rPr>
        <w:t>143</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_Toc17853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9.7 </w:t>
      </w:r>
      <w:r>
        <w:rPr>
          <w:rFonts w:ascii="Times New Roman" w:hAnsi="Times New Roman" w:cs="Times New Roman" w:eastAsiaTheme="majorEastAsia"/>
          <w:bCs/>
          <w:i w:val="0"/>
          <w:iCs w:val="0"/>
          <w:color w:val="auto"/>
          <w:kern w:val="2"/>
          <w:szCs w:val="32"/>
          <w:lang w:val="en-US" w:eastAsia="zh-CN"/>
        </w:rPr>
        <w:t>环境影响经济损益分析</w:t>
      </w:r>
      <w:r>
        <w:rPr>
          <w:i w:val="0"/>
          <w:iCs w:val="0"/>
          <w:color w:val="auto"/>
        </w:rPr>
        <w:tab/>
      </w:r>
      <w:r>
        <w:rPr>
          <w:i w:val="0"/>
          <w:iCs w:val="0"/>
          <w:color w:val="auto"/>
        </w:rPr>
        <w:fldChar w:fldCharType="begin"/>
      </w:r>
      <w:r>
        <w:rPr>
          <w:i w:val="0"/>
          <w:iCs w:val="0"/>
          <w:color w:val="auto"/>
        </w:rPr>
        <w:instrText xml:space="preserve"> PAGEREF _Toc17853 \h </w:instrText>
      </w:r>
      <w:r>
        <w:rPr>
          <w:i w:val="0"/>
          <w:iCs w:val="0"/>
          <w:color w:val="auto"/>
        </w:rPr>
        <w:fldChar w:fldCharType="separate"/>
      </w:r>
      <w:r>
        <w:rPr>
          <w:i w:val="0"/>
          <w:iCs w:val="0"/>
          <w:color w:val="auto"/>
        </w:rPr>
        <w:t>144</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_Toc2219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9.8 </w:t>
      </w:r>
      <w:r>
        <w:rPr>
          <w:rFonts w:ascii="Times New Roman" w:hAnsi="Times New Roman" w:cs="Times New Roman" w:eastAsiaTheme="majorEastAsia"/>
          <w:bCs/>
          <w:i w:val="0"/>
          <w:iCs w:val="0"/>
          <w:color w:val="auto"/>
          <w:kern w:val="2"/>
          <w:szCs w:val="32"/>
          <w:lang w:val="en-US" w:eastAsia="zh-CN"/>
        </w:rPr>
        <w:t>环境管理与监测计划</w:t>
      </w:r>
      <w:r>
        <w:rPr>
          <w:i w:val="0"/>
          <w:iCs w:val="0"/>
          <w:color w:val="auto"/>
        </w:rPr>
        <w:tab/>
      </w:r>
      <w:r>
        <w:rPr>
          <w:i w:val="0"/>
          <w:iCs w:val="0"/>
          <w:color w:val="auto"/>
        </w:rPr>
        <w:fldChar w:fldCharType="begin"/>
      </w:r>
      <w:r>
        <w:rPr>
          <w:i w:val="0"/>
          <w:iCs w:val="0"/>
          <w:color w:val="auto"/>
        </w:rPr>
        <w:instrText xml:space="preserve"> PAGEREF _Toc2219 \h </w:instrText>
      </w:r>
      <w:r>
        <w:rPr>
          <w:i w:val="0"/>
          <w:iCs w:val="0"/>
          <w:color w:val="auto"/>
        </w:rPr>
        <w:fldChar w:fldCharType="separate"/>
      </w:r>
      <w:r>
        <w:rPr>
          <w:i w:val="0"/>
          <w:iCs w:val="0"/>
          <w:color w:val="auto"/>
        </w:rPr>
        <w:t>144</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_Toc31814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9.9 </w:t>
      </w:r>
      <w:r>
        <w:rPr>
          <w:rFonts w:ascii="Times New Roman" w:hAnsi="Times New Roman" w:cs="Times New Roman" w:eastAsiaTheme="majorEastAsia"/>
          <w:bCs/>
          <w:i w:val="0"/>
          <w:iCs w:val="0"/>
          <w:color w:val="auto"/>
          <w:kern w:val="2"/>
          <w:szCs w:val="32"/>
          <w:lang w:val="en-US" w:eastAsia="zh-CN"/>
        </w:rPr>
        <w:t>结论</w:t>
      </w:r>
      <w:r>
        <w:rPr>
          <w:i w:val="0"/>
          <w:iCs w:val="0"/>
          <w:color w:val="auto"/>
        </w:rPr>
        <w:tab/>
      </w:r>
      <w:r>
        <w:rPr>
          <w:i w:val="0"/>
          <w:iCs w:val="0"/>
          <w:color w:val="auto"/>
        </w:rPr>
        <w:fldChar w:fldCharType="begin"/>
      </w:r>
      <w:r>
        <w:rPr>
          <w:i w:val="0"/>
          <w:iCs w:val="0"/>
          <w:color w:val="auto"/>
        </w:rPr>
        <w:instrText xml:space="preserve"> PAGEREF _Toc31814 \h </w:instrText>
      </w:r>
      <w:r>
        <w:rPr>
          <w:i w:val="0"/>
          <w:iCs w:val="0"/>
          <w:color w:val="auto"/>
        </w:rPr>
        <w:fldChar w:fldCharType="separate"/>
      </w:r>
      <w:r>
        <w:rPr>
          <w:i w:val="0"/>
          <w:iCs w:val="0"/>
          <w:color w:val="auto"/>
        </w:rPr>
        <w:t>144</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i w:val="0"/>
          <w:iCs w:val="0"/>
          <w:color w:val="auto"/>
        </w:rPr>
      </w:pPr>
      <w:r>
        <w:rPr>
          <w:rFonts w:eastAsiaTheme="minorEastAsia"/>
          <w:bCs/>
          <w:i w:val="0"/>
          <w:iCs w:val="0"/>
          <w:color w:val="auto"/>
          <w:szCs w:val="32"/>
        </w:rPr>
        <w:fldChar w:fldCharType="begin"/>
      </w:r>
      <w:r>
        <w:rPr>
          <w:rFonts w:eastAsiaTheme="minorEastAsia"/>
          <w:bCs/>
          <w:i w:val="0"/>
          <w:iCs w:val="0"/>
          <w:color w:val="auto"/>
          <w:szCs w:val="32"/>
        </w:rPr>
        <w:instrText xml:space="preserve"> HYPERLINK \l _Toc17138 </w:instrText>
      </w:r>
      <w:r>
        <w:rPr>
          <w:rFonts w:eastAsiaTheme="minorEastAsia"/>
          <w:bCs/>
          <w:i w:val="0"/>
          <w:iCs w:val="0"/>
          <w:color w:val="auto"/>
          <w:szCs w:val="32"/>
        </w:rPr>
        <w:fldChar w:fldCharType="separate"/>
      </w:r>
      <w:r>
        <w:rPr>
          <w:rFonts w:hint="eastAsia" w:ascii="Times New Roman" w:hAnsi="Times New Roman" w:cs="Times New Roman" w:eastAsiaTheme="majorEastAsia"/>
          <w:bCs/>
          <w:i w:val="0"/>
          <w:iCs w:val="0"/>
          <w:color w:val="auto"/>
          <w:kern w:val="2"/>
          <w:szCs w:val="32"/>
          <w:lang w:val="en-US" w:eastAsia="zh-CN"/>
        </w:rPr>
        <w:t xml:space="preserve">9.10 </w:t>
      </w:r>
      <w:r>
        <w:rPr>
          <w:rFonts w:ascii="Times New Roman" w:hAnsi="Times New Roman" w:cs="Times New Roman" w:eastAsiaTheme="majorEastAsia"/>
          <w:bCs/>
          <w:i w:val="0"/>
          <w:iCs w:val="0"/>
          <w:color w:val="auto"/>
          <w:kern w:val="2"/>
          <w:szCs w:val="32"/>
          <w:lang w:val="en-US" w:eastAsia="zh-CN"/>
        </w:rPr>
        <w:t>要求及建议</w:t>
      </w:r>
      <w:r>
        <w:rPr>
          <w:i w:val="0"/>
          <w:iCs w:val="0"/>
          <w:color w:val="auto"/>
        </w:rPr>
        <w:tab/>
      </w:r>
      <w:r>
        <w:rPr>
          <w:i w:val="0"/>
          <w:iCs w:val="0"/>
          <w:color w:val="auto"/>
        </w:rPr>
        <w:fldChar w:fldCharType="begin"/>
      </w:r>
      <w:r>
        <w:rPr>
          <w:i w:val="0"/>
          <w:iCs w:val="0"/>
          <w:color w:val="auto"/>
        </w:rPr>
        <w:instrText xml:space="preserve"> PAGEREF _Toc17138 \h </w:instrText>
      </w:r>
      <w:r>
        <w:rPr>
          <w:i w:val="0"/>
          <w:iCs w:val="0"/>
          <w:color w:val="auto"/>
        </w:rPr>
        <w:fldChar w:fldCharType="separate"/>
      </w:r>
      <w:r>
        <w:rPr>
          <w:i w:val="0"/>
          <w:iCs w:val="0"/>
          <w:color w:val="auto"/>
        </w:rPr>
        <w:t>144</w:t>
      </w:r>
      <w:r>
        <w:rPr>
          <w:i w:val="0"/>
          <w:iCs w:val="0"/>
          <w:color w:val="auto"/>
        </w:rPr>
        <w:fldChar w:fldCharType="end"/>
      </w:r>
      <w:r>
        <w:rPr>
          <w:rFonts w:eastAsiaTheme="minorEastAsia"/>
          <w:bCs/>
          <w:i w:val="0"/>
          <w:iCs w:val="0"/>
          <w:color w:val="auto"/>
          <w:szCs w:val="32"/>
        </w:rPr>
        <w:fldChar w:fldCharType="end"/>
      </w:r>
    </w:p>
    <w:p>
      <w:pPr>
        <w:pStyle w:val="75"/>
        <w:tabs>
          <w:tab w:val="right" w:leader="dot" w:pos="8732"/>
        </w:tabs>
        <w:rPr>
          <w:rFonts w:eastAsiaTheme="minorEastAsia"/>
          <w:bCs/>
          <w:i w:val="0"/>
          <w:iCs w:val="0"/>
          <w:color w:val="auto"/>
          <w:szCs w:val="32"/>
        </w:rPr>
      </w:pPr>
      <w:r>
        <w:rPr>
          <w:rFonts w:eastAsiaTheme="minorEastAsia"/>
          <w:bCs/>
          <w:i w:val="0"/>
          <w:iCs w:val="0"/>
          <w:color w:val="auto"/>
          <w:szCs w:val="32"/>
        </w:rPr>
        <w:fldChar w:fldCharType="end"/>
      </w:r>
    </w:p>
    <w:p>
      <w:pPr>
        <w:rPr>
          <w:rFonts w:eastAsiaTheme="minorEastAsia"/>
          <w:bCs/>
          <w:i w:val="0"/>
          <w:iCs w:val="0"/>
          <w:color w:val="auto"/>
          <w:szCs w:val="32"/>
        </w:rPr>
      </w:pPr>
      <w:r>
        <w:rPr>
          <w:rFonts w:eastAsiaTheme="minorEastAsia"/>
          <w:bCs/>
          <w:i w:val="0"/>
          <w:iCs w:val="0"/>
          <w:color w:val="auto"/>
          <w:szCs w:val="32"/>
        </w:rPr>
        <w:br w:type="page"/>
      </w:r>
    </w:p>
    <w:p>
      <w:pPr>
        <w:spacing w:line="360" w:lineRule="auto"/>
        <w:rPr>
          <w:b/>
          <w:color w:val="auto"/>
          <w:sz w:val="22"/>
          <w:szCs w:val="28"/>
        </w:rPr>
      </w:pPr>
      <w:r>
        <w:rPr>
          <w:b/>
          <w:color w:val="auto"/>
          <w:sz w:val="22"/>
          <w:szCs w:val="28"/>
        </w:rPr>
        <w:t>附图：</w:t>
      </w:r>
    </w:p>
    <w:p>
      <w:pPr>
        <w:spacing w:line="360" w:lineRule="auto"/>
        <w:rPr>
          <w:color w:val="auto"/>
          <w:sz w:val="22"/>
          <w:szCs w:val="28"/>
        </w:rPr>
      </w:pPr>
      <w:r>
        <w:rPr>
          <w:color w:val="auto"/>
          <w:sz w:val="22"/>
          <w:szCs w:val="28"/>
        </w:rPr>
        <w:t>附图1 项目地理位置图</w:t>
      </w:r>
    </w:p>
    <w:p>
      <w:pPr>
        <w:spacing w:line="360" w:lineRule="auto"/>
        <w:rPr>
          <w:rFonts w:hint="eastAsia"/>
          <w:color w:val="auto"/>
          <w:sz w:val="22"/>
          <w:szCs w:val="28"/>
        </w:rPr>
      </w:pPr>
      <w:r>
        <w:rPr>
          <w:rFonts w:hint="eastAsia"/>
          <w:color w:val="auto"/>
          <w:sz w:val="22"/>
          <w:szCs w:val="28"/>
        </w:rPr>
        <w:t>附图2-1 项目水文地质图（四川）</w:t>
      </w:r>
    </w:p>
    <w:p>
      <w:pPr>
        <w:spacing w:line="360" w:lineRule="auto"/>
        <w:rPr>
          <w:rFonts w:hint="eastAsia"/>
          <w:color w:val="auto"/>
          <w:sz w:val="22"/>
          <w:szCs w:val="28"/>
        </w:rPr>
      </w:pPr>
      <w:r>
        <w:rPr>
          <w:rFonts w:hint="eastAsia"/>
          <w:color w:val="auto"/>
          <w:sz w:val="22"/>
          <w:szCs w:val="28"/>
        </w:rPr>
        <w:t>附图2-2 项目所在区域水文地质图（巴中）</w:t>
      </w:r>
    </w:p>
    <w:p>
      <w:pPr>
        <w:spacing w:line="360" w:lineRule="auto"/>
        <w:rPr>
          <w:color w:val="auto"/>
          <w:sz w:val="22"/>
          <w:szCs w:val="28"/>
        </w:rPr>
      </w:pPr>
      <w:r>
        <w:rPr>
          <w:rFonts w:hint="eastAsia"/>
          <w:color w:val="auto"/>
          <w:sz w:val="22"/>
          <w:szCs w:val="28"/>
        </w:rPr>
        <w:t>附图3  项目所在区域水系图</w:t>
      </w:r>
    </w:p>
    <w:p>
      <w:pPr>
        <w:spacing w:line="360" w:lineRule="auto"/>
        <w:rPr>
          <w:color w:val="auto"/>
          <w:sz w:val="22"/>
          <w:szCs w:val="28"/>
        </w:rPr>
      </w:pPr>
      <w:r>
        <w:rPr>
          <w:rFonts w:hint="eastAsia"/>
          <w:color w:val="auto"/>
          <w:sz w:val="22"/>
          <w:szCs w:val="28"/>
        </w:rPr>
        <w:t xml:space="preserve">附图4 </w:t>
      </w:r>
      <w:r>
        <w:rPr>
          <w:rFonts w:hint="eastAsia"/>
          <w:color w:val="auto"/>
          <w:sz w:val="22"/>
          <w:szCs w:val="28"/>
          <w:lang w:val="en-US" w:eastAsia="zh-CN"/>
        </w:rPr>
        <w:t xml:space="preserve"> </w:t>
      </w:r>
      <w:r>
        <w:rPr>
          <w:rFonts w:hint="eastAsia"/>
          <w:color w:val="auto"/>
          <w:sz w:val="22"/>
          <w:szCs w:val="28"/>
        </w:rPr>
        <w:t>项目大气保护目标图</w:t>
      </w:r>
    </w:p>
    <w:p>
      <w:pPr>
        <w:spacing w:line="360" w:lineRule="auto"/>
        <w:rPr>
          <w:color w:val="auto"/>
          <w:sz w:val="22"/>
          <w:szCs w:val="28"/>
        </w:rPr>
      </w:pPr>
      <w:r>
        <w:rPr>
          <w:rFonts w:hint="eastAsia"/>
          <w:color w:val="auto"/>
          <w:sz w:val="22"/>
          <w:szCs w:val="28"/>
        </w:rPr>
        <w:t xml:space="preserve">附图5-1 </w:t>
      </w:r>
      <w:r>
        <w:rPr>
          <w:rFonts w:hint="eastAsia"/>
          <w:color w:val="auto"/>
          <w:sz w:val="22"/>
          <w:szCs w:val="28"/>
          <w:lang w:val="en-US" w:eastAsia="zh-CN"/>
        </w:rPr>
        <w:t xml:space="preserve"> </w:t>
      </w:r>
      <w:r>
        <w:rPr>
          <w:rFonts w:hint="eastAsia"/>
          <w:color w:val="auto"/>
          <w:sz w:val="22"/>
          <w:szCs w:val="28"/>
        </w:rPr>
        <w:t>项目噪声、土壤评价范围图</w:t>
      </w:r>
    </w:p>
    <w:p>
      <w:pPr>
        <w:spacing w:line="360" w:lineRule="auto"/>
        <w:rPr>
          <w:rFonts w:hint="eastAsia"/>
          <w:color w:val="auto"/>
          <w:sz w:val="22"/>
          <w:szCs w:val="28"/>
        </w:rPr>
      </w:pPr>
      <w:r>
        <w:rPr>
          <w:rFonts w:hint="eastAsia"/>
          <w:color w:val="auto"/>
          <w:sz w:val="22"/>
          <w:szCs w:val="28"/>
        </w:rPr>
        <w:t xml:space="preserve">附图5-2 </w:t>
      </w:r>
      <w:r>
        <w:rPr>
          <w:rFonts w:hint="eastAsia"/>
          <w:color w:val="auto"/>
          <w:sz w:val="22"/>
          <w:szCs w:val="28"/>
          <w:lang w:val="en-US" w:eastAsia="zh-CN"/>
        </w:rPr>
        <w:t xml:space="preserve"> </w:t>
      </w:r>
      <w:r>
        <w:rPr>
          <w:rFonts w:hint="eastAsia"/>
          <w:color w:val="auto"/>
          <w:sz w:val="22"/>
          <w:szCs w:val="28"/>
        </w:rPr>
        <w:t>项目大气、生态评价范围图</w:t>
      </w:r>
    </w:p>
    <w:p>
      <w:pPr>
        <w:spacing w:line="360" w:lineRule="auto"/>
        <w:rPr>
          <w:rFonts w:hint="eastAsia"/>
          <w:color w:val="auto"/>
          <w:sz w:val="22"/>
          <w:szCs w:val="28"/>
        </w:rPr>
      </w:pPr>
      <w:r>
        <w:rPr>
          <w:rFonts w:hint="eastAsia"/>
          <w:color w:val="auto"/>
          <w:sz w:val="22"/>
          <w:szCs w:val="28"/>
        </w:rPr>
        <w:t xml:space="preserve">附图6 </w:t>
      </w:r>
      <w:r>
        <w:rPr>
          <w:rFonts w:hint="eastAsia"/>
          <w:color w:val="auto"/>
          <w:sz w:val="22"/>
          <w:szCs w:val="28"/>
          <w:lang w:val="en-US" w:eastAsia="zh-CN"/>
        </w:rPr>
        <w:t xml:space="preserve"> </w:t>
      </w:r>
      <w:r>
        <w:rPr>
          <w:rFonts w:hint="eastAsia"/>
          <w:color w:val="auto"/>
          <w:sz w:val="22"/>
          <w:szCs w:val="28"/>
        </w:rPr>
        <w:t>项目监测布点图</w:t>
      </w:r>
    </w:p>
    <w:p>
      <w:pPr>
        <w:spacing w:line="360" w:lineRule="auto"/>
        <w:rPr>
          <w:rFonts w:hint="eastAsia"/>
          <w:color w:val="auto"/>
          <w:sz w:val="22"/>
          <w:szCs w:val="28"/>
        </w:rPr>
      </w:pPr>
      <w:r>
        <w:rPr>
          <w:rFonts w:hint="eastAsia"/>
          <w:color w:val="auto"/>
          <w:sz w:val="22"/>
          <w:szCs w:val="28"/>
        </w:rPr>
        <w:t>附图7</w:t>
      </w:r>
      <w:r>
        <w:rPr>
          <w:rFonts w:hint="eastAsia"/>
          <w:color w:val="auto"/>
          <w:sz w:val="22"/>
          <w:szCs w:val="28"/>
          <w:lang w:val="en-US" w:eastAsia="zh-CN"/>
        </w:rPr>
        <w:t xml:space="preserve">  </w:t>
      </w:r>
      <w:r>
        <w:rPr>
          <w:rFonts w:hint="eastAsia"/>
          <w:color w:val="auto"/>
          <w:sz w:val="22"/>
          <w:szCs w:val="28"/>
        </w:rPr>
        <w:t>项目外环境关系图</w:t>
      </w:r>
    </w:p>
    <w:p>
      <w:pPr>
        <w:spacing w:line="360" w:lineRule="auto"/>
        <w:rPr>
          <w:rFonts w:hint="eastAsia"/>
          <w:color w:val="auto"/>
          <w:sz w:val="22"/>
          <w:szCs w:val="28"/>
        </w:rPr>
      </w:pPr>
      <w:r>
        <w:rPr>
          <w:rFonts w:hint="eastAsia"/>
          <w:color w:val="auto"/>
          <w:sz w:val="22"/>
          <w:szCs w:val="28"/>
        </w:rPr>
        <w:t>附图</w:t>
      </w:r>
      <w:r>
        <w:rPr>
          <w:rFonts w:hint="eastAsia"/>
          <w:color w:val="auto"/>
          <w:sz w:val="22"/>
          <w:szCs w:val="28"/>
          <w:lang w:val="en-US" w:eastAsia="zh-CN"/>
        </w:rPr>
        <w:t>8</w:t>
      </w:r>
      <w:r>
        <w:rPr>
          <w:rFonts w:hint="eastAsia"/>
          <w:color w:val="auto"/>
          <w:sz w:val="22"/>
          <w:szCs w:val="28"/>
        </w:rPr>
        <w:t xml:space="preserve">-1 </w:t>
      </w:r>
      <w:r>
        <w:rPr>
          <w:rFonts w:hint="eastAsia"/>
          <w:color w:val="auto"/>
          <w:sz w:val="22"/>
          <w:szCs w:val="28"/>
          <w:lang w:val="en-US" w:eastAsia="zh-CN"/>
        </w:rPr>
        <w:t xml:space="preserve"> </w:t>
      </w:r>
      <w:r>
        <w:rPr>
          <w:rFonts w:hint="eastAsia"/>
          <w:color w:val="auto"/>
          <w:sz w:val="22"/>
          <w:szCs w:val="28"/>
        </w:rPr>
        <w:t>项目平面布置图</w:t>
      </w:r>
    </w:p>
    <w:p>
      <w:pPr>
        <w:spacing w:line="360" w:lineRule="auto"/>
        <w:rPr>
          <w:rFonts w:hint="eastAsia"/>
          <w:color w:val="auto"/>
          <w:sz w:val="22"/>
          <w:szCs w:val="28"/>
        </w:rPr>
      </w:pPr>
      <w:r>
        <w:rPr>
          <w:rFonts w:hint="eastAsia"/>
          <w:color w:val="auto"/>
          <w:sz w:val="22"/>
          <w:szCs w:val="28"/>
        </w:rPr>
        <w:t>附图</w:t>
      </w:r>
      <w:r>
        <w:rPr>
          <w:rFonts w:hint="eastAsia"/>
          <w:color w:val="auto"/>
          <w:sz w:val="22"/>
          <w:szCs w:val="28"/>
          <w:lang w:val="en-US" w:eastAsia="zh-CN"/>
        </w:rPr>
        <w:t>8</w:t>
      </w:r>
      <w:r>
        <w:rPr>
          <w:rFonts w:hint="eastAsia"/>
          <w:color w:val="auto"/>
          <w:sz w:val="22"/>
          <w:szCs w:val="28"/>
        </w:rPr>
        <w:t>-</w:t>
      </w:r>
      <w:r>
        <w:rPr>
          <w:rFonts w:hint="eastAsia"/>
          <w:color w:val="auto"/>
          <w:sz w:val="22"/>
          <w:szCs w:val="28"/>
          <w:lang w:val="en-US" w:eastAsia="zh-CN"/>
        </w:rPr>
        <w:t>2</w:t>
      </w:r>
      <w:r>
        <w:rPr>
          <w:rFonts w:hint="eastAsia"/>
          <w:color w:val="auto"/>
          <w:sz w:val="22"/>
          <w:szCs w:val="28"/>
        </w:rPr>
        <w:t xml:space="preserve"> </w:t>
      </w:r>
      <w:r>
        <w:rPr>
          <w:rFonts w:hint="eastAsia"/>
          <w:color w:val="auto"/>
          <w:sz w:val="22"/>
          <w:szCs w:val="28"/>
          <w:lang w:val="en-US" w:eastAsia="zh-CN"/>
        </w:rPr>
        <w:t xml:space="preserve"> </w:t>
      </w:r>
      <w:r>
        <w:rPr>
          <w:rFonts w:hint="eastAsia"/>
          <w:color w:val="auto"/>
          <w:sz w:val="22"/>
          <w:szCs w:val="28"/>
        </w:rPr>
        <w:t>项目分区防渗图</w:t>
      </w:r>
    </w:p>
    <w:p>
      <w:pPr>
        <w:spacing w:line="360" w:lineRule="auto"/>
        <w:rPr>
          <w:rFonts w:hint="eastAsia"/>
          <w:color w:val="auto"/>
          <w:sz w:val="22"/>
          <w:szCs w:val="28"/>
        </w:rPr>
      </w:pPr>
      <w:r>
        <w:rPr>
          <w:rFonts w:hint="eastAsia"/>
          <w:color w:val="auto"/>
          <w:sz w:val="22"/>
          <w:szCs w:val="28"/>
        </w:rPr>
        <w:t>附图</w:t>
      </w:r>
      <w:r>
        <w:rPr>
          <w:rFonts w:hint="eastAsia"/>
          <w:color w:val="auto"/>
          <w:sz w:val="22"/>
          <w:szCs w:val="28"/>
          <w:lang w:val="en-US" w:eastAsia="zh-CN"/>
        </w:rPr>
        <w:t>9</w:t>
      </w:r>
      <w:r>
        <w:rPr>
          <w:rFonts w:hint="eastAsia"/>
          <w:color w:val="auto"/>
          <w:sz w:val="22"/>
          <w:szCs w:val="28"/>
        </w:rPr>
        <w:t xml:space="preserve"> </w:t>
      </w:r>
      <w:r>
        <w:rPr>
          <w:rFonts w:hint="eastAsia"/>
          <w:color w:val="auto"/>
          <w:sz w:val="22"/>
          <w:szCs w:val="28"/>
          <w:lang w:val="en-US" w:eastAsia="zh-CN"/>
        </w:rPr>
        <w:t xml:space="preserve"> </w:t>
      </w:r>
      <w:r>
        <w:rPr>
          <w:rFonts w:hint="eastAsia"/>
          <w:color w:val="auto"/>
          <w:sz w:val="22"/>
          <w:szCs w:val="28"/>
        </w:rPr>
        <w:t>项目卫生防护距离图</w:t>
      </w:r>
    </w:p>
    <w:p>
      <w:pPr>
        <w:spacing w:line="360" w:lineRule="auto"/>
        <w:rPr>
          <w:b/>
          <w:color w:val="auto"/>
          <w:sz w:val="22"/>
          <w:szCs w:val="28"/>
        </w:rPr>
      </w:pPr>
      <w:r>
        <w:rPr>
          <w:b/>
          <w:color w:val="auto"/>
          <w:sz w:val="22"/>
          <w:szCs w:val="28"/>
        </w:rPr>
        <w:t>附件：</w:t>
      </w:r>
    </w:p>
    <w:p>
      <w:pPr>
        <w:spacing w:line="360" w:lineRule="auto"/>
        <w:rPr>
          <w:color w:val="auto"/>
          <w:sz w:val="22"/>
          <w:szCs w:val="28"/>
        </w:rPr>
      </w:pPr>
      <w:r>
        <w:rPr>
          <w:rFonts w:hint="eastAsia"/>
          <w:color w:val="auto"/>
          <w:sz w:val="22"/>
          <w:szCs w:val="28"/>
        </w:rPr>
        <w:t>附件1 委托书</w:t>
      </w:r>
    </w:p>
    <w:p>
      <w:pPr>
        <w:spacing w:line="360" w:lineRule="auto"/>
        <w:rPr>
          <w:rFonts w:hint="eastAsia"/>
          <w:color w:val="auto"/>
          <w:sz w:val="22"/>
          <w:szCs w:val="28"/>
        </w:rPr>
      </w:pPr>
      <w:r>
        <w:rPr>
          <w:rFonts w:hint="eastAsia"/>
          <w:color w:val="auto"/>
          <w:sz w:val="22"/>
          <w:szCs w:val="28"/>
        </w:rPr>
        <w:t>附件1-2 营业执照</w:t>
      </w:r>
    </w:p>
    <w:p>
      <w:pPr>
        <w:spacing w:line="360" w:lineRule="auto"/>
        <w:rPr>
          <w:rFonts w:hint="eastAsia"/>
          <w:color w:val="auto"/>
          <w:sz w:val="22"/>
          <w:szCs w:val="28"/>
        </w:rPr>
      </w:pPr>
      <w:r>
        <w:rPr>
          <w:rFonts w:hint="eastAsia"/>
          <w:color w:val="auto"/>
          <w:sz w:val="22"/>
          <w:szCs w:val="28"/>
        </w:rPr>
        <w:t xml:space="preserve">附件2 备案证明 </w:t>
      </w:r>
    </w:p>
    <w:p>
      <w:pPr>
        <w:spacing w:line="360" w:lineRule="auto"/>
        <w:rPr>
          <w:color w:val="auto"/>
          <w:sz w:val="22"/>
          <w:szCs w:val="28"/>
        </w:rPr>
      </w:pPr>
      <w:r>
        <w:rPr>
          <w:rFonts w:hint="eastAsia"/>
          <w:color w:val="auto"/>
          <w:sz w:val="22"/>
          <w:szCs w:val="28"/>
        </w:rPr>
        <w:t>附件3 设施农用地备案通知书</w:t>
      </w:r>
    </w:p>
    <w:p>
      <w:pPr>
        <w:spacing w:line="360" w:lineRule="auto"/>
        <w:rPr>
          <w:rFonts w:hint="eastAsia"/>
          <w:color w:val="auto"/>
          <w:sz w:val="22"/>
          <w:szCs w:val="28"/>
        </w:rPr>
      </w:pPr>
      <w:r>
        <w:rPr>
          <w:rFonts w:hint="eastAsia"/>
          <w:color w:val="auto"/>
          <w:sz w:val="22"/>
          <w:szCs w:val="28"/>
        </w:rPr>
        <w:t>附件4 不在禁养区证明</w:t>
      </w:r>
    </w:p>
    <w:p>
      <w:pPr>
        <w:spacing w:line="360" w:lineRule="auto"/>
        <w:rPr>
          <w:rFonts w:hint="eastAsia"/>
          <w:color w:val="auto"/>
          <w:sz w:val="22"/>
          <w:szCs w:val="28"/>
        </w:rPr>
      </w:pPr>
      <w:r>
        <w:rPr>
          <w:rFonts w:hint="eastAsia"/>
          <w:color w:val="auto"/>
          <w:sz w:val="22"/>
          <w:szCs w:val="28"/>
        </w:rPr>
        <w:t>附件5 项目不涉及饮用水保护区的回函</w:t>
      </w:r>
    </w:p>
    <w:p>
      <w:pPr>
        <w:spacing w:line="360" w:lineRule="auto"/>
        <w:rPr>
          <w:rFonts w:hint="eastAsia"/>
          <w:color w:val="auto"/>
          <w:sz w:val="22"/>
          <w:szCs w:val="28"/>
          <w:lang w:eastAsia="zh-CN"/>
        </w:rPr>
      </w:pPr>
      <w:r>
        <w:rPr>
          <w:rFonts w:hint="eastAsia"/>
          <w:color w:val="auto"/>
          <w:sz w:val="22"/>
          <w:szCs w:val="28"/>
        </w:rPr>
        <w:t>附件</w:t>
      </w:r>
      <w:r>
        <w:rPr>
          <w:rFonts w:hint="eastAsia"/>
          <w:color w:val="auto"/>
          <w:sz w:val="22"/>
          <w:szCs w:val="28"/>
          <w:lang w:val="en-US" w:eastAsia="zh-CN"/>
        </w:rPr>
        <w:t>6-1</w:t>
      </w:r>
      <w:r>
        <w:rPr>
          <w:rFonts w:hint="eastAsia"/>
          <w:color w:val="auto"/>
          <w:sz w:val="22"/>
          <w:szCs w:val="28"/>
        </w:rPr>
        <w:t xml:space="preserve"> 地下水、噪声、大气、土壤环境质量监测</w:t>
      </w:r>
      <w:r>
        <w:rPr>
          <w:rFonts w:hint="eastAsia"/>
          <w:color w:val="auto"/>
          <w:sz w:val="22"/>
          <w:szCs w:val="28"/>
          <w:lang w:eastAsia="zh-CN"/>
        </w:rPr>
        <w:t>报告</w:t>
      </w:r>
    </w:p>
    <w:p>
      <w:pPr>
        <w:spacing w:line="360" w:lineRule="auto"/>
        <w:rPr>
          <w:rFonts w:hint="eastAsia"/>
          <w:color w:val="auto"/>
          <w:sz w:val="22"/>
          <w:szCs w:val="28"/>
          <w:lang w:eastAsia="zh-CN"/>
        </w:rPr>
      </w:pPr>
      <w:r>
        <w:rPr>
          <w:rFonts w:hint="eastAsia"/>
          <w:color w:val="auto"/>
          <w:sz w:val="22"/>
          <w:szCs w:val="28"/>
          <w:lang w:eastAsia="zh-CN"/>
        </w:rPr>
        <w:t>附件6-2 地下水水位监测报告</w:t>
      </w:r>
    </w:p>
    <w:p>
      <w:pPr>
        <w:spacing w:line="360" w:lineRule="auto"/>
        <w:rPr>
          <w:rFonts w:hint="eastAsia"/>
          <w:color w:val="auto"/>
          <w:sz w:val="22"/>
          <w:szCs w:val="28"/>
          <w:lang w:eastAsia="zh-CN"/>
        </w:rPr>
      </w:pPr>
      <w:r>
        <w:rPr>
          <w:rFonts w:hint="eastAsia"/>
          <w:color w:val="auto"/>
          <w:sz w:val="22"/>
          <w:szCs w:val="28"/>
          <w:lang w:eastAsia="zh-CN"/>
        </w:rPr>
        <w:t>附件7 粪污处理协议</w:t>
      </w:r>
    </w:p>
    <w:p>
      <w:pPr>
        <w:spacing w:line="360" w:lineRule="auto"/>
        <w:rPr>
          <w:rFonts w:hint="eastAsia"/>
          <w:color w:val="auto"/>
          <w:sz w:val="22"/>
          <w:szCs w:val="28"/>
          <w:lang w:eastAsia="zh-CN"/>
        </w:rPr>
      </w:pPr>
      <w:r>
        <w:rPr>
          <w:rFonts w:hint="eastAsia"/>
          <w:color w:val="auto"/>
          <w:sz w:val="22"/>
          <w:szCs w:val="28"/>
          <w:lang w:eastAsia="zh-CN"/>
        </w:rPr>
        <w:t>附件8 房屋租赁协议</w:t>
      </w:r>
    </w:p>
    <w:p>
      <w:pPr>
        <w:pStyle w:val="3"/>
        <w:rPr>
          <w:rFonts w:eastAsiaTheme="minorEastAsia"/>
          <w:bCs/>
          <w:i w:val="0"/>
          <w:iCs w:val="0"/>
          <w:color w:val="auto"/>
          <w:szCs w:val="32"/>
        </w:rPr>
      </w:pPr>
    </w:p>
    <w:p>
      <w:pPr>
        <w:pStyle w:val="3"/>
        <w:rPr>
          <w:rFonts w:eastAsiaTheme="minorEastAsia"/>
          <w:bCs/>
          <w:i w:val="0"/>
          <w:iCs w:val="0"/>
          <w:color w:val="auto"/>
          <w:szCs w:val="32"/>
        </w:rPr>
      </w:pPr>
    </w:p>
    <w:p>
      <w:pPr>
        <w:pStyle w:val="3"/>
        <w:rPr>
          <w:rFonts w:eastAsiaTheme="minorEastAsia"/>
          <w:bCs/>
          <w:i w:val="0"/>
          <w:iCs w:val="0"/>
          <w:color w:val="auto"/>
          <w:szCs w:val="32"/>
        </w:rPr>
        <w:sectPr>
          <w:headerReference r:id="rId6" w:type="default"/>
          <w:footerReference r:id="rId7" w:type="default"/>
          <w:pgSz w:w="11907" w:h="16840"/>
          <w:pgMar w:top="1588" w:right="1531" w:bottom="1304" w:left="1644" w:header="1134" w:footer="1021" w:gutter="0"/>
          <w:pgBorders>
            <w:top w:val="none" w:sz="0" w:space="0"/>
            <w:left w:val="none" w:sz="0" w:space="0"/>
            <w:bottom w:val="none" w:sz="0" w:space="0"/>
            <w:right w:val="none" w:sz="0" w:space="0"/>
          </w:pgBorders>
          <w:pgNumType w:fmt="decimal" w:start="1"/>
          <w:cols w:space="720" w:num="1"/>
        </w:sectPr>
      </w:pPr>
    </w:p>
    <w:p>
      <w:pPr>
        <w:pStyle w:val="5"/>
        <w:rPr>
          <w:rFonts w:hint="eastAsia" w:asciiTheme="majorEastAsia" w:hAnsiTheme="majorEastAsia" w:eastAsiaTheme="majorEastAsia" w:cstheme="majorEastAsia"/>
          <w:b/>
          <w:bCs/>
          <w:color w:val="auto"/>
          <w:sz w:val="32"/>
          <w:szCs w:val="32"/>
        </w:rPr>
      </w:pPr>
      <w:bookmarkStart w:id="0" w:name="_Toc29587"/>
      <w:bookmarkStart w:id="1" w:name="_Toc453129259"/>
      <w:bookmarkStart w:id="2" w:name="_Toc424995955"/>
      <w:bookmarkStart w:id="3" w:name="_Toc484402635"/>
      <w:bookmarkStart w:id="4" w:name="_Toc422563402"/>
      <w:bookmarkStart w:id="5" w:name="_Toc436130147"/>
      <w:bookmarkStart w:id="6" w:name="_Toc483622982"/>
      <w:bookmarkStart w:id="7" w:name="_Toc424983426"/>
      <w:bookmarkStart w:id="8" w:name="_Toc422562138"/>
      <w:bookmarkStart w:id="9" w:name="_Toc436191244"/>
      <w:bookmarkStart w:id="10" w:name="_Toc453167156"/>
      <w:r>
        <w:rPr>
          <w:rFonts w:hint="eastAsia" w:asciiTheme="majorEastAsia" w:hAnsiTheme="majorEastAsia" w:eastAsiaTheme="majorEastAsia" w:cstheme="majorEastAsia"/>
          <w:b/>
          <w:bCs/>
          <w:color w:val="auto"/>
          <w:sz w:val="32"/>
          <w:szCs w:val="32"/>
          <w:lang w:val="en-US" w:eastAsia="zh-CN"/>
        </w:rPr>
        <w:t xml:space="preserve"> </w:t>
      </w:r>
      <w:bookmarkStart w:id="11" w:name="_Toc30171"/>
      <w:r>
        <w:rPr>
          <w:rFonts w:hint="eastAsia" w:asciiTheme="majorEastAsia" w:hAnsiTheme="majorEastAsia" w:eastAsiaTheme="majorEastAsia" w:cstheme="majorEastAsia"/>
          <w:b/>
          <w:bCs/>
          <w:color w:val="auto"/>
          <w:sz w:val="32"/>
          <w:szCs w:val="32"/>
        </w:rPr>
        <w:t>概述</w:t>
      </w:r>
      <w:bookmarkEnd w:id="0"/>
      <w:bookmarkEnd w:id="11"/>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rPr>
      </w:pPr>
      <w:bookmarkStart w:id="12" w:name="_Toc8294"/>
      <w:bookmarkStart w:id="13" w:name="_Toc435992998"/>
      <w:bookmarkStart w:id="14" w:name="_Toc2567"/>
      <w:r>
        <w:rPr>
          <w:rFonts w:ascii="Times New Roman" w:hAnsi="Times New Roman" w:cs="Times New Roman" w:eastAsiaTheme="majorEastAsia"/>
          <w:bCs/>
          <w:color w:val="auto"/>
          <w:kern w:val="2"/>
          <w:szCs w:val="32"/>
          <w:lang w:val="en-US" w:eastAsia="zh-CN"/>
        </w:rPr>
        <w:t>项目由来</w:t>
      </w:r>
      <w:bookmarkEnd w:id="12"/>
      <w:bookmarkEnd w:id="13"/>
      <w:bookmarkEnd w:id="14"/>
    </w:p>
    <w:p>
      <w:pPr>
        <w:spacing w:line="360" w:lineRule="auto"/>
        <w:ind w:firstLine="480" w:firstLineChars="200"/>
        <w:rPr>
          <w:rFonts w:hint="eastAsia" w:ascii="Times New Roman" w:hAnsi="Times New Roman" w:eastAsia="宋体" w:cs="Times New Roman"/>
          <w:color w:val="auto"/>
          <w:sz w:val="24"/>
          <w:lang w:eastAsia="zh-CN"/>
        </w:rPr>
      </w:pPr>
      <w:r>
        <w:rPr>
          <w:rFonts w:hint="eastAsia"/>
          <w:color w:val="auto"/>
          <w:sz w:val="24"/>
        </w:rPr>
        <w:t>我国目前正处于经济转型的重要时期，也是我国农业和农村经济发展的转型时期。“十四五”以来，我国畜牧业取得了长足发展，综合生产能力显著提高，肉、蛋、奶等主要畜产品产量居世界前列，畜牧业已经成为我国农业农村经济的支柱产业和农民收入的重要来源，进入了一个生产不断发展、质量稳步提高、综合生产能力不断增强的新阶段。针对我国畜牧业实际发展情况，国家将发展现代农业提到了重</w:t>
      </w:r>
      <w:r>
        <w:rPr>
          <w:rFonts w:hint="eastAsia" w:ascii="Times New Roman" w:hAnsi="Times New Roman" w:eastAsia="宋体" w:cs="Times New Roman"/>
          <w:color w:val="auto"/>
          <w:sz w:val="24"/>
          <w:lang w:eastAsia="zh-CN"/>
        </w:rPr>
        <w:t>要位置，提出要大力发展现代畜牧业，其中，肉牛养殖是国家大力提倡、扶持发展的重点发展产业，支持规模化饲养，加强品种改良，符合国家农业政策。</w:t>
      </w:r>
    </w:p>
    <w:p>
      <w:pPr>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为了进一步促进我国肉牛业的持续发展，各级政府不断增加对肉牛养殖业的资金、物质和技术投入，并制定有利于肉牛产业发展的优惠政策，尤其出台</w:t>
      </w:r>
      <w:r>
        <w:rPr>
          <w:rFonts w:hint="eastAsia" w:ascii="Times New Roman" w:hAnsi="Times New Roman" w:eastAsia="宋体" w:cs="Times New Roman"/>
          <w:color w:val="auto"/>
          <w:sz w:val="24"/>
          <w:lang w:val="en-US" w:eastAsia="zh-CN"/>
        </w:rPr>
        <w:t>了</w:t>
      </w:r>
      <w:r>
        <w:rPr>
          <w:rFonts w:hint="eastAsia" w:ascii="Times New Roman" w:hAnsi="Times New Roman" w:eastAsia="宋体" w:cs="Times New Roman"/>
          <w:color w:val="auto"/>
          <w:sz w:val="24"/>
          <w:lang w:eastAsia="zh-CN"/>
        </w:rPr>
        <w:t>保护基础母牛的政策措施，以扶持和促进肉牛产业持续稳定发展。同时，加速体制改革和机制创新，实行产业归口管理，以增强政府对肉牛产业的宏观调控能力。</w:t>
      </w:r>
    </w:p>
    <w:p>
      <w:pPr>
        <w:spacing w:line="360" w:lineRule="auto"/>
        <w:ind w:firstLine="480" w:firstLineChars="200"/>
        <w:rPr>
          <w:color w:val="auto"/>
          <w:sz w:val="24"/>
        </w:rPr>
      </w:pPr>
      <w:r>
        <w:rPr>
          <w:rFonts w:hint="eastAsia" w:ascii="Times New Roman" w:hAnsi="Times New Roman" w:eastAsia="宋体" w:cs="Times New Roman"/>
          <w:color w:val="auto"/>
          <w:sz w:val="24"/>
          <w:lang w:eastAsia="zh-CN"/>
        </w:rPr>
        <w:t>在此背</w:t>
      </w:r>
      <w:r>
        <w:rPr>
          <w:rFonts w:hint="eastAsia" w:ascii="Times New Roman" w:hAnsi="Times New Roman" w:cs="Times New Roman"/>
          <w:color w:val="auto"/>
          <w:sz w:val="24"/>
          <w:szCs w:val="24"/>
          <w:lang w:eastAsia="zh-CN"/>
        </w:rPr>
        <w:t>景下，</w:t>
      </w:r>
      <w:r>
        <w:rPr>
          <w:rFonts w:hint="eastAsia"/>
          <w:color w:val="auto"/>
          <w:sz w:val="24"/>
        </w:rPr>
        <w:t>巴中乾兴产业园区建设投资有限公司</w:t>
      </w:r>
      <w:r>
        <w:rPr>
          <w:rFonts w:hint="eastAsia" w:ascii="Times New Roman" w:hAnsi="Times New Roman" w:cs="Times New Roman"/>
          <w:color w:val="auto"/>
          <w:sz w:val="24"/>
          <w:szCs w:val="24"/>
          <w:lang w:eastAsia="zh-CN"/>
        </w:rPr>
        <w:t>拟投资</w:t>
      </w:r>
      <w:r>
        <w:rPr>
          <w:rFonts w:hint="eastAsia" w:cs="Times New Roman"/>
          <w:color w:val="auto"/>
          <w:sz w:val="24"/>
          <w:szCs w:val="24"/>
          <w:lang w:val="en-US" w:eastAsia="zh-CN"/>
        </w:rPr>
        <w:t>19685.37</w:t>
      </w:r>
      <w:r>
        <w:rPr>
          <w:rFonts w:hint="eastAsia" w:ascii="Times New Roman" w:hAnsi="Times New Roman" w:cs="Times New Roman"/>
          <w:color w:val="auto"/>
          <w:sz w:val="24"/>
          <w:szCs w:val="24"/>
          <w:lang w:eastAsia="zh-CN"/>
        </w:rPr>
        <w:t>万元在</w:t>
      </w:r>
      <w:r>
        <w:rPr>
          <w:rFonts w:hint="eastAsia" w:ascii="Times New Roman" w:hAnsi="Times New Roman" w:cs="Times New Roman"/>
          <w:color w:val="auto"/>
          <w:sz w:val="24"/>
          <w:szCs w:val="24"/>
          <w:lang w:val="en-US" w:eastAsia="zh-CN"/>
        </w:rPr>
        <w:t>恩阳区群乐镇坳盘村2组</w:t>
      </w:r>
      <w:r>
        <w:rPr>
          <w:rFonts w:hint="eastAsia" w:ascii="Times New Roman" w:hAnsi="Times New Roman" w:cs="Times New Roman"/>
          <w:color w:val="auto"/>
          <w:sz w:val="24"/>
          <w:szCs w:val="24"/>
          <w:lang w:eastAsia="zh-CN"/>
        </w:rPr>
        <w:t>建设“</w:t>
      </w:r>
      <w:r>
        <w:rPr>
          <w:rFonts w:hint="eastAsia"/>
          <w:color w:val="auto"/>
          <w:sz w:val="24"/>
        </w:rPr>
        <w:t>恩阳区群乐镇坳盘村巴山肉牛育肥场项目</w:t>
      </w:r>
      <w:r>
        <w:rPr>
          <w:rFonts w:hint="eastAsia"/>
          <w:color w:val="auto"/>
          <w:sz w:val="24"/>
          <w:lang w:eastAsia="zh-CN"/>
        </w:rPr>
        <w:t>（</w:t>
      </w:r>
      <w:r>
        <w:rPr>
          <w:rFonts w:hint="eastAsia"/>
          <w:color w:val="auto"/>
          <w:sz w:val="24"/>
          <w:lang w:val="en-US" w:eastAsia="zh-CN"/>
        </w:rPr>
        <w:t>以下简称“项目”或“本项目”</w:t>
      </w:r>
      <w:r>
        <w:rPr>
          <w:rFonts w:hint="eastAsia"/>
          <w:color w:val="auto"/>
          <w:sz w:val="24"/>
          <w:lang w:eastAsia="zh-CN"/>
        </w:rPr>
        <w:t>）</w:t>
      </w:r>
      <w:r>
        <w:rPr>
          <w:rFonts w:hint="eastAsia" w:ascii="Times New Roman" w:hAnsi="Times New Roman" w:cs="Times New Roman"/>
          <w:color w:val="auto"/>
          <w:sz w:val="24"/>
          <w:szCs w:val="24"/>
          <w:lang w:eastAsia="zh-CN"/>
        </w:rPr>
        <w:t>”，</w:t>
      </w:r>
      <w:r>
        <w:rPr>
          <w:color w:val="auto"/>
          <w:sz w:val="24"/>
        </w:rPr>
        <w:t>主要建设内容</w:t>
      </w:r>
      <w:r>
        <w:rPr>
          <w:rFonts w:hint="eastAsia"/>
          <w:color w:val="auto"/>
          <w:sz w:val="24"/>
        </w:rPr>
        <w:t>包括养殖牛舍、综合用房、干草棚、清贮池</w:t>
      </w:r>
      <w:r>
        <w:rPr>
          <w:color w:val="auto"/>
          <w:sz w:val="24"/>
        </w:rPr>
        <w:t>等。</w:t>
      </w:r>
    </w:p>
    <w:p>
      <w:pPr>
        <w:spacing w:line="360" w:lineRule="auto"/>
        <w:ind w:firstLine="480" w:firstLineChars="200"/>
        <w:rPr>
          <w:color w:val="auto"/>
          <w:sz w:val="24"/>
        </w:rPr>
      </w:pPr>
      <w:r>
        <w:rPr>
          <w:color w:val="auto"/>
          <w:sz w:val="24"/>
        </w:rPr>
        <w:t>本项目</w:t>
      </w:r>
      <w:r>
        <w:rPr>
          <w:color w:val="auto"/>
          <w:sz w:val="24"/>
          <w:szCs w:val="28"/>
        </w:rPr>
        <w:t>存栏</w:t>
      </w:r>
      <w:r>
        <w:rPr>
          <w:rFonts w:hint="eastAsia"/>
          <w:color w:val="auto"/>
          <w:sz w:val="24"/>
          <w:szCs w:val="28"/>
          <w:lang w:val="en-US" w:eastAsia="zh-CN"/>
        </w:rPr>
        <w:t>9734</w:t>
      </w:r>
      <w:r>
        <w:rPr>
          <w:color w:val="auto"/>
          <w:sz w:val="24"/>
          <w:szCs w:val="28"/>
        </w:rPr>
        <w:t>头肉牛</w:t>
      </w:r>
      <w:r>
        <w:rPr>
          <w:color w:val="auto"/>
          <w:sz w:val="24"/>
        </w:rPr>
        <w:t>，折合生猪</w:t>
      </w:r>
      <w:r>
        <w:rPr>
          <w:rFonts w:hint="eastAsia"/>
          <w:color w:val="auto"/>
          <w:sz w:val="24"/>
          <w:lang w:val="en-US" w:eastAsia="zh-CN"/>
        </w:rPr>
        <w:t>48670</w:t>
      </w:r>
      <w:r>
        <w:rPr>
          <w:color w:val="auto"/>
          <w:sz w:val="24"/>
        </w:rPr>
        <w:t>头。</w:t>
      </w:r>
      <w:r>
        <w:rPr>
          <w:rFonts w:hint="eastAsia"/>
          <w:color w:val="auto"/>
          <w:sz w:val="24"/>
        </w:rPr>
        <w:t>恩阳区发展和改革局</w:t>
      </w:r>
      <w:r>
        <w:rPr>
          <w:color w:val="auto"/>
          <w:sz w:val="24"/>
        </w:rPr>
        <w:t>以</w:t>
      </w:r>
      <w:r>
        <w:rPr>
          <w:rFonts w:hint="eastAsia"/>
          <w:color w:val="auto"/>
          <w:sz w:val="24"/>
        </w:rPr>
        <w:t>项目代码【2208-511903-04-01-331960】</w:t>
      </w:r>
      <w:r>
        <w:rPr>
          <w:color w:val="auto"/>
          <w:sz w:val="24"/>
        </w:rPr>
        <w:t>对本项目予以备案（见附件</w:t>
      </w:r>
      <w:r>
        <w:rPr>
          <w:rFonts w:hint="eastAsia"/>
          <w:color w:val="auto"/>
          <w:sz w:val="24"/>
        </w:rPr>
        <w:t>2</w:t>
      </w:r>
      <w:r>
        <w:rPr>
          <w:color w:val="auto"/>
          <w:sz w:val="24"/>
        </w:rPr>
        <w:t>）。</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15" w:name="_Toc10771"/>
      <w:bookmarkStart w:id="16" w:name="_Toc10285"/>
      <w:r>
        <w:rPr>
          <w:rFonts w:ascii="Times New Roman" w:hAnsi="Times New Roman" w:cs="Times New Roman" w:eastAsiaTheme="majorEastAsia"/>
          <w:bCs/>
          <w:color w:val="auto"/>
          <w:kern w:val="2"/>
          <w:szCs w:val="32"/>
          <w:lang w:val="en-US" w:eastAsia="zh-CN"/>
        </w:rPr>
        <w:t>环境影响评价的工作过程</w:t>
      </w:r>
      <w:bookmarkEnd w:id="15"/>
      <w:bookmarkEnd w:id="16"/>
    </w:p>
    <w:p>
      <w:pPr>
        <w:spacing w:line="360" w:lineRule="auto"/>
        <w:ind w:firstLine="480" w:firstLineChars="200"/>
        <w:rPr>
          <w:color w:val="auto"/>
          <w:sz w:val="24"/>
        </w:rPr>
      </w:pPr>
      <w:r>
        <w:rPr>
          <w:color w:val="auto"/>
          <w:sz w:val="24"/>
        </w:rPr>
        <w:t>根据《中华人民共和国环境保护法》、《中华人民共和国环境影响评价法》和国务院令第682号《建设项目保护保护管理条例》，本项目应开展环境影响评价工作。根据</w:t>
      </w:r>
      <w:r>
        <w:rPr>
          <w:rFonts w:hint="eastAsia"/>
          <w:color w:val="auto"/>
          <w:sz w:val="24"/>
        </w:rPr>
        <w:t>《建设项目环境影响评价分类管理目录》（生态环境部</w:t>
      </w:r>
      <w:r>
        <w:rPr>
          <w:rFonts w:hint="eastAsia"/>
          <w:color w:val="auto"/>
          <w:sz w:val="24"/>
          <w:lang w:val="en-US" w:eastAsia="zh-CN"/>
        </w:rPr>
        <w:t>部</w:t>
      </w:r>
      <w:r>
        <w:rPr>
          <w:rFonts w:hint="eastAsia"/>
          <w:color w:val="auto"/>
          <w:sz w:val="24"/>
        </w:rPr>
        <w:t>令</w:t>
      </w:r>
      <w:r>
        <w:rPr>
          <w:rFonts w:hint="eastAsia"/>
          <w:color w:val="auto"/>
          <w:sz w:val="24"/>
          <w:lang w:val="en-US" w:eastAsia="zh-CN"/>
        </w:rPr>
        <w:t>第16</w:t>
      </w:r>
      <w:r>
        <w:rPr>
          <w:rFonts w:hint="eastAsia"/>
          <w:color w:val="auto"/>
          <w:sz w:val="24"/>
        </w:rPr>
        <w:t>号修改，20</w:t>
      </w:r>
      <w:r>
        <w:rPr>
          <w:rFonts w:hint="eastAsia"/>
          <w:color w:val="auto"/>
          <w:sz w:val="24"/>
          <w:lang w:val="en-US" w:eastAsia="zh-CN"/>
        </w:rPr>
        <w:t>21</w:t>
      </w:r>
      <w:r>
        <w:rPr>
          <w:rFonts w:hint="eastAsia"/>
          <w:color w:val="auto"/>
          <w:sz w:val="24"/>
        </w:rPr>
        <w:t>年</w:t>
      </w:r>
      <w:r>
        <w:rPr>
          <w:rFonts w:hint="eastAsia"/>
          <w:color w:val="auto"/>
          <w:sz w:val="24"/>
          <w:lang w:val="en-US" w:eastAsia="zh-CN"/>
        </w:rPr>
        <w:t>1</w:t>
      </w:r>
      <w:r>
        <w:rPr>
          <w:rFonts w:hint="eastAsia"/>
          <w:color w:val="auto"/>
          <w:sz w:val="24"/>
        </w:rPr>
        <w:t>月</w:t>
      </w:r>
      <w:r>
        <w:rPr>
          <w:rFonts w:hint="eastAsia"/>
          <w:color w:val="auto"/>
          <w:sz w:val="24"/>
          <w:lang w:val="en-US" w:eastAsia="zh-CN"/>
        </w:rPr>
        <w:t>1</w:t>
      </w:r>
      <w:r>
        <w:rPr>
          <w:rFonts w:hint="eastAsia"/>
          <w:color w:val="auto"/>
          <w:sz w:val="24"/>
        </w:rPr>
        <w:t>日起实施）</w:t>
      </w:r>
      <w:r>
        <w:rPr>
          <w:color w:val="auto"/>
          <w:sz w:val="24"/>
        </w:rPr>
        <w:t>，根据《中华人民共和国环境保护法》、《中华人民共和国环境影响评价法》（2018年12月29日修订）、《建设项目环境保护管理条例》、《建设项目环境影响评价分类管理名录》（</w:t>
      </w:r>
      <w:r>
        <w:rPr>
          <w:rFonts w:hint="eastAsia"/>
          <w:color w:val="auto"/>
          <w:sz w:val="24"/>
        </w:rPr>
        <w:t>2021年</w:t>
      </w:r>
      <w:r>
        <w:rPr>
          <w:color w:val="auto"/>
          <w:sz w:val="24"/>
        </w:rPr>
        <w:t>）的有关规定，该项目应进行环境影响评价。项目属于《建设项目环境影响评价分类管理名录》“</w:t>
      </w:r>
      <w:r>
        <w:rPr>
          <w:rFonts w:hint="eastAsia"/>
          <w:color w:val="auto"/>
          <w:sz w:val="24"/>
          <w:lang w:val="en-US" w:eastAsia="zh-CN"/>
        </w:rPr>
        <w:t>二</w:t>
      </w:r>
      <w:r>
        <w:rPr>
          <w:color w:val="auto"/>
          <w:sz w:val="24"/>
        </w:rPr>
        <w:t>、畜牧业；</w:t>
      </w:r>
      <w:r>
        <w:rPr>
          <w:rFonts w:hint="eastAsia"/>
          <w:color w:val="auto"/>
          <w:sz w:val="24"/>
          <w:lang w:val="en-US" w:eastAsia="zh-CN"/>
        </w:rPr>
        <w:t>牲畜饲养031中“</w:t>
      </w:r>
      <w:r>
        <w:rPr>
          <w:rFonts w:hint="eastAsia"/>
          <w:color w:val="auto"/>
          <w:sz w:val="24"/>
        </w:rPr>
        <w:t>年出栏生猪5000头（其他畜禽种类折合猪的养殖量）及以上的规模化畜禽养殖；存栏生猪2500头（其他畜禽种类折合猪的养殖规模）及以上无出栏量的规模化畜禽养殖</w:t>
      </w:r>
      <w:r>
        <w:rPr>
          <w:rFonts w:hint="eastAsia"/>
          <w:color w:val="auto"/>
          <w:sz w:val="24"/>
          <w:lang w:val="en-US" w:eastAsia="zh-CN"/>
        </w:rPr>
        <w:t>”</w:t>
      </w:r>
      <w:r>
        <w:rPr>
          <w:color w:val="auto"/>
          <w:sz w:val="24"/>
        </w:rPr>
        <w:t>，本项目</w:t>
      </w:r>
      <w:r>
        <w:rPr>
          <w:color w:val="auto"/>
          <w:sz w:val="24"/>
          <w:szCs w:val="28"/>
        </w:rPr>
        <w:t>存栏</w:t>
      </w:r>
      <w:r>
        <w:rPr>
          <w:rFonts w:hint="eastAsia"/>
          <w:color w:val="auto"/>
          <w:sz w:val="24"/>
          <w:szCs w:val="28"/>
          <w:lang w:val="en-US" w:eastAsia="zh-CN"/>
        </w:rPr>
        <w:t>9734</w:t>
      </w:r>
      <w:r>
        <w:rPr>
          <w:color w:val="auto"/>
          <w:sz w:val="24"/>
          <w:szCs w:val="28"/>
        </w:rPr>
        <w:t>头肉牛</w:t>
      </w:r>
      <w:r>
        <w:rPr>
          <w:color w:val="auto"/>
          <w:sz w:val="24"/>
        </w:rPr>
        <w:t>，折合</w:t>
      </w:r>
      <w:r>
        <w:rPr>
          <w:rFonts w:hint="eastAsia"/>
          <w:color w:val="auto"/>
          <w:sz w:val="24"/>
          <w:lang w:val="en-US" w:eastAsia="zh-CN"/>
        </w:rPr>
        <w:t>存栏</w:t>
      </w:r>
      <w:r>
        <w:rPr>
          <w:color w:val="auto"/>
          <w:sz w:val="24"/>
        </w:rPr>
        <w:t>生猪</w:t>
      </w:r>
      <w:r>
        <w:rPr>
          <w:rFonts w:hint="eastAsia"/>
          <w:color w:val="auto"/>
          <w:sz w:val="24"/>
          <w:lang w:val="en-US" w:eastAsia="zh-CN"/>
        </w:rPr>
        <w:t>48670</w:t>
      </w:r>
      <w:r>
        <w:rPr>
          <w:color w:val="auto"/>
          <w:sz w:val="24"/>
        </w:rPr>
        <w:t>头，应编制环境影响报告书。</w:t>
      </w:r>
    </w:p>
    <w:p>
      <w:pPr>
        <w:spacing w:line="360" w:lineRule="auto"/>
        <w:ind w:firstLine="480" w:firstLineChars="200"/>
        <w:rPr>
          <w:color w:val="auto"/>
          <w:sz w:val="24"/>
        </w:rPr>
      </w:pPr>
      <w:r>
        <w:rPr>
          <w:rFonts w:hint="eastAsia"/>
          <w:color w:val="auto"/>
          <w:sz w:val="24"/>
          <w:lang w:eastAsia="zh-CN"/>
        </w:rPr>
        <w:t>恩阳区群乐镇坳盘村巴山肉牛育肥场项目</w:t>
      </w:r>
      <w:r>
        <w:rPr>
          <w:color w:val="auto"/>
          <w:sz w:val="24"/>
        </w:rPr>
        <w:t>于202</w:t>
      </w:r>
      <w:r>
        <w:rPr>
          <w:rFonts w:hint="eastAsia"/>
          <w:color w:val="auto"/>
          <w:sz w:val="24"/>
          <w:lang w:val="en-US" w:eastAsia="zh-CN"/>
        </w:rPr>
        <w:t>3</w:t>
      </w:r>
      <w:r>
        <w:rPr>
          <w:color w:val="auto"/>
          <w:sz w:val="24"/>
        </w:rPr>
        <w:t>年</w:t>
      </w:r>
      <w:r>
        <w:rPr>
          <w:rFonts w:hint="eastAsia"/>
          <w:color w:val="auto"/>
          <w:sz w:val="24"/>
          <w:lang w:val="en-US" w:eastAsia="zh-CN"/>
        </w:rPr>
        <w:t>3</w:t>
      </w:r>
      <w:r>
        <w:rPr>
          <w:color w:val="auto"/>
          <w:sz w:val="24"/>
        </w:rPr>
        <w:t>月</w:t>
      </w:r>
      <w:r>
        <w:rPr>
          <w:rFonts w:hint="eastAsia"/>
          <w:color w:val="auto"/>
          <w:sz w:val="24"/>
          <w:lang w:val="en-US" w:eastAsia="zh-CN"/>
        </w:rPr>
        <w:t>31日</w:t>
      </w:r>
      <w:r>
        <w:rPr>
          <w:color w:val="auto"/>
          <w:sz w:val="24"/>
        </w:rPr>
        <w:t>正式委托</w:t>
      </w:r>
      <w:r>
        <w:rPr>
          <w:rFonts w:hint="eastAsia"/>
          <w:color w:val="auto"/>
          <w:sz w:val="24"/>
        </w:rPr>
        <w:t>四川汉雲环美科技有限公司</w:t>
      </w:r>
      <w:r>
        <w:rPr>
          <w:color w:val="auto"/>
          <w:sz w:val="24"/>
        </w:rPr>
        <w:t>承担此项工作，我公司在接受委托后，组织技术人员成立了项目小组，随即派有关技术人员对该项目进行了现场踏勘和资料收集；</w:t>
      </w:r>
      <w:r>
        <w:rPr>
          <w:rFonts w:ascii="宋体" w:hAnsi="宋体"/>
          <w:color w:val="auto"/>
          <w:sz w:val="24"/>
        </w:rPr>
        <w:t>建设单位</w:t>
      </w:r>
      <w:r>
        <w:rPr>
          <w:rFonts w:hint="default" w:ascii="Times New Roman" w:hAnsi="Times New Roman" w:cs="Times New Roman"/>
          <w:color w:val="auto"/>
          <w:sz w:val="24"/>
        </w:rPr>
        <w:t>于202</w:t>
      </w:r>
      <w:r>
        <w:rPr>
          <w:rFonts w:hint="eastAsia" w:cs="Times New Roman"/>
          <w:color w:val="auto"/>
          <w:sz w:val="24"/>
          <w:lang w:val="en-US" w:eastAsia="zh-CN"/>
        </w:rPr>
        <w:t>3</w:t>
      </w:r>
      <w:r>
        <w:rPr>
          <w:rFonts w:hint="default" w:ascii="Times New Roman" w:hAnsi="Times New Roman" w:cs="Times New Roman"/>
          <w:color w:val="auto"/>
          <w:sz w:val="24"/>
        </w:rPr>
        <w:t>年</w:t>
      </w:r>
      <w:r>
        <w:rPr>
          <w:rFonts w:hint="eastAsia" w:cs="Times New Roman"/>
          <w:color w:val="auto"/>
          <w:sz w:val="24"/>
          <w:lang w:val="en-US" w:eastAsia="zh-CN"/>
        </w:rPr>
        <w:t>4</w:t>
      </w:r>
      <w:r>
        <w:rPr>
          <w:rFonts w:hint="default" w:ascii="Times New Roman" w:hAnsi="Times New Roman" w:cs="Times New Roman"/>
          <w:color w:val="auto"/>
          <w:sz w:val="24"/>
        </w:rPr>
        <w:t>月</w:t>
      </w:r>
      <w:r>
        <w:rPr>
          <w:rFonts w:hint="eastAsia" w:cs="Times New Roman"/>
          <w:color w:val="auto"/>
          <w:sz w:val="24"/>
          <w:lang w:val="en-US" w:eastAsia="zh-CN"/>
        </w:rPr>
        <w:t>4</w:t>
      </w:r>
      <w:r>
        <w:rPr>
          <w:rFonts w:hint="default" w:ascii="Times New Roman" w:hAnsi="Times New Roman" w:cs="Times New Roman"/>
          <w:color w:val="auto"/>
          <w:sz w:val="24"/>
        </w:rPr>
        <w:t>日在</w:t>
      </w:r>
      <w:r>
        <w:rPr>
          <w:rFonts w:hint="eastAsia" w:cs="Times New Roman"/>
          <w:color w:val="auto"/>
          <w:sz w:val="24"/>
          <w:lang w:val="en-US" w:eastAsia="zh-CN"/>
        </w:rPr>
        <w:t>巴中市产业发展集团有限公司官网</w:t>
      </w:r>
      <w:r>
        <w:rPr>
          <w:rFonts w:ascii="宋体" w:hAnsi="宋体"/>
          <w:color w:val="auto"/>
          <w:sz w:val="24"/>
        </w:rPr>
        <w:t>上</w:t>
      </w:r>
      <w:r>
        <w:rPr>
          <w:rFonts w:hint="eastAsia" w:ascii="宋体" w:hAnsi="宋体"/>
          <w:color w:val="auto"/>
          <w:sz w:val="24"/>
        </w:rPr>
        <w:t>（</w:t>
      </w:r>
      <w:r>
        <w:rPr>
          <w:rFonts w:hint="eastAsia"/>
          <w:color w:val="auto"/>
          <w:sz w:val="24"/>
        </w:rPr>
        <w:t>http://www.bzcyjt.cn/Article-1446.shtml</w:t>
      </w:r>
      <w:r>
        <w:rPr>
          <w:rFonts w:hint="eastAsia" w:ascii="宋体" w:hAnsi="宋体"/>
          <w:color w:val="auto"/>
          <w:sz w:val="24"/>
        </w:rPr>
        <w:t>）</w:t>
      </w:r>
      <w:r>
        <w:rPr>
          <w:rFonts w:ascii="宋体" w:hAnsi="宋体"/>
          <w:color w:val="auto"/>
          <w:sz w:val="24"/>
        </w:rPr>
        <w:t>进行了第一次信息公示</w:t>
      </w:r>
      <w:r>
        <w:rPr>
          <w:rFonts w:hint="eastAsia" w:ascii="宋体" w:hAnsi="宋体"/>
          <w:color w:val="auto"/>
          <w:sz w:val="24"/>
        </w:rPr>
        <w:t>。</w:t>
      </w:r>
      <w:r>
        <w:rPr>
          <w:rFonts w:hint="default" w:ascii="Times New Roman" w:hAnsi="Times New Roman" w:cs="Times New Roman"/>
          <w:color w:val="auto"/>
          <w:sz w:val="24"/>
        </w:rPr>
        <w:t>202</w:t>
      </w:r>
      <w:r>
        <w:rPr>
          <w:rFonts w:hint="eastAsia" w:cs="Times New Roman"/>
          <w:color w:val="auto"/>
          <w:sz w:val="24"/>
          <w:lang w:val="en-US" w:eastAsia="zh-CN"/>
        </w:rPr>
        <w:t>3</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月编制完成项目环评报告初稿，</w:t>
      </w:r>
      <w:r>
        <w:rPr>
          <w:rFonts w:hint="eastAsia" w:hAnsi="宋体"/>
          <w:bCs/>
          <w:color w:val="auto"/>
          <w:sz w:val="24"/>
        </w:rPr>
        <w:t>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4</w:t>
      </w:r>
      <w:r>
        <w:rPr>
          <w:rFonts w:hint="eastAsia" w:hAnsi="宋体"/>
          <w:bCs/>
          <w:color w:val="auto"/>
          <w:sz w:val="24"/>
        </w:rPr>
        <w:t>日~20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16</w:t>
      </w:r>
      <w:r>
        <w:rPr>
          <w:rFonts w:hint="eastAsia" w:hAnsi="宋体"/>
          <w:bCs/>
          <w:color w:val="auto"/>
          <w:sz w:val="24"/>
        </w:rPr>
        <w:t>日，建设单位在</w:t>
      </w:r>
      <w:r>
        <w:rPr>
          <w:rFonts w:hint="eastAsia" w:ascii="Times New Roman" w:hAnsi="Times New Roman" w:cs="Times New Roman"/>
          <w:color w:val="auto"/>
          <w:sz w:val="24"/>
          <w:lang w:val="en-US" w:eastAsia="zh-CN"/>
        </w:rPr>
        <w:t>巴中市产业发展集团有限公司</w:t>
      </w:r>
      <w:r>
        <w:rPr>
          <w:rFonts w:hint="default" w:hAnsi="宋体"/>
          <w:bCs/>
          <w:color w:val="auto"/>
          <w:sz w:val="24"/>
        </w:rPr>
        <w:t>网站上</w:t>
      </w:r>
      <w:r>
        <w:rPr>
          <w:rFonts w:hint="eastAsia" w:hAnsi="宋体"/>
          <w:bCs/>
          <w:color w:val="auto"/>
          <w:sz w:val="24"/>
        </w:rPr>
        <w:t>（http://www.bzcyjt.cn/Article-1471.shtml）</w:t>
      </w:r>
      <w:r>
        <w:rPr>
          <w:rFonts w:ascii="宋体" w:hAnsi="宋体"/>
          <w:color w:val="auto"/>
          <w:sz w:val="24"/>
        </w:rPr>
        <w:t>进行了</w:t>
      </w:r>
      <w:r>
        <w:rPr>
          <w:rFonts w:hint="eastAsia" w:ascii="宋体" w:hAnsi="宋体"/>
          <w:color w:val="auto"/>
          <w:sz w:val="24"/>
        </w:rPr>
        <w:t>征求意见稿公示</w:t>
      </w:r>
      <w:r>
        <w:rPr>
          <w:rFonts w:hint="eastAsia" w:hAnsi="宋体"/>
          <w:bCs/>
          <w:color w:val="auto"/>
          <w:sz w:val="24"/>
        </w:rPr>
        <w:t>，公示时限为10个工作日。2</w:t>
      </w:r>
      <w:r>
        <w:rPr>
          <w:rFonts w:hint="eastAsia" w:hAnsi="宋体"/>
          <w:bCs/>
          <w:color w:val="auto"/>
          <w:sz w:val="24"/>
          <w:lang w:val="en-US" w:eastAsia="zh-CN"/>
        </w:rPr>
        <w:t>023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5</w:t>
      </w:r>
      <w:r>
        <w:rPr>
          <w:rFonts w:hint="eastAsia" w:hAnsi="宋体"/>
          <w:bCs/>
          <w:color w:val="auto"/>
          <w:sz w:val="24"/>
        </w:rPr>
        <w:t>日、</w:t>
      </w:r>
      <w:r>
        <w:rPr>
          <w:rFonts w:hint="eastAsia" w:hAnsi="宋体"/>
          <w:bCs/>
          <w:color w:val="auto"/>
          <w:sz w:val="24"/>
          <w:lang w:val="en-US" w:eastAsia="zh-CN"/>
        </w:rPr>
        <w:t>10</w:t>
      </w:r>
      <w:r>
        <w:rPr>
          <w:rFonts w:hint="eastAsia" w:hAnsi="宋体"/>
          <w:bCs/>
          <w:color w:val="auto"/>
          <w:sz w:val="24"/>
        </w:rPr>
        <w:t>日在</w:t>
      </w:r>
      <w:r>
        <w:rPr>
          <w:rFonts w:hint="eastAsia" w:hAnsi="宋体"/>
          <w:bCs/>
          <w:color w:val="auto"/>
          <w:sz w:val="24"/>
          <w:lang w:val="en-US" w:eastAsia="zh-CN"/>
        </w:rPr>
        <w:t>西南商报</w:t>
      </w:r>
      <w:r>
        <w:rPr>
          <w:rFonts w:hint="eastAsia" w:hAnsi="宋体"/>
          <w:bCs/>
          <w:color w:val="auto"/>
          <w:sz w:val="24"/>
        </w:rPr>
        <w:t>进行了登报公示；20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4</w:t>
      </w:r>
      <w:r>
        <w:rPr>
          <w:rFonts w:hint="eastAsia" w:hAnsi="宋体"/>
          <w:bCs/>
          <w:color w:val="auto"/>
          <w:sz w:val="24"/>
        </w:rPr>
        <w:t>日~20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16</w:t>
      </w:r>
      <w:r>
        <w:rPr>
          <w:rFonts w:hint="eastAsia" w:hAnsi="宋体"/>
          <w:bCs/>
          <w:color w:val="auto"/>
          <w:sz w:val="24"/>
        </w:rPr>
        <w:t>日同步在项目所在地</w:t>
      </w:r>
      <w:r>
        <w:rPr>
          <w:rFonts w:hint="eastAsia" w:hAnsi="宋体"/>
          <w:bCs/>
          <w:color w:val="auto"/>
          <w:sz w:val="24"/>
          <w:lang w:val="en-US" w:eastAsia="zh-CN"/>
        </w:rPr>
        <w:t>村委会</w:t>
      </w:r>
      <w:r>
        <w:rPr>
          <w:rFonts w:hint="eastAsia" w:hAnsi="宋体"/>
          <w:bCs/>
          <w:color w:val="auto"/>
          <w:sz w:val="24"/>
        </w:rPr>
        <w:t>进行了张榜公示，公示时间为10个工作日。</w:t>
      </w:r>
      <w:r>
        <w:rPr>
          <w:rFonts w:hint="default" w:ascii="Times New Roman" w:hAnsi="Times New Roman" w:cs="Times New Roman"/>
          <w:color w:val="auto"/>
          <w:sz w:val="24"/>
        </w:rPr>
        <w:t>公示期间未收到公众质疑性意见。综合以上工作成果，在此基础上按照有关技术规范要求，编制完成了《巴中乾兴产业园区建设投资有限公司</w:t>
      </w:r>
      <w:r>
        <w:rPr>
          <w:rFonts w:hint="eastAsia"/>
          <w:color w:val="auto"/>
          <w:sz w:val="24"/>
        </w:rPr>
        <w:t>恩阳区群乐镇坳盘村巴山肉牛育肥场项目</w:t>
      </w:r>
      <w:r>
        <w:rPr>
          <w:rFonts w:hint="default" w:ascii="Times New Roman" w:hAnsi="Times New Roman" w:cs="Times New Roman"/>
          <w:color w:val="auto"/>
          <w:sz w:val="24"/>
        </w:rPr>
        <w:t>环境影响报告书》，报送</w:t>
      </w:r>
      <w:r>
        <w:rPr>
          <w:rFonts w:hint="eastAsia" w:cs="Times New Roman"/>
          <w:color w:val="auto"/>
          <w:sz w:val="24"/>
          <w:lang w:val="en-US" w:eastAsia="zh-CN"/>
        </w:rPr>
        <w:t>巴中</w:t>
      </w:r>
      <w:r>
        <w:rPr>
          <w:rFonts w:hint="default" w:ascii="Times New Roman" w:hAnsi="Times New Roman" w:cs="Times New Roman"/>
          <w:color w:val="auto"/>
          <w:sz w:val="24"/>
          <w:lang w:val="en-US" w:eastAsia="zh-CN"/>
        </w:rPr>
        <w:t>市</w:t>
      </w:r>
      <w:r>
        <w:rPr>
          <w:rFonts w:hint="default" w:ascii="Times New Roman" w:hAnsi="Times New Roman" w:cs="Times New Roman"/>
          <w:color w:val="auto"/>
          <w:sz w:val="24"/>
        </w:rPr>
        <w:t>环境保护</w:t>
      </w:r>
      <w:r>
        <w:rPr>
          <w:rFonts w:ascii="宋体" w:hAnsi="宋体"/>
          <w:color w:val="auto"/>
          <w:sz w:val="24"/>
        </w:rPr>
        <w:t xml:space="preserve">行政管理部门审批。  </w:t>
      </w:r>
    </w:p>
    <w:p>
      <w:pPr>
        <w:spacing w:line="360" w:lineRule="auto"/>
        <w:ind w:firstLine="480" w:firstLineChars="200"/>
        <w:rPr>
          <w:color w:val="auto"/>
          <w:sz w:val="24"/>
        </w:rPr>
      </w:pPr>
      <w:r>
        <w:rPr>
          <w:color w:val="auto"/>
          <w:sz w:val="24"/>
        </w:rPr>
        <w:t>本评价针对工程的特点及产生的环境污染物特征，确定其主要环境影响因子及污染源强，进而预测项目运行后的环境影响程度和范围；对项目提出切实可行的污染防治措施、总量控制规划指标和环境监督管理及监测计划，将建设引起的环境影响减少到最低限度，对该项目在环境保护方面是否可行做出结论。</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17" w:name="_Toc24093"/>
      <w:bookmarkStart w:id="18" w:name="_Toc32746"/>
      <w:r>
        <w:rPr>
          <w:rFonts w:ascii="Times New Roman" w:hAnsi="Times New Roman" w:cs="Times New Roman" w:eastAsiaTheme="majorEastAsia"/>
          <w:bCs/>
          <w:color w:val="auto"/>
          <w:kern w:val="2"/>
          <w:szCs w:val="32"/>
          <w:lang w:val="en-US" w:eastAsia="zh-CN"/>
        </w:rPr>
        <w:t>分析判定相关情况</w:t>
      </w:r>
      <w:bookmarkEnd w:id="17"/>
      <w:bookmarkEnd w:id="18"/>
    </w:p>
    <w:p>
      <w:pPr>
        <w:spacing w:line="360" w:lineRule="auto"/>
        <w:ind w:firstLine="480" w:firstLineChars="200"/>
        <w:rPr>
          <w:color w:val="auto"/>
          <w:sz w:val="24"/>
        </w:rPr>
      </w:pPr>
      <w:r>
        <w:rPr>
          <w:color w:val="auto"/>
          <w:sz w:val="24"/>
        </w:rPr>
        <w:t>（1）产业政策相符性判定</w:t>
      </w:r>
    </w:p>
    <w:p>
      <w:pPr>
        <w:spacing w:line="360" w:lineRule="auto"/>
        <w:ind w:firstLine="480" w:firstLineChars="200"/>
        <w:rPr>
          <w:color w:val="auto"/>
          <w:sz w:val="24"/>
        </w:rPr>
      </w:pPr>
      <w:r>
        <w:rPr>
          <w:color w:val="auto"/>
          <w:sz w:val="24"/>
        </w:rPr>
        <w:t>根据中华人民共和国国家发展和改革委员会令第</w:t>
      </w:r>
      <w:r>
        <w:rPr>
          <w:rFonts w:hint="eastAsia"/>
          <w:color w:val="auto"/>
          <w:sz w:val="24"/>
          <w:lang w:val="en-US" w:eastAsia="zh-CN"/>
        </w:rPr>
        <w:t>49</w:t>
      </w:r>
      <w:r>
        <w:rPr>
          <w:color w:val="auto"/>
          <w:sz w:val="24"/>
        </w:rPr>
        <w:t>号《产业结构调整指导目录(2019年本)》，本项目属第一类鼓励类中的</w:t>
      </w:r>
      <w:r>
        <w:rPr>
          <w:rFonts w:hint="eastAsia"/>
          <w:color w:val="auto"/>
          <w:sz w:val="24"/>
          <w:lang w:eastAsia="zh-CN"/>
        </w:rPr>
        <w:t>“</w:t>
      </w:r>
      <w:r>
        <w:rPr>
          <w:color w:val="auto"/>
          <w:sz w:val="24"/>
        </w:rPr>
        <w:t>畜禽标准化规模养殖技术开发与应用</w:t>
      </w:r>
      <w:r>
        <w:rPr>
          <w:rFonts w:hint="eastAsia"/>
          <w:color w:val="auto"/>
          <w:sz w:val="24"/>
          <w:lang w:eastAsia="zh-CN"/>
        </w:rPr>
        <w:t>”</w:t>
      </w:r>
      <w:r>
        <w:rPr>
          <w:color w:val="auto"/>
          <w:sz w:val="24"/>
        </w:rPr>
        <w:t>，符合国家当前的产业政策；</w:t>
      </w:r>
      <w:r>
        <w:rPr>
          <w:rFonts w:hint="eastAsia"/>
          <w:color w:val="auto"/>
          <w:sz w:val="24"/>
        </w:rPr>
        <w:t>恩阳区发展和改革局</w:t>
      </w:r>
      <w:r>
        <w:rPr>
          <w:color w:val="auto"/>
          <w:sz w:val="24"/>
        </w:rPr>
        <w:t>对《</w:t>
      </w:r>
      <w:r>
        <w:rPr>
          <w:rFonts w:hint="eastAsia"/>
          <w:color w:val="auto"/>
          <w:sz w:val="24"/>
          <w:lang w:eastAsia="zh-CN"/>
        </w:rPr>
        <w:t>恩阳区群乐镇坳盘村巴山肉牛育肥场项目</w:t>
      </w:r>
      <w:r>
        <w:rPr>
          <w:color w:val="auto"/>
          <w:sz w:val="24"/>
        </w:rPr>
        <w:t>》予以备案，</w:t>
      </w:r>
      <w:r>
        <w:rPr>
          <w:rFonts w:hint="eastAsia"/>
          <w:color w:val="auto"/>
          <w:sz w:val="24"/>
          <w:lang w:val="en-US" w:eastAsia="zh-CN"/>
        </w:rPr>
        <w:t>项目代码为</w:t>
      </w:r>
      <w:r>
        <w:rPr>
          <w:rFonts w:hint="eastAsia"/>
          <w:color w:val="auto"/>
          <w:sz w:val="24"/>
        </w:rPr>
        <w:t>【2208-511903-04-01-331960】</w:t>
      </w:r>
      <w:r>
        <w:rPr>
          <w:color w:val="auto"/>
          <w:sz w:val="24"/>
        </w:rPr>
        <w:t>。因此，本项目的建设符合产业政策。</w:t>
      </w:r>
    </w:p>
    <w:p>
      <w:pPr>
        <w:spacing w:line="360" w:lineRule="auto"/>
        <w:ind w:firstLine="480" w:firstLineChars="200"/>
        <w:rPr>
          <w:color w:val="auto"/>
          <w:sz w:val="24"/>
        </w:rPr>
      </w:pPr>
      <w:r>
        <w:rPr>
          <w:color w:val="auto"/>
          <w:sz w:val="24"/>
        </w:rPr>
        <w:t>项目的选址和建设符合国家及地方发布的各项规划、功能区划、生态环境保护规划、法律法规及行动计划；项目的最终平面布局充分考虑了所在地自然条件，符合环境保护、安全等多方面要求。相关情况的判定结果见表1</w:t>
      </w:r>
      <w:r>
        <w:rPr>
          <w:rFonts w:hint="eastAsia"/>
          <w:color w:val="auto"/>
          <w:sz w:val="24"/>
          <w:lang w:val="en-US" w:eastAsia="zh-CN"/>
        </w:rPr>
        <w:t>.1-1</w:t>
      </w:r>
      <w:r>
        <w:rPr>
          <w:color w:val="auto"/>
          <w:sz w:val="24"/>
        </w:rPr>
        <w:t>。</w:t>
      </w:r>
    </w:p>
    <w:p>
      <w:pPr>
        <w:pStyle w:val="4"/>
        <w:ind w:firstLine="454"/>
        <w:jc w:val="center"/>
        <w:rPr>
          <w:rFonts w:ascii="Times New Roman" w:eastAsia="黑体"/>
          <w:color w:val="auto"/>
          <w:sz w:val="21"/>
          <w:szCs w:val="21"/>
        </w:rPr>
      </w:pPr>
      <w:r>
        <w:rPr>
          <w:rFonts w:ascii="Times New Roman" w:eastAsia="黑体"/>
          <w:color w:val="auto"/>
          <w:sz w:val="21"/>
          <w:szCs w:val="21"/>
        </w:rPr>
        <w:t>表1</w:t>
      </w:r>
      <w:r>
        <w:rPr>
          <w:rFonts w:hint="eastAsia" w:ascii="Times New Roman" w:eastAsia="黑体"/>
          <w:color w:val="auto"/>
          <w:sz w:val="21"/>
          <w:szCs w:val="21"/>
          <w:lang w:val="en-US" w:eastAsia="zh-CN"/>
        </w:rPr>
        <w:t>.1-1</w:t>
      </w:r>
      <w:r>
        <w:rPr>
          <w:rFonts w:ascii="Times New Roman" w:eastAsia="黑体"/>
          <w:color w:val="auto"/>
          <w:sz w:val="21"/>
          <w:szCs w:val="21"/>
        </w:rPr>
        <w:t xml:space="preserve"> </w:t>
      </w:r>
      <w:r>
        <w:rPr>
          <w:rFonts w:hint="eastAsia" w:ascii="Times New Roman" w:eastAsia="黑体"/>
          <w:color w:val="auto"/>
          <w:sz w:val="21"/>
          <w:szCs w:val="21"/>
        </w:rPr>
        <w:t xml:space="preserve"> </w:t>
      </w:r>
      <w:r>
        <w:rPr>
          <w:rFonts w:ascii="Times New Roman" w:eastAsia="黑体"/>
          <w:color w:val="auto"/>
          <w:sz w:val="21"/>
          <w:szCs w:val="21"/>
        </w:rPr>
        <w:t>项目相关情况判定结果一览表</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6664"/>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b/>
                <w:color w:val="auto"/>
                <w:szCs w:val="21"/>
              </w:rPr>
            </w:pPr>
            <w:r>
              <w:rPr>
                <w:rFonts w:hint="default"/>
                <w:b/>
                <w:color w:val="auto"/>
              </w:rPr>
              <w:t>序号</w:t>
            </w:r>
          </w:p>
        </w:tc>
        <w:tc>
          <w:tcPr>
            <w:tcW w:w="99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b/>
                <w:color w:val="auto"/>
                <w:szCs w:val="21"/>
              </w:rPr>
            </w:pPr>
            <w:r>
              <w:rPr>
                <w:rFonts w:hint="default"/>
                <w:b/>
                <w:color w:val="auto"/>
              </w:rPr>
              <w:t>类别</w:t>
            </w: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b/>
                <w:color w:val="auto"/>
                <w:szCs w:val="21"/>
              </w:rPr>
            </w:pPr>
            <w:r>
              <w:rPr>
                <w:rFonts w:hint="default"/>
                <w:b/>
                <w:color w:val="auto"/>
              </w:rPr>
              <w:t>判定依据</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b/>
                <w:color w:val="auto"/>
                <w:szCs w:val="21"/>
              </w:rPr>
            </w:pPr>
            <w:r>
              <w:rPr>
                <w:rFonts w:hint="default"/>
                <w:b/>
                <w:color w:val="auto"/>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1</w:t>
            </w:r>
          </w:p>
        </w:tc>
        <w:tc>
          <w:tcPr>
            <w:tcW w:w="99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产业政策</w:t>
            </w: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szCs w:val="21"/>
              </w:rPr>
              <w:t>《产业结构调整指导目录(2019年本)》</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2</w:t>
            </w:r>
          </w:p>
        </w:tc>
        <w:tc>
          <w:tcPr>
            <w:tcW w:w="993" w:type="dxa"/>
            <w:vMerge w:val="restart"/>
            <w:tcBorders>
              <w:top w:val="nil"/>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r>
              <w:rPr>
                <w:rFonts w:hint="default"/>
                <w:color w:val="auto"/>
              </w:rPr>
              <w:t>相关规划</w:t>
            </w: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FF0000"/>
                <w:szCs w:val="21"/>
              </w:rPr>
            </w:pPr>
            <w:r>
              <w:rPr>
                <w:rFonts w:hint="default"/>
                <w:color w:val="auto"/>
                <w:szCs w:val="21"/>
              </w:rPr>
              <w:t>《四川省国民经济和社会发展第十三个五年规划纲要（2016-2020 年）》</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3</w:t>
            </w:r>
          </w:p>
        </w:tc>
        <w:tc>
          <w:tcPr>
            <w:tcW w:w="993" w:type="dxa"/>
            <w:vMerge w:val="continue"/>
            <w:tcBorders>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FF0000"/>
                <w:szCs w:val="21"/>
              </w:rPr>
            </w:pPr>
            <w:r>
              <w:rPr>
                <w:rFonts w:hint="default"/>
                <w:color w:val="auto"/>
                <w:szCs w:val="21"/>
              </w:rPr>
              <w:t>《四川省畜牧业发展</w:t>
            </w:r>
            <w:r>
              <w:rPr>
                <w:rFonts w:hint="eastAsia"/>
                <w:color w:val="auto"/>
                <w:szCs w:val="21"/>
                <w:lang w:eastAsia="zh-CN"/>
              </w:rPr>
              <w:t>“</w:t>
            </w:r>
            <w:r>
              <w:rPr>
                <w:rFonts w:hint="default"/>
                <w:color w:val="auto"/>
                <w:szCs w:val="21"/>
              </w:rPr>
              <w:t>十三五</w:t>
            </w:r>
            <w:r>
              <w:rPr>
                <w:rFonts w:hint="eastAsia"/>
                <w:color w:val="auto"/>
                <w:szCs w:val="21"/>
                <w:lang w:eastAsia="zh-CN"/>
              </w:rPr>
              <w:t>”</w:t>
            </w:r>
            <w:r>
              <w:rPr>
                <w:rFonts w:hint="default"/>
                <w:color w:val="auto"/>
                <w:szCs w:val="21"/>
              </w:rPr>
              <w:t>规划（2016-2020年）》</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7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eastAsia" w:eastAsia="宋体"/>
                <w:color w:val="auto"/>
                <w:lang w:val="en-US" w:eastAsia="zh-CN"/>
              </w:rPr>
            </w:pPr>
            <w:r>
              <w:rPr>
                <w:rFonts w:hint="eastAsia"/>
                <w:color w:val="auto"/>
                <w:lang w:val="en-US" w:eastAsia="zh-CN"/>
              </w:rPr>
              <w:t>4</w:t>
            </w:r>
          </w:p>
        </w:tc>
        <w:tc>
          <w:tcPr>
            <w:tcW w:w="993" w:type="dxa"/>
            <w:vMerge w:val="continue"/>
            <w:tcBorders>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p>
        </w:tc>
        <w:tc>
          <w:tcPr>
            <w:tcW w:w="6664" w:type="dxa"/>
            <w:tcBorders>
              <w:top w:val="single" w:color="auto" w:sz="4" w:space="0"/>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FF0000"/>
                <w:szCs w:val="21"/>
              </w:rPr>
            </w:pPr>
            <w:r>
              <w:rPr>
                <w:rFonts w:hint="eastAsia" w:ascii="Times New Roman" w:hAnsi="Times New Roman" w:cs="Times New Roman"/>
                <w:color w:val="auto"/>
                <w:szCs w:val="21"/>
                <w:lang w:eastAsia="zh-CN"/>
              </w:rPr>
              <w:t>《四川省“十四五”生态环境保护规划》（川府发【</w:t>
            </w:r>
            <w:r>
              <w:rPr>
                <w:rFonts w:hint="eastAsia" w:ascii="Times New Roman" w:hAnsi="Times New Roman" w:cs="Times New Roman"/>
                <w:color w:val="auto"/>
                <w:szCs w:val="21"/>
                <w:lang w:val="en-US" w:eastAsia="zh-CN"/>
              </w:rPr>
              <w:t>2022】2号）</w:t>
            </w:r>
          </w:p>
        </w:tc>
        <w:tc>
          <w:tcPr>
            <w:tcW w:w="616" w:type="dxa"/>
            <w:tcBorders>
              <w:top w:val="single" w:color="auto" w:sz="4" w:space="0"/>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75"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eastAsia" w:eastAsia="宋体"/>
                <w:color w:val="auto"/>
                <w:lang w:val="en-US" w:eastAsia="zh-CN"/>
              </w:rPr>
            </w:pPr>
            <w:r>
              <w:rPr>
                <w:rFonts w:hint="eastAsia"/>
                <w:color w:val="auto"/>
                <w:lang w:val="en-US" w:eastAsia="zh-CN"/>
              </w:rPr>
              <w:t>5</w:t>
            </w:r>
          </w:p>
        </w:tc>
        <w:tc>
          <w:tcPr>
            <w:tcW w:w="993" w:type="dxa"/>
            <w:vMerge w:val="continue"/>
            <w:tcBorders>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p>
        </w:tc>
        <w:tc>
          <w:tcPr>
            <w:tcW w:w="6664" w:type="dxa"/>
            <w:tcBorders>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FF0000"/>
                <w:szCs w:val="21"/>
              </w:rPr>
            </w:pPr>
            <w:r>
              <w:rPr>
                <w:rFonts w:hint="eastAsia" w:ascii="Times New Roman" w:hAnsi="Times New Roman" w:cs="Times New Roman"/>
                <w:color w:val="auto"/>
                <w:szCs w:val="21"/>
                <w:lang w:eastAsia="zh-CN"/>
              </w:rPr>
              <w:t>《巴中市“十四五”生态环境保护规划》（巴府发【</w:t>
            </w:r>
            <w:r>
              <w:rPr>
                <w:rFonts w:hint="eastAsia" w:ascii="Times New Roman" w:hAnsi="Times New Roman" w:cs="Times New Roman"/>
                <w:color w:val="auto"/>
                <w:szCs w:val="21"/>
                <w:lang w:val="en-US" w:eastAsia="zh-CN"/>
              </w:rPr>
              <w:t>2021】19号）</w:t>
            </w:r>
          </w:p>
        </w:tc>
        <w:tc>
          <w:tcPr>
            <w:tcW w:w="616" w:type="dxa"/>
            <w:tcBorders>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67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eastAsia"/>
                <w:color w:val="auto"/>
                <w:lang w:val="en-US" w:eastAsia="zh-CN"/>
              </w:rPr>
            </w:pPr>
            <w:r>
              <w:rPr>
                <w:rFonts w:hint="eastAsia"/>
                <w:color w:val="auto"/>
                <w:lang w:val="en-US" w:eastAsia="zh-CN"/>
              </w:rPr>
              <w:t>6</w:t>
            </w:r>
          </w:p>
        </w:tc>
        <w:tc>
          <w:tcPr>
            <w:tcW w:w="993" w:type="dxa"/>
            <w:vMerge w:val="continue"/>
            <w:tcBorders>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p>
        </w:tc>
        <w:tc>
          <w:tcPr>
            <w:tcW w:w="6664" w:type="dxa"/>
            <w:tcBorders>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eastAsia"/>
                <w:color w:val="FF0000"/>
                <w:szCs w:val="21"/>
                <w:lang w:eastAsia="zh-CN"/>
              </w:rPr>
            </w:pPr>
            <w:r>
              <w:rPr>
                <w:rFonts w:hint="eastAsia" w:ascii="Times New Roman" w:hAnsi="Times New Roman" w:cs="Times New Roman"/>
                <w:color w:val="auto"/>
                <w:szCs w:val="21"/>
                <w:lang w:eastAsia="zh-CN"/>
              </w:rPr>
              <w:t>《巴中市“十四五”推进农业农村现代化规划》（巴府发【</w:t>
            </w:r>
            <w:r>
              <w:rPr>
                <w:rFonts w:hint="eastAsia" w:ascii="Times New Roman" w:hAnsi="Times New Roman" w:cs="Times New Roman"/>
                <w:color w:val="auto"/>
                <w:szCs w:val="21"/>
                <w:lang w:val="en-US" w:eastAsia="zh-CN"/>
              </w:rPr>
              <w:t>2021】13号）</w:t>
            </w:r>
          </w:p>
        </w:tc>
        <w:tc>
          <w:tcPr>
            <w:tcW w:w="616" w:type="dxa"/>
            <w:tcBorders>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w:t>
            </w:r>
          </w:p>
        </w:tc>
        <w:tc>
          <w:tcPr>
            <w:tcW w:w="993" w:type="dxa"/>
            <w:vMerge w:val="restart"/>
            <w:tcBorders>
              <w:top w:val="nil"/>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r>
              <w:rPr>
                <w:rFonts w:hint="default"/>
                <w:color w:val="auto"/>
              </w:rPr>
              <w:t>技术规范</w:t>
            </w:r>
          </w:p>
          <w:p>
            <w:pPr>
              <w:keepNext w:val="0"/>
              <w:keepLines w:val="0"/>
              <w:suppressLineNumbers w:val="0"/>
              <w:spacing w:before="0" w:beforeAutospacing="0" w:after="0" w:afterAutospacing="0"/>
              <w:ind w:left="-42" w:leftChars="-20" w:right="-42" w:rightChars="-20"/>
              <w:jc w:val="center"/>
              <w:rPr>
                <w:rFonts w:hint="default"/>
                <w:color w:val="auto"/>
                <w:szCs w:val="21"/>
              </w:rPr>
            </w:pP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szCs w:val="21"/>
              </w:rPr>
              <w:t>《畜禽养殖业污染治理工程技术规范》（HJ497－2009）</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8</w:t>
            </w:r>
          </w:p>
        </w:tc>
        <w:tc>
          <w:tcPr>
            <w:tcW w:w="993" w:type="dxa"/>
            <w:vMerge w:val="continue"/>
            <w:tcBorders>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szCs w:val="21"/>
              </w:rPr>
              <w:t>《农产品安全质量—无公害畜禽肉产地环境要求》（GB/T18407.3—2001）</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9</w:t>
            </w:r>
          </w:p>
        </w:tc>
        <w:tc>
          <w:tcPr>
            <w:tcW w:w="993" w:type="dxa"/>
            <w:vMerge w:val="continue"/>
            <w:tcBorders>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szCs w:val="21"/>
              </w:rPr>
              <w:t>《畜禽养殖业污染防治技术规范》（HJ/T81-2001）</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c>
          <w:tcPr>
            <w:tcW w:w="993" w:type="dxa"/>
            <w:vMerge w:val="continue"/>
            <w:tcBorders>
              <w:left w:val="nil"/>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szCs w:val="21"/>
              </w:rPr>
              <w:t>《畜禽养殖业污染防治条例》（HJ497－2009）</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eastAsia="宋体"/>
                <w:color w:val="auto"/>
                <w:szCs w:val="21"/>
                <w:lang w:val="en-US" w:eastAsia="zh-CN"/>
              </w:rPr>
            </w:pPr>
            <w:r>
              <w:rPr>
                <w:rFonts w:hint="eastAsia"/>
                <w:color w:val="auto"/>
                <w:szCs w:val="21"/>
                <w:lang w:val="en-US" w:eastAsia="zh-CN"/>
              </w:rPr>
              <w:t>11</w:t>
            </w:r>
          </w:p>
        </w:tc>
        <w:tc>
          <w:tcPr>
            <w:tcW w:w="993" w:type="dxa"/>
            <w:vMerge w:val="continue"/>
            <w:tcBorders>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p>
        </w:tc>
        <w:tc>
          <w:tcPr>
            <w:tcW w:w="666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szCs w:val="21"/>
              </w:rPr>
              <w:t>《畜禽规模养殖场粪污资源化利用设施建设规范（试行）》</w:t>
            </w:r>
          </w:p>
        </w:tc>
        <w:tc>
          <w:tcPr>
            <w:tcW w:w="61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42" w:leftChars="-20" w:right="-42" w:rightChars="-20"/>
              <w:jc w:val="center"/>
              <w:rPr>
                <w:rFonts w:hint="default"/>
                <w:color w:val="auto"/>
                <w:szCs w:val="21"/>
              </w:rPr>
            </w:pPr>
            <w:r>
              <w:rPr>
                <w:rFonts w:hint="default"/>
                <w:color w:val="auto"/>
              </w:rPr>
              <w:t>符合</w:t>
            </w:r>
          </w:p>
        </w:tc>
      </w:tr>
    </w:tbl>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19" w:name="_Toc427698387"/>
      <w:bookmarkStart w:id="20" w:name="_Toc8219"/>
      <w:bookmarkStart w:id="21" w:name="_Toc23444"/>
      <w:bookmarkStart w:id="22" w:name="_Toc435993001"/>
      <w:r>
        <w:rPr>
          <w:rFonts w:ascii="Times New Roman" w:hAnsi="Times New Roman" w:cs="Times New Roman" w:eastAsiaTheme="majorEastAsia"/>
          <w:bCs/>
          <w:color w:val="auto"/>
          <w:kern w:val="2"/>
          <w:szCs w:val="32"/>
          <w:lang w:val="en-US" w:eastAsia="zh-CN"/>
        </w:rPr>
        <w:t>关注的主要环境问题</w:t>
      </w:r>
      <w:bookmarkEnd w:id="19"/>
      <w:bookmarkEnd w:id="20"/>
      <w:bookmarkEnd w:id="21"/>
      <w:bookmarkEnd w:id="22"/>
    </w:p>
    <w:p>
      <w:pPr>
        <w:spacing w:line="360" w:lineRule="auto"/>
        <w:ind w:firstLine="480" w:firstLineChars="200"/>
        <w:rPr>
          <w:color w:val="auto"/>
          <w:sz w:val="24"/>
        </w:rPr>
      </w:pPr>
      <w:r>
        <w:rPr>
          <w:color w:val="auto"/>
          <w:sz w:val="24"/>
        </w:rPr>
        <w:t>本次环评主要关注项目实施过程中可能会产生的污染，从环保的角度分析建设项目选址的合理合法性，详细调查项目实施区的环境现状，重点分析项目实施后对大气环境、水环境的影响，针对项目可能产生的不利影响提出可行的防范对策措施，其主要关注环境问题体现为以下：</w:t>
      </w:r>
    </w:p>
    <w:p>
      <w:pPr>
        <w:spacing w:line="360" w:lineRule="auto"/>
        <w:ind w:firstLine="480" w:firstLineChars="200"/>
        <w:rPr>
          <w:color w:val="auto"/>
          <w:sz w:val="24"/>
        </w:rPr>
      </w:pPr>
      <w:r>
        <w:rPr>
          <w:color w:val="auto"/>
          <w:sz w:val="24"/>
        </w:rPr>
        <w:t>（1）本项目属于畜禽养殖类建设项目，废水的收集、处理、排放及对地表水、地下水环境的影响为本项目的重点。</w:t>
      </w:r>
    </w:p>
    <w:p>
      <w:pPr>
        <w:spacing w:line="360" w:lineRule="auto"/>
        <w:ind w:firstLine="480" w:firstLineChars="200"/>
        <w:rPr>
          <w:color w:val="auto"/>
          <w:sz w:val="24"/>
        </w:rPr>
      </w:pPr>
      <w:r>
        <w:rPr>
          <w:color w:val="auto"/>
          <w:sz w:val="24"/>
        </w:rPr>
        <w:t>（2）运营期会产生恶臭气体，恶臭气体对大气环境的影响及降低恶臭气体的措施是本次评价重点关注的问题。</w:t>
      </w:r>
    </w:p>
    <w:p>
      <w:pPr>
        <w:spacing w:line="360" w:lineRule="auto"/>
        <w:ind w:firstLine="480" w:firstLineChars="200"/>
        <w:rPr>
          <w:color w:val="auto"/>
          <w:sz w:val="24"/>
        </w:rPr>
      </w:pPr>
      <w:r>
        <w:rPr>
          <w:color w:val="auto"/>
          <w:sz w:val="24"/>
        </w:rPr>
        <w:t>（3）运营期将产生</w:t>
      </w:r>
      <w:r>
        <w:rPr>
          <w:rFonts w:hint="eastAsia"/>
          <w:color w:val="auto"/>
          <w:sz w:val="24"/>
          <w:lang w:val="en-US" w:eastAsia="zh-CN"/>
        </w:rPr>
        <w:t>牛</w:t>
      </w:r>
      <w:r>
        <w:rPr>
          <w:color w:val="auto"/>
          <w:sz w:val="24"/>
        </w:rPr>
        <w:t>粪、病死</w:t>
      </w:r>
      <w:r>
        <w:rPr>
          <w:rFonts w:hint="eastAsia"/>
          <w:color w:val="auto"/>
          <w:sz w:val="24"/>
          <w:lang w:val="en-US" w:eastAsia="zh-CN"/>
        </w:rPr>
        <w:t>牛</w:t>
      </w:r>
      <w:r>
        <w:rPr>
          <w:color w:val="auto"/>
          <w:sz w:val="24"/>
        </w:rPr>
        <w:t>等固体废弃物，固体废物的收集、无害化处理及综合利用是本次环评关注的问题。</w:t>
      </w:r>
    </w:p>
    <w:p>
      <w:pPr>
        <w:spacing w:line="360" w:lineRule="auto"/>
        <w:ind w:firstLine="480" w:firstLineChars="200"/>
        <w:rPr>
          <w:color w:val="auto"/>
          <w:sz w:val="24"/>
        </w:rPr>
      </w:pPr>
      <w:r>
        <w:rPr>
          <w:color w:val="auto"/>
          <w:sz w:val="24"/>
        </w:rPr>
        <w:t>（4）项目选址的环境可行性。</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23" w:name="_Toc29603"/>
      <w:bookmarkStart w:id="24" w:name="_Toc23726"/>
      <w:r>
        <w:rPr>
          <w:rFonts w:ascii="Times New Roman" w:hAnsi="Times New Roman" w:cs="Times New Roman" w:eastAsiaTheme="majorEastAsia"/>
          <w:bCs/>
          <w:color w:val="auto"/>
          <w:kern w:val="2"/>
          <w:szCs w:val="32"/>
          <w:lang w:val="en-US" w:eastAsia="zh-CN"/>
        </w:rPr>
        <w:t>主要环境影响</w:t>
      </w:r>
      <w:bookmarkEnd w:id="23"/>
      <w:bookmarkEnd w:id="24"/>
    </w:p>
    <w:p>
      <w:pPr>
        <w:autoSpaceDE w:val="0"/>
        <w:autoSpaceDN w:val="0"/>
        <w:adjustRightInd w:val="0"/>
        <w:spacing w:line="360" w:lineRule="auto"/>
        <w:ind w:firstLine="482" w:firstLineChars="200"/>
        <w:jc w:val="left"/>
        <w:rPr>
          <w:b/>
          <w:color w:val="auto"/>
          <w:sz w:val="24"/>
        </w:rPr>
      </w:pPr>
      <w:r>
        <w:rPr>
          <w:b/>
          <w:color w:val="auto"/>
          <w:sz w:val="24"/>
        </w:rPr>
        <w:t>1</w:t>
      </w:r>
      <w:r>
        <w:rPr>
          <w:rFonts w:hint="eastAsia"/>
          <w:b/>
          <w:color w:val="auto"/>
          <w:sz w:val="24"/>
          <w:lang w:eastAsia="zh-CN"/>
        </w:rPr>
        <w:t>、</w:t>
      </w:r>
      <w:r>
        <w:rPr>
          <w:b/>
          <w:color w:val="auto"/>
          <w:sz w:val="24"/>
        </w:rPr>
        <w:t>废气主要环保措施及影响分析</w:t>
      </w:r>
    </w:p>
    <w:p>
      <w:pPr>
        <w:spacing w:line="360" w:lineRule="auto"/>
        <w:ind w:firstLine="480" w:firstLineChars="200"/>
        <w:rPr>
          <w:color w:val="auto"/>
          <w:sz w:val="24"/>
        </w:rPr>
      </w:pPr>
      <w:r>
        <w:rPr>
          <w:color w:val="auto"/>
          <w:sz w:val="24"/>
        </w:rPr>
        <w:t>（1）废气治理措施</w:t>
      </w:r>
    </w:p>
    <w:p>
      <w:pPr>
        <w:spacing w:line="360" w:lineRule="auto"/>
        <w:ind w:firstLine="480" w:firstLineChars="200"/>
        <w:rPr>
          <w:color w:val="auto"/>
          <w:sz w:val="24"/>
        </w:rPr>
      </w:pPr>
      <w:r>
        <w:rPr>
          <w:rFonts w:hint="eastAsia"/>
          <w:color w:val="auto"/>
          <w:sz w:val="24"/>
        </w:rPr>
        <w:t>①</w:t>
      </w:r>
      <w:r>
        <w:rPr>
          <w:rFonts w:hint="eastAsia"/>
          <w:color w:val="auto"/>
          <w:sz w:val="24"/>
          <w:lang w:val="en-US" w:eastAsia="zh-CN"/>
        </w:rPr>
        <w:t>牛舍</w:t>
      </w:r>
      <w:r>
        <w:rPr>
          <w:color w:val="auto"/>
          <w:sz w:val="24"/>
        </w:rPr>
        <w:t>恶臭</w:t>
      </w:r>
      <w:r>
        <w:rPr>
          <w:rFonts w:hint="eastAsia"/>
          <w:color w:val="auto"/>
          <w:sz w:val="24"/>
        </w:rPr>
        <w:t>：</w:t>
      </w:r>
      <w:r>
        <w:rPr>
          <w:color w:val="auto"/>
          <w:sz w:val="24"/>
        </w:rPr>
        <w:t>通过采取</w:t>
      </w:r>
      <w:r>
        <w:rPr>
          <w:rFonts w:hint="eastAsia"/>
          <w:color w:val="auto"/>
          <w:sz w:val="24"/>
        </w:rPr>
        <w:t>畜禽科学饲喂技术</w:t>
      </w:r>
      <w:r>
        <w:rPr>
          <w:color w:val="auto"/>
          <w:sz w:val="24"/>
        </w:rPr>
        <w:t>；合理使用饲料添加剂；加强</w:t>
      </w:r>
      <w:r>
        <w:rPr>
          <w:rFonts w:hint="eastAsia"/>
          <w:color w:val="auto"/>
          <w:sz w:val="24"/>
          <w:lang w:eastAsia="zh-CN"/>
        </w:rPr>
        <w:t>牛</w:t>
      </w:r>
      <w:r>
        <w:rPr>
          <w:color w:val="auto"/>
          <w:sz w:val="24"/>
        </w:rPr>
        <w:t>舍管理；投放吸附剂和喷洒除臭剂，加强消毒等措施来减少恶臭的产生与传播；</w:t>
      </w:r>
      <w:r>
        <w:rPr>
          <w:rFonts w:hint="eastAsia"/>
          <w:color w:val="auto"/>
          <w:sz w:val="24"/>
          <w:lang w:eastAsia="zh-CN"/>
        </w:rPr>
        <w:t>牛</w:t>
      </w:r>
      <w:r>
        <w:rPr>
          <w:rFonts w:hint="eastAsia"/>
          <w:color w:val="auto"/>
          <w:sz w:val="24"/>
        </w:rPr>
        <w:t>舍出风口加吸附剂</w:t>
      </w:r>
      <w:r>
        <w:rPr>
          <w:rFonts w:hint="eastAsia"/>
          <w:color w:val="auto"/>
          <w:sz w:val="24"/>
          <w:lang w:eastAsia="zh-CN"/>
        </w:rPr>
        <w:t>；</w:t>
      </w:r>
      <w:r>
        <w:rPr>
          <w:color w:val="auto"/>
          <w:sz w:val="24"/>
        </w:rPr>
        <w:t>同时，加强项目场区及四周绿化</w:t>
      </w:r>
      <w:r>
        <w:rPr>
          <w:rFonts w:hint="eastAsia"/>
          <w:color w:val="auto"/>
          <w:sz w:val="24"/>
        </w:rPr>
        <w:t>；</w:t>
      </w:r>
      <w:r>
        <w:rPr>
          <w:b w:val="0"/>
          <w:bCs w:val="0"/>
          <w:color w:val="auto"/>
          <w:sz w:val="24"/>
        </w:rPr>
        <w:t>以本项目</w:t>
      </w:r>
      <w:r>
        <w:rPr>
          <w:rFonts w:hint="eastAsia"/>
          <w:b w:val="0"/>
          <w:bCs/>
          <w:color w:val="auto"/>
          <w:sz w:val="24"/>
        </w:rPr>
        <w:t>恶臭源</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及发酵床</w:t>
      </w:r>
      <w:r>
        <w:rPr>
          <w:rFonts w:hint="eastAsia"/>
          <w:b w:val="0"/>
          <w:bCs/>
          <w:color w:val="auto"/>
          <w:sz w:val="24"/>
        </w:rPr>
        <w:t>边界起1</w:t>
      </w:r>
      <w:r>
        <w:rPr>
          <w:b w:val="0"/>
          <w:bCs/>
          <w:color w:val="auto"/>
          <w:sz w:val="24"/>
        </w:rPr>
        <w:t>00m</w:t>
      </w:r>
      <w:r>
        <w:rPr>
          <w:rFonts w:hint="eastAsia"/>
          <w:b w:val="0"/>
          <w:bCs/>
          <w:color w:val="auto"/>
          <w:sz w:val="24"/>
          <w:lang w:val="en-US" w:eastAsia="zh-CN"/>
        </w:rPr>
        <w:t>和TMR管理中心</w:t>
      </w:r>
      <w:r>
        <w:rPr>
          <w:rFonts w:hint="eastAsia"/>
          <w:b w:val="0"/>
          <w:bCs/>
          <w:color w:val="auto"/>
          <w:sz w:val="24"/>
        </w:rPr>
        <w:t>边界起</w:t>
      </w:r>
      <w:r>
        <w:rPr>
          <w:rFonts w:hint="eastAsia"/>
          <w:b w:val="0"/>
          <w:bCs/>
          <w:color w:val="auto"/>
          <w:sz w:val="24"/>
          <w:lang w:val="en-US" w:eastAsia="zh-CN"/>
        </w:rPr>
        <w:t>5</w:t>
      </w:r>
      <w:r>
        <w:rPr>
          <w:b w:val="0"/>
          <w:bCs/>
          <w:color w:val="auto"/>
          <w:sz w:val="24"/>
        </w:rPr>
        <w:t>0m</w:t>
      </w:r>
      <w:r>
        <w:rPr>
          <w:rFonts w:hint="eastAsia"/>
          <w:b w:val="0"/>
          <w:bCs/>
          <w:color w:val="auto"/>
          <w:sz w:val="24"/>
        </w:rPr>
        <w:t>的区域</w:t>
      </w:r>
      <w:r>
        <w:rPr>
          <w:rFonts w:hint="eastAsia"/>
          <w:b w:val="0"/>
          <w:bCs/>
          <w:color w:val="auto"/>
          <w:sz w:val="24"/>
          <w:lang w:val="en-US" w:eastAsia="zh-CN"/>
        </w:rPr>
        <w:t>划定为</w:t>
      </w:r>
      <w:r>
        <w:rPr>
          <w:rFonts w:hint="eastAsia"/>
          <w:b w:val="0"/>
          <w:bCs/>
          <w:color w:val="auto"/>
          <w:sz w:val="24"/>
        </w:rPr>
        <w:t>卫生防护距离</w:t>
      </w:r>
      <w:r>
        <w:rPr>
          <w:rFonts w:hint="eastAsia"/>
          <w:color w:val="auto"/>
          <w:sz w:val="24"/>
          <w:lang w:eastAsia="zh-CN"/>
        </w:rPr>
        <w:t>，</w:t>
      </w:r>
      <w:r>
        <w:rPr>
          <w:rFonts w:hint="eastAsia"/>
          <w:color w:val="auto"/>
          <w:sz w:val="24"/>
        </w:rPr>
        <w:t>存在</w:t>
      </w:r>
      <w:r>
        <w:rPr>
          <w:rFonts w:hint="eastAsia"/>
          <w:color w:val="auto"/>
          <w:sz w:val="24"/>
          <w:lang w:val="en-US" w:eastAsia="zh-CN"/>
        </w:rPr>
        <w:t>20</w:t>
      </w:r>
      <w:r>
        <w:rPr>
          <w:rFonts w:hint="eastAsia"/>
          <w:color w:val="auto"/>
          <w:sz w:val="24"/>
        </w:rPr>
        <w:t>户农户，已</w:t>
      </w:r>
      <w:r>
        <w:rPr>
          <w:rFonts w:hint="eastAsia"/>
          <w:color w:val="auto"/>
          <w:sz w:val="24"/>
          <w:lang w:val="en-US" w:eastAsia="zh-CN"/>
        </w:rPr>
        <w:t>与农户</w:t>
      </w:r>
      <w:r>
        <w:rPr>
          <w:rFonts w:hint="eastAsia"/>
          <w:color w:val="auto"/>
          <w:sz w:val="24"/>
        </w:rPr>
        <w:t>签订租赁合同，租赁为本项目的办公区域</w:t>
      </w:r>
      <w:r>
        <w:rPr>
          <w:rFonts w:hint="eastAsia"/>
          <w:color w:val="auto"/>
          <w:sz w:val="24"/>
          <w:lang w:eastAsia="zh-CN"/>
        </w:rPr>
        <w:t>，</w:t>
      </w:r>
      <w:r>
        <w:rPr>
          <w:color w:val="auto"/>
          <w:sz w:val="24"/>
        </w:rPr>
        <w:t>对卫生防护距离范围内的农户功能置换后</w:t>
      </w:r>
      <w:r>
        <w:rPr>
          <w:rFonts w:hint="eastAsia"/>
          <w:color w:val="auto"/>
          <w:sz w:val="24"/>
        </w:rPr>
        <w:t>，不存在环保搬迁</w:t>
      </w:r>
      <w:r>
        <w:rPr>
          <w:color w:val="auto"/>
          <w:sz w:val="24"/>
        </w:rPr>
        <w:t>，项目产生的恶臭及噪声对周围居民的影响在可接受范围内。</w:t>
      </w:r>
    </w:p>
    <w:p>
      <w:pPr>
        <w:spacing w:line="360" w:lineRule="auto"/>
        <w:ind w:firstLine="480" w:firstLineChars="200"/>
        <w:rPr>
          <w:color w:val="auto"/>
          <w:sz w:val="24"/>
        </w:rPr>
      </w:pPr>
      <w:r>
        <w:rPr>
          <w:rFonts w:hint="eastAsia"/>
          <w:color w:val="auto"/>
          <w:sz w:val="24"/>
        </w:rPr>
        <w:t>②</w:t>
      </w:r>
      <w:r>
        <w:rPr>
          <w:rFonts w:hint="eastAsia"/>
          <w:color w:val="auto"/>
          <w:sz w:val="24"/>
          <w:lang w:val="en-US" w:eastAsia="zh-CN"/>
        </w:rPr>
        <w:t>发酵床恶臭</w:t>
      </w:r>
      <w:r>
        <w:rPr>
          <w:rFonts w:hint="eastAsia"/>
          <w:color w:val="auto"/>
          <w:sz w:val="24"/>
        </w:rPr>
        <w:t>：周边定时喷洒除臭剂，同时加强周边绿化。</w:t>
      </w:r>
    </w:p>
    <w:p>
      <w:pPr>
        <w:spacing w:line="360" w:lineRule="auto"/>
        <w:ind w:firstLine="480" w:firstLineChars="200"/>
        <w:rPr>
          <w:color w:val="auto"/>
          <w:sz w:val="24"/>
        </w:rPr>
      </w:pPr>
      <w:r>
        <w:rPr>
          <w:rFonts w:hint="eastAsia"/>
          <w:color w:val="auto"/>
          <w:sz w:val="24"/>
        </w:rPr>
        <w:t>③食堂油烟：经</w:t>
      </w:r>
      <w:r>
        <w:rPr>
          <w:rFonts w:hint="eastAsia"/>
          <w:color w:val="auto"/>
          <w:sz w:val="24"/>
          <w:lang w:val="en-US" w:eastAsia="zh-CN"/>
        </w:rPr>
        <w:t>油烟净化器</w:t>
      </w:r>
      <w:r>
        <w:rPr>
          <w:rFonts w:hint="eastAsia"/>
          <w:color w:val="auto"/>
          <w:sz w:val="24"/>
        </w:rPr>
        <w:t>处理后排放。</w:t>
      </w:r>
    </w:p>
    <w:p>
      <w:pPr>
        <w:spacing w:line="360" w:lineRule="auto"/>
        <w:ind w:firstLine="480" w:firstLineChars="200"/>
        <w:rPr>
          <w:rFonts w:hint="eastAsia" w:eastAsia="宋体"/>
          <w:color w:val="auto"/>
          <w:sz w:val="24"/>
          <w:lang w:eastAsia="zh-CN"/>
        </w:rPr>
      </w:pPr>
      <w:r>
        <w:rPr>
          <w:rFonts w:hint="eastAsia"/>
          <w:color w:val="auto"/>
          <w:sz w:val="24"/>
          <w:lang w:val="en-US" w:eastAsia="zh-CN"/>
        </w:rPr>
        <w:t>④</w:t>
      </w:r>
      <w:r>
        <w:rPr>
          <w:rFonts w:hint="eastAsia"/>
          <w:color w:val="auto"/>
          <w:sz w:val="24"/>
        </w:rPr>
        <w:t>发电机废气：经自带废气净化装置处理后排放</w:t>
      </w:r>
      <w:r>
        <w:rPr>
          <w:rFonts w:hint="eastAsia"/>
          <w:color w:val="auto"/>
          <w:sz w:val="24"/>
          <w:lang w:eastAsia="zh-CN"/>
        </w:rPr>
        <w:t>。</w:t>
      </w:r>
    </w:p>
    <w:p>
      <w:pPr>
        <w:spacing w:line="360" w:lineRule="auto"/>
        <w:ind w:firstLine="480" w:firstLineChars="200"/>
        <w:rPr>
          <w:rFonts w:hint="eastAsia" w:eastAsia="宋体"/>
          <w:color w:val="auto"/>
          <w:sz w:val="24"/>
          <w:lang w:val="en-US" w:eastAsia="zh-CN"/>
        </w:rPr>
      </w:pPr>
      <w:r>
        <w:rPr>
          <w:rFonts w:hint="eastAsia"/>
          <w:color w:val="auto"/>
          <w:sz w:val="24"/>
          <w:lang w:val="en-US" w:eastAsia="zh-CN"/>
        </w:rPr>
        <w:t>⑤饲料加工废气（颗粒物）</w:t>
      </w:r>
      <w:r>
        <w:rPr>
          <w:rFonts w:hint="eastAsia"/>
          <w:color w:val="auto"/>
          <w:sz w:val="24"/>
        </w:rPr>
        <w:t>：经</w:t>
      </w:r>
      <w:r>
        <w:rPr>
          <w:rFonts w:hint="eastAsia" w:cs="Times New Roman"/>
          <w:color w:val="auto"/>
          <w:sz w:val="24"/>
          <w:szCs w:val="32"/>
          <w:lang w:val="en-US" w:eastAsia="zh-CN"/>
        </w:rPr>
        <w:t>布袋除尘器+15m高排气筒（</w:t>
      </w:r>
      <w:r>
        <w:rPr>
          <w:rFonts w:hint="default" w:ascii="Times New Roman" w:hAnsi="Times New Roman" w:eastAsia="宋体" w:cs="Times New Roman"/>
          <w:color w:val="auto"/>
          <w:sz w:val="24"/>
          <w:szCs w:val="24"/>
          <w:lang w:eastAsia="zh-CN"/>
        </w:rPr>
        <w:t>风量</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eastAsia="zh-CN"/>
        </w:rPr>
        <w:t>00m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/h</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收集效率取90%，处理效率取99%</w:t>
      </w:r>
      <w:r>
        <w:rPr>
          <w:rFonts w:hint="eastAsia" w:cs="Times New Roman"/>
          <w:color w:val="auto"/>
          <w:sz w:val="24"/>
          <w:szCs w:val="24"/>
          <w:lang w:eastAsia="zh-CN"/>
        </w:rPr>
        <w:t>，</w:t>
      </w:r>
      <w:r>
        <w:rPr>
          <w:rFonts w:hint="eastAsia" w:cs="Times New Roman"/>
          <w:color w:val="auto"/>
          <w:sz w:val="24"/>
          <w:szCs w:val="32"/>
          <w:lang w:val="en-US" w:eastAsia="zh-CN"/>
        </w:rPr>
        <w:t>DA001）</w:t>
      </w:r>
      <w:r>
        <w:rPr>
          <w:rFonts w:hint="eastAsia"/>
          <w:color w:val="auto"/>
          <w:sz w:val="24"/>
        </w:rPr>
        <w:t>处理后排放</w:t>
      </w:r>
      <w:r>
        <w:rPr>
          <w:rFonts w:hint="eastAsia"/>
          <w:color w:val="auto"/>
          <w:sz w:val="24"/>
          <w:lang w:eastAsia="zh-CN"/>
        </w:rPr>
        <w:t>。</w:t>
      </w:r>
    </w:p>
    <w:p>
      <w:pPr>
        <w:spacing w:line="360" w:lineRule="auto"/>
        <w:ind w:firstLine="480" w:firstLineChars="200"/>
        <w:rPr>
          <w:color w:val="auto"/>
          <w:sz w:val="24"/>
        </w:rPr>
      </w:pPr>
      <w:r>
        <w:rPr>
          <w:color w:val="auto"/>
          <w:sz w:val="24"/>
        </w:rPr>
        <w:t>（2）影响分析</w:t>
      </w:r>
    </w:p>
    <w:p>
      <w:pPr>
        <w:pStyle w:val="723"/>
        <w:rPr>
          <w:rFonts w:ascii="Times New Roman" w:hAnsi="Times New Roman" w:eastAsia="宋体" w:cs="Times New Roman"/>
          <w:color w:val="auto"/>
        </w:rPr>
      </w:pPr>
      <w:r>
        <w:rPr>
          <w:rFonts w:ascii="Times New Roman" w:hAnsi="Times New Roman" w:eastAsia="宋体" w:cs="Times New Roman"/>
          <w:color w:val="auto"/>
        </w:rPr>
        <w:t>大气预测结果表明：本项目废气污染物在正常排放情况下最大落地浓度贡献值对区域大气环境影响不明显。</w:t>
      </w:r>
    </w:p>
    <w:p>
      <w:pPr>
        <w:autoSpaceDE w:val="0"/>
        <w:autoSpaceDN w:val="0"/>
        <w:adjustRightInd w:val="0"/>
        <w:spacing w:line="360" w:lineRule="auto"/>
        <w:ind w:firstLine="482" w:firstLineChars="200"/>
        <w:jc w:val="left"/>
        <w:rPr>
          <w:b/>
          <w:color w:val="auto"/>
          <w:sz w:val="24"/>
        </w:rPr>
      </w:pPr>
      <w:r>
        <w:rPr>
          <w:b/>
          <w:color w:val="auto"/>
          <w:sz w:val="24"/>
        </w:rPr>
        <w:t>2</w:t>
      </w:r>
      <w:r>
        <w:rPr>
          <w:rFonts w:hint="eastAsia"/>
          <w:b/>
          <w:color w:val="auto"/>
          <w:sz w:val="24"/>
          <w:lang w:eastAsia="zh-CN"/>
        </w:rPr>
        <w:t>、</w:t>
      </w:r>
      <w:r>
        <w:rPr>
          <w:b/>
          <w:color w:val="auto"/>
          <w:sz w:val="24"/>
        </w:rPr>
        <w:t>废水主要环保措施及影响分析</w:t>
      </w:r>
    </w:p>
    <w:p>
      <w:pPr>
        <w:spacing w:line="360" w:lineRule="auto"/>
        <w:ind w:firstLine="480" w:firstLineChars="200"/>
        <w:rPr>
          <w:color w:val="auto"/>
          <w:sz w:val="24"/>
          <w:szCs w:val="28"/>
        </w:rPr>
      </w:pPr>
      <w:r>
        <w:rPr>
          <w:color w:val="auto"/>
          <w:sz w:val="24"/>
          <w:szCs w:val="28"/>
        </w:rPr>
        <w:t>（1）废水治理措施</w:t>
      </w:r>
    </w:p>
    <w:p>
      <w:pPr>
        <w:spacing w:line="360" w:lineRule="auto"/>
        <w:ind w:firstLine="480" w:firstLineChars="200"/>
        <w:rPr>
          <w:rFonts w:hint="eastAsia"/>
          <w:color w:val="auto"/>
          <w:sz w:val="24"/>
          <w:szCs w:val="28"/>
        </w:rPr>
      </w:pPr>
      <w:r>
        <w:rPr>
          <w:rFonts w:hint="eastAsia"/>
          <w:color w:val="auto"/>
          <w:sz w:val="24"/>
          <w:szCs w:val="28"/>
        </w:rPr>
        <w:t>生活废水与生产废水一同经</w:t>
      </w:r>
      <w:r>
        <w:rPr>
          <w:rFonts w:hint="eastAsia"/>
          <w:color w:val="auto"/>
          <w:sz w:val="24"/>
          <w:szCs w:val="28"/>
          <w:lang w:val="en-US" w:eastAsia="zh-CN"/>
        </w:rPr>
        <w:t>发酵床处理后，外售有机肥厂</w:t>
      </w:r>
      <w:r>
        <w:rPr>
          <w:rFonts w:hint="eastAsia"/>
          <w:color w:val="auto"/>
          <w:sz w:val="24"/>
          <w:szCs w:val="28"/>
        </w:rPr>
        <w:t>，不外排。</w:t>
      </w:r>
    </w:p>
    <w:p>
      <w:pPr>
        <w:spacing w:line="360" w:lineRule="auto"/>
        <w:ind w:firstLine="480" w:firstLineChars="200"/>
        <w:rPr>
          <w:color w:val="auto"/>
          <w:sz w:val="24"/>
          <w:szCs w:val="28"/>
        </w:rPr>
      </w:pPr>
      <w:r>
        <w:rPr>
          <w:color w:val="auto"/>
          <w:sz w:val="24"/>
          <w:szCs w:val="28"/>
        </w:rPr>
        <w:t>（2）影响分析</w:t>
      </w:r>
    </w:p>
    <w:p>
      <w:pPr>
        <w:spacing w:line="360" w:lineRule="auto"/>
        <w:ind w:firstLine="480" w:firstLineChars="200"/>
        <w:jc w:val="left"/>
        <w:rPr>
          <w:color w:val="auto"/>
          <w:sz w:val="24"/>
          <w:szCs w:val="28"/>
        </w:rPr>
      </w:pPr>
      <w:r>
        <w:rPr>
          <w:rFonts w:hint="eastAsia"/>
          <w:color w:val="auto"/>
          <w:sz w:val="24"/>
          <w:szCs w:val="28"/>
        </w:rPr>
        <w:t>本项目废水不外排</w:t>
      </w:r>
      <w:r>
        <w:rPr>
          <w:color w:val="auto"/>
          <w:sz w:val="24"/>
          <w:szCs w:val="28"/>
        </w:rPr>
        <w:t>，对区域地表水环境影响微弱。</w:t>
      </w:r>
    </w:p>
    <w:p>
      <w:pPr>
        <w:autoSpaceDE w:val="0"/>
        <w:autoSpaceDN w:val="0"/>
        <w:adjustRightInd w:val="0"/>
        <w:spacing w:line="360" w:lineRule="auto"/>
        <w:ind w:firstLine="482" w:firstLineChars="200"/>
        <w:jc w:val="left"/>
        <w:rPr>
          <w:b/>
          <w:color w:val="auto"/>
          <w:sz w:val="24"/>
        </w:rPr>
      </w:pPr>
      <w:r>
        <w:rPr>
          <w:b/>
          <w:color w:val="auto"/>
          <w:sz w:val="24"/>
        </w:rPr>
        <w:t>3</w:t>
      </w:r>
      <w:r>
        <w:rPr>
          <w:rFonts w:hint="eastAsia"/>
          <w:b/>
          <w:color w:val="auto"/>
          <w:sz w:val="24"/>
          <w:lang w:eastAsia="zh-CN"/>
        </w:rPr>
        <w:t>、</w:t>
      </w:r>
      <w:r>
        <w:rPr>
          <w:b/>
          <w:color w:val="auto"/>
          <w:sz w:val="24"/>
        </w:rPr>
        <w:t xml:space="preserve">固体废物的治理措施及影响分析 </w:t>
      </w:r>
    </w:p>
    <w:p>
      <w:pPr>
        <w:pStyle w:val="4"/>
        <w:tabs>
          <w:tab w:val="left" w:pos="7980"/>
        </w:tabs>
        <w:spacing w:line="360" w:lineRule="auto"/>
        <w:ind w:firstLine="508"/>
        <w:jc w:val="both"/>
        <w:rPr>
          <w:color w:val="auto"/>
          <w:kern w:val="0"/>
          <w:sz w:val="24"/>
        </w:rPr>
      </w:pPr>
      <w:r>
        <w:rPr>
          <w:rFonts w:hint="eastAsia"/>
          <w:color w:val="auto"/>
          <w:kern w:val="0"/>
          <w:sz w:val="24"/>
        </w:rPr>
        <w:t>项目运行过程中产生的</w:t>
      </w:r>
      <w:r>
        <w:rPr>
          <w:rFonts w:hint="eastAsia"/>
          <w:snapToGrid w:val="0"/>
          <w:color w:val="auto"/>
          <w:szCs w:val="21"/>
          <w:lang w:val="en-US" w:eastAsia="zh-CN"/>
        </w:rPr>
        <w:t>牛粪经发酵床处理后，外售做有机肥原料</w:t>
      </w:r>
      <w:r>
        <w:rPr>
          <w:rFonts w:hint="eastAsia"/>
          <w:color w:val="auto"/>
          <w:kern w:val="0"/>
          <w:sz w:val="24"/>
        </w:rPr>
        <w:t>；病死</w:t>
      </w:r>
      <w:r>
        <w:rPr>
          <w:rFonts w:hint="eastAsia"/>
          <w:color w:val="auto"/>
          <w:kern w:val="0"/>
          <w:sz w:val="24"/>
          <w:lang w:eastAsia="zh-CN"/>
        </w:rPr>
        <w:t>牛</w:t>
      </w:r>
      <w:r>
        <w:rPr>
          <w:rFonts w:hint="eastAsia"/>
          <w:color w:val="auto"/>
          <w:kern w:val="0"/>
          <w:sz w:val="24"/>
          <w:lang w:val="en-US" w:eastAsia="zh-CN"/>
        </w:rPr>
        <w:t>经高温无害化处理后，外售有机肥厂</w:t>
      </w:r>
      <w:r>
        <w:rPr>
          <w:rFonts w:hint="eastAsia"/>
          <w:color w:val="auto"/>
          <w:kern w:val="0"/>
          <w:sz w:val="24"/>
        </w:rPr>
        <w:t>；</w:t>
      </w:r>
      <w:r>
        <w:rPr>
          <w:color w:val="auto"/>
          <w:kern w:val="0"/>
          <w:sz w:val="24"/>
        </w:rPr>
        <w:t>废包装材料由厂家回收处置</w:t>
      </w:r>
      <w:r>
        <w:rPr>
          <w:rFonts w:hint="eastAsia"/>
          <w:color w:val="auto"/>
          <w:kern w:val="0"/>
          <w:sz w:val="24"/>
        </w:rPr>
        <w:t>；</w:t>
      </w:r>
      <w:r>
        <w:rPr>
          <w:color w:val="auto"/>
          <w:kern w:val="0"/>
          <w:sz w:val="24"/>
        </w:rPr>
        <w:t>畜禽医疗垃圾定期交由有资质的单位进行处理；</w:t>
      </w:r>
      <w:r>
        <w:rPr>
          <w:rFonts w:hint="eastAsia"/>
          <w:color w:val="auto"/>
          <w:kern w:val="0"/>
          <w:sz w:val="24"/>
        </w:rPr>
        <w:t>布袋除尘器收集的粉尘外售有机肥厂</w:t>
      </w:r>
      <w:r>
        <w:rPr>
          <w:rFonts w:hint="eastAsia"/>
          <w:color w:val="auto"/>
          <w:kern w:val="0"/>
          <w:sz w:val="24"/>
          <w:lang w:eastAsia="zh-CN"/>
        </w:rPr>
        <w:t>；</w:t>
      </w:r>
      <w:r>
        <w:rPr>
          <w:color w:val="auto"/>
          <w:kern w:val="0"/>
          <w:sz w:val="24"/>
        </w:rPr>
        <w:t>生活垃圾、</w:t>
      </w:r>
      <w:r>
        <w:rPr>
          <w:rFonts w:hint="eastAsia"/>
          <w:color w:val="auto"/>
          <w:kern w:val="0"/>
          <w:sz w:val="24"/>
          <w:lang w:eastAsia="zh-CN"/>
        </w:rPr>
        <w:t>预处理池</w:t>
      </w:r>
      <w:r>
        <w:rPr>
          <w:color w:val="auto"/>
          <w:kern w:val="0"/>
          <w:sz w:val="24"/>
        </w:rPr>
        <w:t>污泥定期交由环卫部门；隔油池废油定期送三方资质单位处理。</w:t>
      </w:r>
    </w:p>
    <w:p>
      <w:pPr>
        <w:spacing w:line="360" w:lineRule="auto"/>
        <w:ind w:firstLine="480" w:firstLineChars="200"/>
        <w:rPr>
          <w:color w:val="auto"/>
          <w:sz w:val="24"/>
          <w:szCs w:val="28"/>
        </w:rPr>
      </w:pPr>
      <w:r>
        <w:rPr>
          <w:color w:val="auto"/>
          <w:sz w:val="24"/>
          <w:szCs w:val="28"/>
        </w:rPr>
        <w:t>采取上述措施后，项目产生的固体废物均得到妥善处置，不会对周围环境带来二次污染。</w:t>
      </w:r>
    </w:p>
    <w:p>
      <w:pPr>
        <w:autoSpaceDE w:val="0"/>
        <w:autoSpaceDN w:val="0"/>
        <w:adjustRightInd w:val="0"/>
        <w:spacing w:line="360" w:lineRule="auto"/>
        <w:ind w:firstLine="482" w:firstLineChars="200"/>
        <w:jc w:val="left"/>
        <w:rPr>
          <w:b/>
          <w:color w:val="auto"/>
          <w:sz w:val="24"/>
        </w:rPr>
      </w:pPr>
      <w:r>
        <w:rPr>
          <w:b/>
          <w:color w:val="auto"/>
          <w:sz w:val="24"/>
        </w:rPr>
        <w:t>4</w:t>
      </w:r>
      <w:r>
        <w:rPr>
          <w:rFonts w:hint="eastAsia"/>
          <w:b/>
          <w:color w:val="auto"/>
          <w:sz w:val="24"/>
          <w:lang w:eastAsia="zh-CN"/>
        </w:rPr>
        <w:t>、</w:t>
      </w:r>
      <w:r>
        <w:rPr>
          <w:b/>
          <w:color w:val="auto"/>
          <w:sz w:val="24"/>
        </w:rPr>
        <w:t>地下水污染防治措施及影响分析</w:t>
      </w:r>
    </w:p>
    <w:p>
      <w:pPr>
        <w:spacing w:line="360" w:lineRule="auto"/>
        <w:ind w:firstLine="480" w:firstLineChars="200"/>
        <w:rPr>
          <w:rFonts w:hint="eastAsia" w:eastAsia="宋体"/>
          <w:color w:val="auto"/>
          <w:sz w:val="24"/>
          <w:lang w:eastAsia="zh-CN"/>
        </w:rPr>
      </w:pPr>
      <w:r>
        <w:rPr>
          <w:rFonts w:hint="eastAsia"/>
          <w:color w:val="auto"/>
          <w:kern w:val="0"/>
          <w:sz w:val="24"/>
          <w:lang w:val="en-US" w:eastAsia="zh-CN"/>
        </w:rPr>
        <w:t>①医疗废物</w:t>
      </w:r>
      <w:r>
        <w:rPr>
          <w:rFonts w:hint="eastAsia"/>
          <w:color w:val="auto"/>
          <w:kern w:val="0"/>
          <w:sz w:val="24"/>
        </w:rPr>
        <w:t>暂存间、柴油发电机房</w:t>
      </w:r>
      <w:r>
        <w:rPr>
          <w:color w:val="auto"/>
          <w:kern w:val="0"/>
          <w:sz w:val="24"/>
        </w:rPr>
        <w:t>等设置为重点污染防治区，防渗技术要求：等效黏土防渗层 Mb≥6.0m，K≤1×10</w:t>
      </w:r>
      <w:r>
        <w:rPr>
          <w:color w:val="auto"/>
          <w:kern w:val="0"/>
          <w:sz w:val="24"/>
          <w:vertAlign w:val="superscript"/>
        </w:rPr>
        <w:t>-7</w:t>
      </w:r>
      <w:r>
        <w:rPr>
          <w:color w:val="auto"/>
          <w:kern w:val="0"/>
          <w:sz w:val="24"/>
        </w:rPr>
        <w:t>cm/s；</w:t>
      </w:r>
      <w:r>
        <w:rPr>
          <w:rFonts w:hint="eastAsia"/>
          <w:color w:val="auto"/>
          <w:kern w:val="0"/>
          <w:sz w:val="24"/>
          <w:lang w:val="en-US" w:eastAsia="zh-CN"/>
        </w:rPr>
        <w:t>医疗废物</w:t>
      </w:r>
      <w:r>
        <w:rPr>
          <w:rFonts w:hint="eastAsia"/>
          <w:color w:val="auto"/>
          <w:kern w:val="0"/>
          <w:sz w:val="24"/>
        </w:rPr>
        <w:t>暂存间</w:t>
      </w:r>
      <w:r>
        <w:rPr>
          <w:rFonts w:hint="eastAsia"/>
          <w:bCs/>
          <w:color w:val="auto"/>
          <w:sz w:val="24"/>
          <w:szCs w:val="32"/>
        </w:rPr>
        <w:t>满足渗透系数K≤1×10</w:t>
      </w:r>
      <w:r>
        <w:rPr>
          <w:rFonts w:hint="eastAsia"/>
          <w:bCs/>
          <w:color w:val="auto"/>
          <w:sz w:val="24"/>
          <w:szCs w:val="32"/>
          <w:vertAlign w:val="superscript"/>
        </w:rPr>
        <w:t>-10</w:t>
      </w:r>
      <w:r>
        <w:rPr>
          <w:rFonts w:hint="eastAsia"/>
          <w:bCs/>
          <w:color w:val="auto"/>
          <w:sz w:val="24"/>
          <w:szCs w:val="32"/>
        </w:rPr>
        <w:t>cm/s</w:t>
      </w:r>
      <w:r>
        <w:rPr>
          <w:rFonts w:hint="eastAsia"/>
          <w:color w:val="auto"/>
          <w:sz w:val="24"/>
          <w:szCs w:val="24"/>
        </w:rPr>
        <w:t>，</w:t>
      </w:r>
      <w:r>
        <w:rPr>
          <w:rFonts w:hint="default" w:ascii="Times New Roman" w:hAnsi="Times New Roman" w:cs="Times New Roman"/>
          <w:color w:val="auto"/>
          <w:kern w:val="0"/>
          <w:sz w:val="24"/>
          <w:szCs w:val="24"/>
        </w:rPr>
        <w:t>或参照GB18598 执行</w:t>
      </w:r>
      <w:r>
        <w:rPr>
          <w:rFonts w:hint="default" w:ascii="Times New Roman" w:hAnsi="Times New Roman" w:cs="Times New Roman"/>
          <w:color w:val="auto"/>
          <w:sz w:val="21"/>
          <w:szCs w:val="21"/>
        </w:rPr>
        <w:t>。</w:t>
      </w:r>
      <w:r>
        <w:rPr>
          <w:color w:val="auto"/>
          <w:kern w:val="0"/>
          <w:sz w:val="24"/>
        </w:rPr>
        <w:t>②</w:t>
      </w:r>
      <w:r>
        <w:rPr>
          <w:rFonts w:hint="eastAsia"/>
          <w:color w:val="auto"/>
          <w:kern w:val="0"/>
          <w:sz w:val="24"/>
          <w:lang w:val="en-US" w:eastAsia="zh-CN"/>
        </w:rPr>
        <w:t>养殖牛舍、干草棚、种牛公舍、TMB管理中心、发酵床</w:t>
      </w:r>
      <w:r>
        <w:rPr>
          <w:color w:val="auto"/>
          <w:kern w:val="0"/>
          <w:sz w:val="24"/>
        </w:rPr>
        <w:t>等设置为一般污染防治区，防渗技术要求：等效黏土防渗层Mb≥1.5m，K≤1×10</w:t>
      </w:r>
      <w:r>
        <w:rPr>
          <w:color w:val="auto"/>
          <w:kern w:val="0"/>
          <w:sz w:val="24"/>
          <w:vertAlign w:val="superscript"/>
        </w:rPr>
        <w:t>-7</w:t>
      </w:r>
      <w:r>
        <w:rPr>
          <w:color w:val="auto"/>
          <w:kern w:val="0"/>
          <w:sz w:val="24"/>
        </w:rPr>
        <w:t>cm/s；或参照 GB16889 执行。本项目采用P8级混凝土铺设，混凝土厚度10～15cm。③办公生活用房及道路等属简单污染防治区，可采取非铺砌地坪或普通混凝土地坪，不设置专门的防渗层，场内主要通道全部硬化处理；防渗技术要求：一般地面硬化</w:t>
      </w:r>
      <w:r>
        <w:rPr>
          <w:rFonts w:hint="eastAsia"/>
          <w:color w:val="auto"/>
          <w:sz w:val="24"/>
          <w:lang w:eastAsia="zh-CN"/>
        </w:rPr>
        <w:t>。</w:t>
      </w:r>
    </w:p>
    <w:p>
      <w:pPr>
        <w:spacing w:line="360" w:lineRule="auto"/>
        <w:ind w:firstLine="480" w:firstLineChars="200"/>
        <w:rPr>
          <w:color w:val="auto"/>
          <w:sz w:val="24"/>
        </w:rPr>
      </w:pPr>
      <w:r>
        <w:rPr>
          <w:color w:val="auto"/>
          <w:sz w:val="24"/>
        </w:rPr>
        <w:t>在认真落实本报告提出的各项地下水污染防治措施，项目建设不会对当地地下水环境产生影响，从地下水环境保护角度而言，项目建设可行。</w:t>
      </w:r>
    </w:p>
    <w:p>
      <w:pPr>
        <w:autoSpaceDE w:val="0"/>
        <w:autoSpaceDN w:val="0"/>
        <w:adjustRightInd w:val="0"/>
        <w:spacing w:line="360" w:lineRule="auto"/>
        <w:ind w:firstLine="482" w:firstLineChars="200"/>
        <w:jc w:val="left"/>
        <w:rPr>
          <w:b/>
          <w:color w:val="auto"/>
          <w:sz w:val="24"/>
        </w:rPr>
      </w:pPr>
      <w:r>
        <w:rPr>
          <w:b/>
          <w:color w:val="auto"/>
          <w:sz w:val="24"/>
        </w:rPr>
        <w:t>5</w:t>
      </w:r>
      <w:r>
        <w:rPr>
          <w:rFonts w:hint="eastAsia"/>
          <w:b/>
          <w:color w:val="auto"/>
          <w:sz w:val="24"/>
          <w:lang w:eastAsia="zh-CN"/>
        </w:rPr>
        <w:t>、</w:t>
      </w:r>
      <w:r>
        <w:rPr>
          <w:b/>
          <w:color w:val="auto"/>
          <w:sz w:val="24"/>
        </w:rPr>
        <w:t xml:space="preserve">噪声环境影响分析 </w:t>
      </w:r>
    </w:p>
    <w:p>
      <w:pPr>
        <w:spacing w:line="360" w:lineRule="auto"/>
        <w:ind w:firstLine="480" w:firstLineChars="200"/>
        <w:rPr>
          <w:color w:val="auto"/>
          <w:sz w:val="24"/>
        </w:rPr>
      </w:pPr>
      <w:r>
        <w:rPr>
          <w:color w:val="auto"/>
          <w:sz w:val="24"/>
        </w:rPr>
        <w:t>项目建成后，通过合理布局噪声设备，采取有效隔声降噪措施，厂界声环境能够达到《工业企业厂界环境噪声排放标准》（GB12348-2008）2类标准。经预测，本项目对区域声环境影响不大。</w:t>
      </w:r>
    </w:p>
    <w:p>
      <w:pPr>
        <w:autoSpaceDE w:val="0"/>
        <w:autoSpaceDN w:val="0"/>
        <w:adjustRightInd w:val="0"/>
        <w:spacing w:line="360" w:lineRule="auto"/>
        <w:ind w:firstLine="482" w:firstLineChars="200"/>
        <w:jc w:val="left"/>
        <w:rPr>
          <w:b/>
          <w:color w:val="auto"/>
          <w:sz w:val="24"/>
        </w:rPr>
      </w:pPr>
      <w:r>
        <w:rPr>
          <w:rFonts w:hint="eastAsia"/>
          <w:b/>
          <w:color w:val="auto"/>
          <w:sz w:val="24"/>
        </w:rPr>
        <w:t>6</w:t>
      </w:r>
      <w:r>
        <w:rPr>
          <w:rFonts w:hint="eastAsia"/>
          <w:b/>
          <w:color w:val="auto"/>
          <w:sz w:val="24"/>
          <w:lang w:eastAsia="zh-CN"/>
        </w:rPr>
        <w:t>、</w:t>
      </w:r>
      <w:r>
        <w:rPr>
          <w:rFonts w:hint="eastAsia"/>
          <w:b/>
          <w:color w:val="auto"/>
          <w:sz w:val="24"/>
        </w:rPr>
        <w:t>土壤</w:t>
      </w:r>
      <w:r>
        <w:rPr>
          <w:b/>
          <w:color w:val="auto"/>
          <w:sz w:val="24"/>
        </w:rPr>
        <w:t xml:space="preserve">环境影响分析 </w:t>
      </w:r>
    </w:p>
    <w:p>
      <w:pPr>
        <w:spacing w:line="360" w:lineRule="auto"/>
        <w:ind w:firstLine="480" w:firstLineChars="200"/>
        <w:rPr>
          <w:color w:val="auto"/>
          <w:sz w:val="24"/>
        </w:rPr>
      </w:pPr>
      <w:r>
        <w:rPr>
          <w:color w:val="auto"/>
          <w:sz w:val="24"/>
        </w:rPr>
        <w:t>项目建成后，</w:t>
      </w:r>
      <w:r>
        <w:rPr>
          <w:color w:val="auto"/>
          <w:spacing w:val="4"/>
          <w:sz w:val="24"/>
        </w:rPr>
        <w:t>按重点污染防治区、一般污染防治区、简单防渗区分别采取不同等级的防渗措施，同时定期对防渗层进行检查，避免防渗层破损导致废水进入土壤，对土壤产生影响</w:t>
      </w:r>
      <w:r>
        <w:rPr>
          <w:rFonts w:hint="eastAsia"/>
          <w:color w:val="auto"/>
          <w:spacing w:val="4"/>
          <w:sz w:val="24"/>
        </w:rPr>
        <w:t>不大</w:t>
      </w:r>
      <w:r>
        <w:rPr>
          <w:color w:val="auto"/>
          <w:spacing w:val="4"/>
          <w:sz w:val="24"/>
        </w:rPr>
        <w:t>。</w:t>
      </w:r>
    </w:p>
    <w:p>
      <w:pPr>
        <w:autoSpaceDE w:val="0"/>
        <w:autoSpaceDN w:val="0"/>
        <w:adjustRightInd w:val="0"/>
        <w:spacing w:line="360" w:lineRule="auto"/>
        <w:ind w:firstLine="482" w:firstLineChars="200"/>
        <w:jc w:val="left"/>
        <w:rPr>
          <w:b/>
          <w:color w:val="auto"/>
          <w:sz w:val="24"/>
        </w:rPr>
      </w:pPr>
      <w:r>
        <w:rPr>
          <w:rFonts w:hint="eastAsia"/>
          <w:b/>
          <w:color w:val="auto"/>
          <w:sz w:val="24"/>
        </w:rPr>
        <w:t>7</w:t>
      </w:r>
      <w:r>
        <w:rPr>
          <w:rFonts w:hint="eastAsia"/>
          <w:b/>
          <w:color w:val="auto"/>
          <w:sz w:val="24"/>
          <w:lang w:eastAsia="zh-CN"/>
        </w:rPr>
        <w:t>、</w:t>
      </w:r>
      <w:r>
        <w:rPr>
          <w:b/>
          <w:color w:val="auto"/>
          <w:sz w:val="24"/>
        </w:rPr>
        <w:t xml:space="preserve">环境风险影响分析 </w:t>
      </w:r>
    </w:p>
    <w:p>
      <w:pPr>
        <w:spacing w:line="360" w:lineRule="auto"/>
        <w:ind w:firstLine="480" w:firstLineChars="200"/>
        <w:rPr>
          <w:color w:val="auto"/>
          <w:sz w:val="24"/>
        </w:rPr>
      </w:pPr>
      <w:r>
        <w:rPr>
          <w:color w:val="auto"/>
          <w:sz w:val="24"/>
        </w:rPr>
        <w:t>项目针对可能发生的各类风险事故均采取了应对措施，可有效降低风险事故发生概率及对环境的影响。因此，本评价认为企业只要严格落实本报告提出的各项风险风范措施，建立风险应急预案，项目的风险处于环境可接受的水平，项目从环境风险角度可行</w:t>
      </w:r>
      <w:r>
        <w:rPr>
          <w:rFonts w:hint="eastAsia"/>
          <w:color w:val="auto"/>
          <w:sz w:val="24"/>
        </w:rPr>
        <w:t>。</w:t>
      </w:r>
    </w:p>
    <w:p>
      <w:pPr>
        <w:autoSpaceDE w:val="0"/>
        <w:autoSpaceDN w:val="0"/>
        <w:adjustRightInd w:val="0"/>
        <w:spacing w:line="360" w:lineRule="auto"/>
        <w:ind w:firstLine="482" w:firstLineChars="200"/>
        <w:jc w:val="left"/>
        <w:rPr>
          <w:b/>
          <w:color w:val="auto"/>
          <w:sz w:val="24"/>
        </w:rPr>
      </w:pPr>
      <w:r>
        <w:rPr>
          <w:rFonts w:hint="eastAsia"/>
          <w:b/>
          <w:color w:val="auto"/>
          <w:sz w:val="24"/>
        </w:rPr>
        <w:t>8</w:t>
      </w:r>
      <w:r>
        <w:rPr>
          <w:rFonts w:hint="eastAsia"/>
          <w:b/>
          <w:color w:val="auto"/>
          <w:sz w:val="24"/>
          <w:lang w:eastAsia="zh-CN"/>
        </w:rPr>
        <w:t>、</w:t>
      </w:r>
      <w:r>
        <w:rPr>
          <w:rFonts w:hint="eastAsia"/>
          <w:b/>
          <w:color w:val="auto"/>
          <w:sz w:val="24"/>
        </w:rPr>
        <w:t>生态</w:t>
      </w:r>
      <w:r>
        <w:rPr>
          <w:b/>
          <w:color w:val="auto"/>
          <w:sz w:val="24"/>
        </w:rPr>
        <w:t xml:space="preserve">环境风险影响分析 </w:t>
      </w:r>
    </w:p>
    <w:p>
      <w:pPr>
        <w:autoSpaceDE w:val="0"/>
        <w:autoSpaceDN w:val="0"/>
        <w:adjustRightInd w:val="0"/>
        <w:spacing w:line="360" w:lineRule="auto"/>
        <w:ind w:firstLine="480" w:firstLineChars="200"/>
        <w:jc w:val="left"/>
        <w:rPr>
          <w:color w:val="auto"/>
          <w:sz w:val="24"/>
        </w:rPr>
      </w:pPr>
      <w:r>
        <w:rPr>
          <w:color w:val="auto"/>
          <w:sz w:val="24"/>
        </w:rPr>
        <w:t>项目拟建地周围无生态敏感保护目标，植被以林地、农田为主。项目建设对区域生物群落的物种多样性及生物量减少等方面影响不明显。</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25" w:name="_Toc319381492"/>
      <w:bookmarkStart w:id="26" w:name="_Toc321814243"/>
      <w:bookmarkStart w:id="27" w:name="_Toc1461"/>
      <w:bookmarkStart w:id="28" w:name="_Toc28482"/>
      <w:bookmarkStart w:id="29" w:name="_Toc427698388"/>
      <w:bookmarkStart w:id="30" w:name="_Toc355909731"/>
      <w:bookmarkStart w:id="31" w:name="_Toc435993002"/>
      <w:r>
        <w:rPr>
          <w:rFonts w:ascii="Times New Roman" w:hAnsi="Times New Roman" w:cs="Times New Roman" w:eastAsiaTheme="majorEastAsia"/>
          <w:bCs/>
          <w:color w:val="auto"/>
          <w:kern w:val="2"/>
          <w:szCs w:val="32"/>
          <w:lang w:val="en-US" w:eastAsia="zh-CN"/>
        </w:rPr>
        <w:t>环境影响报告书的主要结论</w:t>
      </w:r>
      <w:bookmarkEnd w:id="25"/>
      <w:bookmarkEnd w:id="26"/>
      <w:bookmarkEnd w:id="27"/>
      <w:bookmarkEnd w:id="28"/>
      <w:bookmarkEnd w:id="29"/>
      <w:bookmarkEnd w:id="30"/>
      <w:bookmarkEnd w:id="31"/>
    </w:p>
    <w:p>
      <w:pPr>
        <w:autoSpaceDE w:val="0"/>
        <w:autoSpaceDN w:val="0"/>
        <w:adjustRightInd w:val="0"/>
        <w:spacing w:line="360" w:lineRule="auto"/>
        <w:ind w:firstLine="480" w:firstLineChars="200"/>
        <w:jc w:val="left"/>
        <w:rPr>
          <w:color w:val="auto"/>
          <w:sz w:val="24"/>
        </w:rPr>
      </w:pPr>
      <w:r>
        <w:rPr>
          <w:rFonts w:hint="eastAsia"/>
          <w:color w:val="auto"/>
          <w:sz w:val="24"/>
          <w:lang w:val="en-US" w:eastAsia="zh-CN"/>
        </w:rPr>
        <w:t>巴中乾兴产业园区建设投资有限公司恩阳区群乐镇坳盘村巴山肉牛育肥场项目</w:t>
      </w:r>
      <w:r>
        <w:rPr>
          <w:color w:val="auto"/>
          <w:sz w:val="24"/>
        </w:rPr>
        <w:t>符合国家现行产业政策，项目拟采用的生产工艺及设备先进、成熟、可靠，符合清洁生产要求；项目采取的污染治理措施成熟可靠且技术经济可行，排放污染物能够达到国家规定的标准要求，对评价区域环境质量的影响不明显。项目环境风险影响处于可接受水平，风险防范措施及应急预案切实可行。只要严格落实环境影响报告书提出的环保对策及措施，严格执行</w:t>
      </w:r>
      <w:r>
        <w:rPr>
          <w:rFonts w:hint="eastAsia"/>
          <w:color w:val="auto"/>
          <w:sz w:val="24"/>
          <w:lang w:eastAsia="zh-CN"/>
        </w:rPr>
        <w:t>“</w:t>
      </w:r>
      <w:r>
        <w:rPr>
          <w:color w:val="auto"/>
          <w:sz w:val="24"/>
        </w:rPr>
        <w:t>三同时</w:t>
      </w:r>
      <w:r>
        <w:rPr>
          <w:rFonts w:hint="eastAsia"/>
          <w:color w:val="auto"/>
          <w:sz w:val="24"/>
          <w:lang w:eastAsia="zh-CN"/>
        </w:rPr>
        <w:t>”</w:t>
      </w:r>
      <w:r>
        <w:rPr>
          <w:color w:val="auto"/>
          <w:sz w:val="24"/>
        </w:rPr>
        <w:t>制度，确保项目污染物达标排放，认真实环境风险的防范措施及应急预案，则本项目从环保角度可行。</w:t>
      </w:r>
    </w:p>
    <w:p>
      <w:pPr>
        <w:pStyle w:val="5"/>
        <w:rPr>
          <w:color w:val="auto"/>
        </w:rPr>
        <w:sectPr>
          <w:headerReference r:id="rId8" w:type="default"/>
          <w:footerReference r:id="rId9" w:type="default"/>
          <w:pgSz w:w="11907" w:h="16840"/>
          <w:pgMar w:top="1588" w:right="1531" w:bottom="1304" w:left="1644" w:header="1134" w:footer="1021" w:gutter="0"/>
          <w:pgBorders>
            <w:top w:val="none" w:sz="0" w:space="0"/>
            <w:left w:val="none" w:sz="0" w:space="0"/>
            <w:bottom w:val="none" w:sz="0" w:space="0"/>
            <w:right w:val="none" w:sz="0" w:space="0"/>
          </w:pgBorders>
          <w:pgNumType w:fmt="decimal" w:start="1"/>
          <w:cols w:space="720" w:num="1"/>
        </w:sectPr>
      </w:pPr>
      <w:bookmarkStart w:id="32" w:name="_Toc7729"/>
      <w:bookmarkStart w:id="33" w:name="_Toc180817009"/>
      <w:bookmarkStart w:id="34" w:name="_Toc180824014"/>
    </w:p>
    <w:p>
      <w:pPr>
        <w:pStyle w:val="5"/>
        <w:rPr>
          <w:rFonts w:hint="eastAsia" w:asciiTheme="majorEastAsia" w:hAnsiTheme="majorEastAsia" w:eastAsiaTheme="majorEastAsia" w:cstheme="majorEastAsia"/>
          <w:b/>
          <w:bCs/>
          <w:color w:val="auto"/>
          <w:sz w:val="32"/>
          <w:szCs w:val="32"/>
        </w:rPr>
      </w:pPr>
      <w:bookmarkStart w:id="35" w:name="_Toc1115"/>
      <w:bookmarkStart w:id="36" w:name="_Toc28063"/>
      <w:r>
        <w:rPr>
          <w:rFonts w:hint="eastAsia" w:asciiTheme="majorEastAsia" w:hAnsiTheme="majorEastAsia" w:eastAsiaTheme="majorEastAsia" w:cstheme="majorEastAsia"/>
          <w:b/>
          <w:bCs/>
          <w:color w:val="auto"/>
          <w:sz w:val="32"/>
          <w:szCs w:val="32"/>
        </w:rPr>
        <w:t>总则</w:t>
      </w:r>
      <w:bookmarkEnd w:id="1"/>
      <w:bookmarkEnd w:id="2"/>
      <w:bookmarkEnd w:id="3"/>
      <w:bookmarkEnd w:id="4"/>
      <w:bookmarkEnd w:id="5"/>
      <w:bookmarkEnd w:id="6"/>
      <w:bookmarkEnd w:id="7"/>
      <w:bookmarkEnd w:id="8"/>
      <w:bookmarkEnd w:id="9"/>
      <w:bookmarkEnd w:id="10"/>
      <w:bookmarkEnd w:id="32"/>
      <w:bookmarkEnd w:id="33"/>
      <w:bookmarkEnd w:id="34"/>
      <w:bookmarkEnd w:id="35"/>
      <w:bookmarkEnd w:id="36"/>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37" w:name="_Toc14274"/>
      <w:bookmarkStart w:id="38" w:name="_Toc12875379"/>
      <w:bookmarkStart w:id="39" w:name="_Toc128717539"/>
      <w:bookmarkStart w:id="40" w:name="_Toc174889477"/>
      <w:bookmarkStart w:id="41" w:name="_Toc26814"/>
      <w:bookmarkStart w:id="42" w:name="_Toc128717174"/>
      <w:bookmarkStart w:id="43" w:name="_Toc26524"/>
      <w:bookmarkStart w:id="44" w:name="_Toc128717130"/>
      <w:bookmarkStart w:id="45" w:name="_Toc521638322"/>
      <w:bookmarkStart w:id="46" w:name="_Toc265160049"/>
      <w:bookmarkStart w:id="47" w:name="_Toc521119682"/>
      <w:bookmarkStart w:id="48" w:name="_Toc456770657"/>
      <w:bookmarkStart w:id="49" w:name="_Toc456751386"/>
      <w:bookmarkStart w:id="50" w:name="_Toc128717540"/>
      <w:bookmarkStart w:id="51" w:name="_Toc174889475"/>
      <w:bookmarkStart w:id="52" w:name="_Toc128717131"/>
      <w:bookmarkStart w:id="53" w:name="_Toc265160047"/>
      <w:bookmarkStart w:id="54" w:name="_Toc128717175"/>
      <w:r>
        <w:rPr>
          <w:rFonts w:ascii="Times New Roman" w:hAnsi="Times New Roman" w:cs="Times New Roman" w:eastAsiaTheme="majorEastAsia"/>
          <w:bCs/>
          <w:color w:val="auto"/>
          <w:kern w:val="2"/>
          <w:szCs w:val="32"/>
          <w:lang w:val="en-US" w:eastAsia="zh-CN"/>
        </w:rPr>
        <w:t>编制依据</w:t>
      </w:r>
      <w:bookmarkEnd w:id="37"/>
      <w:bookmarkEnd w:id="38"/>
      <w:bookmarkEnd w:id="39"/>
      <w:bookmarkEnd w:id="40"/>
      <w:bookmarkEnd w:id="41"/>
      <w:bookmarkEnd w:id="42"/>
      <w:bookmarkEnd w:id="43"/>
      <w:bookmarkEnd w:id="44"/>
      <w:bookmarkEnd w:id="45"/>
      <w:bookmarkEnd w:id="46"/>
      <w:bookmarkEnd w:id="47"/>
    </w:p>
    <w:p>
      <w:pPr>
        <w:pStyle w:val="180"/>
        <w:rPr>
          <w:rFonts w:hint="default" w:ascii="Times New Roman" w:hAnsi="Times New Roman" w:cs="Times New Roman" w:eastAsiaTheme="majorEastAsia"/>
          <w:b/>
          <w:bCs w:val="0"/>
          <w:color w:val="auto"/>
          <w:sz w:val="24"/>
          <w:szCs w:val="24"/>
        </w:rPr>
      </w:pPr>
      <w:bookmarkStart w:id="55" w:name="_Toc28846"/>
      <w:bookmarkStart w:id="56" w:name="_Toc369334580"/>
      <w:bookmarkStart w:id="57" w:name="_Toc369197742"/>
      <w:bookmarkStart w:id="58" w:name="_Toc369359626"/>
      <w:bookmarkStart w:id="59" w:name="_Toc369191577"/>
      <w:bookmarkStart w:id="60" w:name="_Toc369334760"/>
      <w:r>
        <w:rPr>
          <w:rFonts w:hint="default" w:ascii="Times New Roman" w:hAnsi="Times New Roman" w:cs="Times New Roman" w:eastAsiaTheme="majorEastAsia"/>
          <w:b/>
          <w:bCs w:val="0"/>
          <w:color w:val="auto"/>
          <w:sz w:val="24"/>
          <w:szCs w:val="24"/>
        </w:rPr>
        <w:t>法律</w:t>
      </w:r>
      <w:bookmarkEnd w:id="55"/>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（1）《中华人民共和国环境保护法》，2014年4月24日修订，2015年1月1日施行；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（2）《中华人民共和国环境影响评价法》，2018年12月29日修正；</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（3）《中华人民共和国大气污染防治法》，2018年10月26日修订；</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（4）《中华人民共和国水法》，2016年7月2日修订，2016年9月1日施行；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（5）《中华人民共和国水污染防治法》，2017年6月27日第二次修正，2018年1月1日起施行；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（6）《中华人民共和国环境噪声污染防治法》，20</w:t>
      </w:r>
      <w:r>
        <w:rPr>
          <w:rFonts w:hint="eastAsia" w:cs="Times New Roman"/>
          <w:color w:val="auto"/>
          <w:sz w:val="24"/>
          <w:lang w:val="en-US" w:eastAsia="zh-CN"/>
        </w:rPr>
        <w:t>22</w:t>
      </w:r>
      <w:r>
        <w:rPr>
          <w:rFonts w:hint="default" w:ascii="Times New Roman" w:hAnsi="Times New Roman" w:cs="Times New Roman"/>
          <w:color w:val="auto"/>
          <w:sz w:val="24"/>
        </w:rPr>
        <w:t>年</w:t>
      </w:r>
      <w:r>
        <w:rPr>
          <w:rFonts w:hint="eastAsia" w:cs="Times New Roman"/>
          <w:color w:val="auto"/>
          <w:sz w:val="24"/>
          <w:lang w:val="en-US" w:eastAsia="zh-CN"/>
        </w:rPr>
        <w:t>6</w:t>
      </w:r>
      <w:r>
        <w:rPr>
          <w:rFonts w:hint="default" w:ascii="Times New Roman" w:hAnsi="Times New Roman" w:cs="Times New Roman"/>
          <w:color w:val="auto"/>
          <w:sz w:val="24"/>
        </w:rPr>
        <w:t>月</w:t>
      </w:r>
      <w:r>
        <w:rPr>
          <w:rFonts w:hint="eastAsia" w:cs="Times New Roman"/>
          <w:color w:val="auto"/>
          <w:sz w:val="24"/>
          <w:lang w:val="en-US" w:eastAsia="zh-CN"/>
        </w:rPr>
        <w:t>5</w:t>
      </w:r>
      <w:r>
        <w:rPr>
          <w:rFonts w:hint="default" w:ascii="Times New Roman" w:hAnsi="Times New Roman" w:cs="Times New Roman"/>
          <w:color w:val="auto"/>
          <w:sz w:val="24"/>
        </w:rPr>
        <w:t>日起施行；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（7）《中华人民共和国固体废物污染环境防治法》，2020年9月1日起施行；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（8）《中华人民共和国土壤污染环境防治法》，2019年1月1日施行；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（9）《中华人民共和国水土保持法》，2011年3月1日；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（10）《中华人民共和国野生动物保护法》，2018年10月26日修订；</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（11）《中华人民共和国清洁生产促进法》，2016年5月16日修订，2016年7月1日施行；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（12）《中华人民共和国土地管理</w:t>
      </w:r>
      <w:r>
        <w:rPr>
          <w:rFonts w:hint="default" w:ascii="Times New Roman" w:hAnsi="Times New Roman" w:eastAsia="宋体" w:cs="Times New Roman"/>
          <w:color w:val="auto"/>
          <w:sz w:val="24"/>
        </w:rPr>
        <w:t>法》，2019年8月26日</w:t>
      </w:r>
      <w:r>
        <w:rPr>
          <w:rFonts w:hint="default" w:ascii="Times New Roman" w:hAnsi="Times New Roman" w:eastAsia="宋体" w:cs="Times New Roman"/>
          <w:color w:val="auto"/>
          <w:sz w:val="24"/>
          <w:lang w:val="en-US" w:eastAsia="zh-CN"/>
        </w:rPr>
        <w:t>修订</w:t>
      </w:r>
      <w:r>
        <w:rPr>
          <w:rFonts w:hint="default" w:ascii="Times New Roman" w:hAnsi="Times New Roman" w:eastAsia="宋体" w:cs="Times New Roman"/>
          <w:color w:val="auto"/>
          <w:sz w:val="24"/>
        </w:rPr>
        <w:t>；</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（13）《中华人民共和国节约能源法》，2018年10月26日修订；</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（14）《中华人民共和国循环经济促进法》，2018年10月26日修订；</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（15）《中华人民共和国畜牧法》，2015年4月24修正。</w:t>
      </w:r>
    </w:p>
    <w:p>
      <w:pPr>
        <w:pStyle w:val="180"/>
        <w:rPr>
          <w:rFonts w:hint="default" w:ascii="Times New Roman" w:hAnsi="Times New Roman" w:cs="Times New Roman" w:eastAsiaTheme="majorEastAsia"/>
          <w:b/>
          <w:bCs w:val="0"/>
          <w:color w:val="auto"/>
          <w:sz w:val="24"/>
          <w:szCs w:val="24"/>
        </w:rPr>
      </w:pPr>
      <w:bookmarkStart w:id="61" w:name="_Toc3364"/>
      <w:r>
        <w:rPr>
          <w:rFonts w:hint="default" w:ascii="Times New Roman" w:hAnsi="Times New Roman" w:cs="Times New Roman" w:eastAsiaTheme="majorEastAsia"/>
          <w:b/>
          <w:bCs w:val="0"/>
          <w:color w:val="auto"/>
          <w:sz w:val="24"/>
          <w:szCs w:val="24"/>
        </w:rPr>
        <w:t>行政法规和部门规章</w:t>
      </w:r>
      <w:bookmarkEnd w:id="61"/>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（1）《国务院关于印发打赢蓝天保卫战三年行动计划的通知》，国发〔2018〕22号；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（2）《国务院关于印发水污染防治行动计划的通知》，国发〔2015〕17号；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（3）《国务院关于印发土壤污染防治行动计划的通知》，国发〔2016〕31号；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（4）《国务院关于修改&lt;建设项目环境保护管理条例&gt;的决定》，国务院令第682号，2017年7月16日，2018年4月28日经生态环境部修改；</w:t>
      </w:r>
    </w:p>
    <w:p>
      <w:pPr>
        <w:spacing w:line="360" w:lineRule="auto"/>
        <w:ind w:firstLine="480"/>
        <w:rPr>
          <w:rFonts w:hint="default" w:ascii="Times New Roman" w:hAnsi="Times New Roman" w:cs="Times New Roman"/>
          <w:color w:val="auto"/>
          <w:sz w:val="24"/>
          <w:lang w:eastAsia="zh-CN"/>
        </w:rPr>
      </w:pPr>
      <w:r>
        <w:rPr>
          <w:rFonts w:hint="default" w:ascii="Times New Roman" w:hAnsi="Times New Roman" w:cs="Times New Roman"/>
          <w:color w:val="auto"/>
          <w:sz w:val="24"/>
        </w:rPr>
        <w:t>（5）《全国生态环境保护纲要》，国发[2000]38号，2000年11月26日</w:t>
      </w:r>
      <w:r>
        <w:rPr>
          <w:rFonts w:hint="default" w:ascii="Times New Roman" w:hAnsi="Times New Roman" w:cs="Times New Roman"/>
          <w:color w:val="auto"/>
          <w:sz w:val="24"/>
          <w:lang w:eastAsia="zh-CN"/>
        </w:rPr>
        <w:t>。</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（6）《国家重点生态功能保护区规划纲要》，环发[2007]165 号，2007年 10 月 30 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（7）《全国生态脆弱区保护规划纲要》，环发[2008]92 号，2008 年 9 月27 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（8）《产业结构调整指导目录（2019年本）》国家发展和改革委员会第</w:t>
      </w:r>
      <w:r>
        <w:rPr>
          <w:rFonts w:hint="eastAsia" w:cs="Times New Roman"/>
          <w:color w:val="auto"/>
          <w:sz w:val="24"/>
          <w:lang w:val="en-US" w:eastAsia="zh-CN"/>
        </w:rPr>
        <w:t>49</w:t>
      </w:r>
      <w:r>
        <w:rPr>
          <w:rFonts w:hint="default" w:ascii="Times New Roman" w:hAnsi="Times New Roman" w:cs="Times New Roman"/>
          <w:color w:val="auto"/>
          <w:sz w:val="24"/>
        </w:rPr>
        <w:t>号令，202</w:t>
      </w:r>
      <w:r>
        <w:rPr>
          <w:rFonts w:hint="eastAsia" w:cs="Times New Roman"/>
          <w:color w:val="auto"/>
          <w:sz w:val="24"/>
          <w:lang w:val="en-US" w:eastAsia="zh-CN"/>
        </w:rPr>
        <w:t>1</w:t>
      </w:r>
      <w:r>
        <w:rPr>
          <w:rFonts w:hint="default" w:ascii="Times New Roman" w:hAnsi="Times New Roman" w:cs="Times New Roman"/>
          <w:color w:val="auto"/>
          <w:sz w:val="24"/>
        </w:rPr>
        <w:t>年1</w:t>
      </w:r>
      <w:r>
        <w:rPr>
          <w:rFonts w:hint="eastAsia" w:cs="Times New Roman"/>
          <w:color w:val="auto"/>
          <w:sz w:val="24"/>
          <w:lang w:val="en-US" w:eastAsia="zh-CN"/>
        </w:rPr>
        <w:t>2</w:t>
      </w:r>
      <w:r>
        <w:rPr>
          <w:rFonts w:hint="default" w:ascii="Times New Roman" w:hAnsi="Times New Roman" w:cs="Times New Roman"/>
          <w:color w:val="auto"/>
          <w:sz w:val="24"/>
        </w:rPr>
        <w:t>月</w:t>
      </w:r>
      <w:r>
        <w:rPr>
          <w:rFonts w:hint="eastAsia" w:cs="Times New Roman"/>
          <w:color w:val="auto"/>
          <w:sz w:val="24"/>
          <w:lang w:val="en-US" w:eastAsia="zh-CN"/>
        </w:rPr>
        <w:t>30</w:t>
      </w:r>
      <w:r>
        <w:rPr>
          <w:rFonts w:hint="default" w:ascii="Times New Roman" w:hAnsi="Times New Roman" w:cs="Times New Roman"/>
          <w:color w:val="auto"/>
          <w:sz w:val="24"/>
        </w:rPr>
        <w:t>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（9）《国务院关于落实科学发展观加强环境保护的决定》，国发[2005]39号，2005年12月3日；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（10）《环境影响评价公众参与办法》，部令第4号，2018年4月16日通过，2019年1月1日施行；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（11）《关于加强西部地区环境影响评价工作的通知》，环境保护部，环发[2011]150号，2011年12月29日；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（12）《建设项目环境影响评价分类管理名录》</w:t>
      </w:r>
      <w:r>
        <w:rPr>
          <w:rFonts w:hint="eastAsia" w:cs="Times New Roman"/>
          <w:color w:val="auto"/>
          <w:sz w:val="24"/>
          <w:lang w:eastAsia="zh-CN"/>
        </w:rPr>
        <w:t>，</w:t>
      </w:r>
      <w:r>
        <w:rPr>
          <w:rFonts w:hint="eastAsia"/>
          <w:color w:val="auto"/>
          <w:sz w:val="24"/>
        </w:rPr>
        <w:t>生态环境部</w:t>
      </w:r>
      <w:r>
        <w:rPr>
          <w:rFonts w:hint="eastAsia"/>
          <w:color w:val="auto"/>
          <w:sz w:val="24"/>
          <w:lang w:val="en-US" w:eastAsia="zh-CN"/>
        </w:rPr>
        <w:t>部</w:t>
      </w:r>
      <w:r>
        <w:rPr>
          <w:rFonts w:hint="eastAsia"/>
          <w:color w:val="auto"/>
          <w:sz w:val="24"/>
        </w:rPr>
        <w:t>令</w:t>
      </w:r>
      <w:r>
        <w:rPr>
          <w:rFonts w:hint="eastAsia"/>
          <w:color w:val="auto"/>
          <w:sz w:val="24"/>
          <w:lang w:val="en-US" w:eastAsia="zh-CN"/>
        </w:rPr>
        <w:t xml:space="preserve"> 第16</w:t>
      </w:r>
      <w:r>
        <w:rPr>
          <w:rFonts w:hint="eastAsia"/>
          <w:color w:val="auto"/>
          <w:sz w:val="24"/>
        </w:rPr>
        <w:t>号修改，20</w:t>
      </w:r>
      <w:r>
        <w:rPr>
          <w:rFonts w:hint="eastAsia"/>
          <w:color w:val="auto"/>
          <w:sz w:val="24"/>
          <w:lang w:val="en-US" w:eastAsia="zh-CN"/>
        </w:rPr>
        <w:t>21</w:t>
      </w:r>
      <w:r>
        <w:rPr>
          <w:rFonts w:hint="eastAsia"/>
          <w:color w:val="auto"/>
          <w:sz w:val="24"/>
        </w:rPr>
        <w:t>年</w:t>
      </w:r>
      <w:r>
        <w:rPr>
          <w:rFonts w:hint="eastAsia"/>
          <w:color w:val="auto"/>
          <w:sz w:val="24"/>
          <w:lang w:val="en-US" w:eastAsia="zh-CN"/>
        </w:rPr>
        <w:t>1</w:t>
      </w:r>
      <w:r>
        <w:rPr>
          <w:rFonts w:hint="eastAsia"/>
          <w:color w:val="auto"/>
          <w:sz w:val="24"/>
        </w:rPr>
        <w:t>月</w:t>
      </w:r>
      <w:r>
        <w:rPr>
          <w:rFonts w:hint="eastAsia"/>
          <w:color w:val="auto"/>
          <w:sz w:val="24"/>
          <w:lang w:val="en-US" w:eastAsia="zh-CN"/>
        </w:rPr>
        <w:t>1</w:t>
      </w:r>
      <w:r>
        <w:rPr>
          <w:rFonts w:hint="eastAsia"/>
          <w:color w:val="auto"/>
          <w:sz w:val="24"/>
        </w:rPr>
        <w:t>日起实施</w:t>
      </w:r>
      <w:r>
        <w:rPr>
          <w:rFonts w:hint="default" w:ascii="Times New Roman" w:hAnsi="Times New Roman" w:cs="Times New Roman"/>
          <w:color w:val="auto"/>
          <w:sz w:val="24"/>
        </w:rPr>
        <w:t>；</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（13）《关于进一步加强环境影响评价管理防范环境风险的通知》，环境保护部，环发[2012]77号，2012年7月3日；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）《关于切实加强风险防范严格环境影响评价管理的通知》，环境保护部，环发[2012]98号，2012年8月8日；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）关于印发《畜禽规模养殖场粪污资源化利用设施建设规范（试行）》的通知，农业部办公厅，2018年1月5日；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）《畜禽规模养殖污染防治条例》，中华人民共和国国务院令第643号，2014年1月1日起施行；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）畜禽养殖禁养区划定技术指南；</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18</w:t>
      </w:r>
      <w:r>
        <w:rPr>
          <w:rFonts w:hint="default" w:ascii="Times New Roman" w:hAnsi="Times New Roman" w:cs="Times New Roman"/>
          <w:color w:val="auto"/>
          <w:sz w:val="24"/>
        </w:rPr>
        <w:t>）畜禽养殖业污染防治技术政策，环发[2010]151号，2010年12月30日实施；</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19</w:t>
      </w:r>
      <w:r>
        <w:rPr>
          <w:rFonts w:hint="default" w:ascii="Times New Roman" w:hAnsi="Times New Roman" w:cs="Times New Roman"/>
          <w:color w:val="auto"/>
          <w:sz w:val="24"/>
        </w:rPr>
        <w:t>）《四川省畜禽养殖污染防治技术指南（试行）》（川农业函[2017]647号）；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）畜禽养殖污染发酵床治理工程技术指南（试行），环境保护部办公厅，2014年12月23日。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）《畜禽粪便农田利用环境影响评价准则》（GB/T26622-2011）；</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）《饲料和饲料添加剂管理条例》（2017年3月1日修订）；</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）《病死及死因不明动物处置办法（试行）》（农业部 2004.10.21）；</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）《病害动物和病害动物产品生物安全处理规程》（GB16548-2006）；</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）《病死动物无害化处理技术规范》（农医发[2013]34 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）《农业部办公厅关于加强病死动物无害化处理监管工作的紧急通知》（农办医[2014]9号）；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）《国务院办公厅关于建立病死畜禽无害化处理机制的意见》（国办发[2014]47 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28</w:t>
      </w:r>
      <w:r>
        <w:rPr>
          <w:rFonts w:hint="default" w:ascii="Times New Roman" w:hAnsi="Times New Roman" w:cs="Times New Roman"/>
          <w:color w:val="auto"/>
          <w:sz w:val="24"/>
        </w:rPr>
        <w:t>）关于印发《畜禽养殖禁养区划定技术指南》的通知（环办水体[2016]99号）；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29</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关于做好畜禽规模养殖项目环境影响评价管理工作的通知（环办环评[2018]31号）；</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sz w:val="24"/>
        </w:rPr>
        <w:t>（3</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）《畜禽规模养殖场粪污资源化利用设施建设规范（试行）》（农办牧[2018]2号）。</w:t>
      </w:r>
    </w:p>
    <w:bookmarkEnd w:id="56"/>
    <w:bookmarkEnd w:id="57"/>
    <w:bookmarkEnd w:id="58"/>
    <w:bookmarkEnd w:id="59"/>
    <w:bookmarkEnd w:id="60"/>
    <w:p>
      <w:pPr>
        <w:pStyle w:val="180"/>
        <w:rPr>
          <w:rFonts w:hint="default" w:ascii="Times New Roman" w:hAnsi="Times New Roman" w:cs="Times New Roman" w:eastAsiaTheme="majorEastAsia"/>
          <w:b/>
          <w:bCs w:val="0"/>
          <w:color w:val="auto"/>
          <w:sz w:val="24"/>
          <w:szCs w:val="24"/>
        </w:rPr>
      </w:pPr>
      <w:bookmarkStart w:id="62" w:name="_Toc24620"/>
      <w:bookmarkStart w:id="63" w:name="_Toc369191578"/>
      <w:bookmarkStart w:id="64" w:name="_Toc369334581"/>
      <w:bookmarkStart w:id="65" w:name="_Toc369334761"/>
      <w:bookmarkStart w:id="66" w:name="_Toc369359627"/>
      <w:bookmarkStart w:id="67" w:name="_Toc369197743"/>
      <w:r>
        <w:rPr>
          <w:rFonts w:hint="default" w:ascii="Times New Roman" w:hAnsi="Times New Roman" w:cs="Times New Roman" w:eastAsiaTheme="majorEastAsia"/>
          <w:b/>
          <w:bCs w:val="0"/>
          <w:color w:val="auto"/>
          <w:sz w:val="24"/>
          <w:szCs w:val="24"/>
        </w:rPr>
        <w:t>地方政策法规</w:t>
      </w:r>
      <w:bookmarkEnd w:id="62"/>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（1）《四川省环境保护条例》，2017年9月22日修订，2018年1月1日施行；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（2）《四川省〈中华人民共和国大气污染防治法〉实施办法》，2018年12月7日修订，2019年1月1日施行；</w:t>
      </w:r>
    </w:p>
    <w:p>
      <w:pPr>
        <w:spacing w:line="360" w:lineRule="auto"/>
        <w:ind w:firstLine="48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四川省畜禽养殖污染防治技术指南（试行）</w:t>
      </w:r>
      <w:r>
        <w:rPr>
          <w:rFonts w:hint="default" w:ascii="Times New Roman" w:hAnsi="Times New Roman" w:cs="Times New Roman"/>
          <w:color w:val="auto"/>
          <w:sz w:val="24"/>
          <w:lang w:eastAsia="zh-CN"/>
        </w:rPr>
        <w:t>》(川农业函〔2017〕647号)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（4）《四川省饮用水源保护管理条例》，2012年1月1日施行；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（5）《四川省人民政府关于加强环境保护工作的决定》，川府发[1996]142号；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）《四川省固体废物污染防治条例》，2014年1月1日施行；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（7）《四川省人民政府关于印发四川省打赢蓝天保卫战等九个实施方案的通知》，川府发〔2019〕4号；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（8）《四川省人民政府关于印发四川省生态保护红线方案的通知》，川府发[2018]24号；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（9）《关于进一步加强我省农村饮用水水源保护区环境保护工作的通知》，川环办发[2011]98号；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（10）《四川省国家重点生态功能区产业准入负面清单（第一批）（试行）》，川发改规划[2017]407 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（11）《四川省环境保护局关于依法加强环境影响评价管理防范环境风险的通知》，川环发[2006]1号；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（12））《四川省环境保护局关于进一步加强固体废物和危险废物环境监管的通知》，川环发[2009]112 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（13）《四川省环境保护厅办公室关于贯彻落实〈建设项目主要污染物排放总量指标审核</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14</w:t>
      </w:r>
      <w:r>
        <w:rPr>
          <w:rFonts w:hint="default" w:ascii="Times New Roman" w:hAnsi="Times New Roman" w:cs="Times New Roman"/>
          <w:color w:val="auto"/>
          <w:sz w:val="24"/>
        </w:rPr>
        <w:t>）《关于进一步加强环境保护工作的决定》，川府发[2004]38号；及管理暂行办法的通知》（川环办发[2015]333号）；</w:t>
      </w:r>
    </w:p>
    <w:p>
      <w:pPr>
        <w:pStyle w:val="180"/>
        <w:rPr>
          <w:rFonts w:hint="default" w:ascii="Times New Roman" w:hAnsi="Times New Roman" w:cs="Times New Roman" w:eastAsiaTheme="majorEastAsia"/>
          <w:b/>
          <w:bCs w:val="0"/>
          <w:color w:val="auto"/>
          <w:sz w:val="24"/>
          <w:szCs w:val="24"/>
        </w:rPr>
      </w:pPr>
      <w:bookmarkStart w:id="68" w:name="_Toc16268"/>
      <w:r>
        <w:rPr>
          <w:rFonts w:hint="default" w:ascii="Times New Roman" w:hAnsi="Times New Roman" w:cs="Times New Roman" w:eastAsiaTheme="majorEastAsia"/>
          <w:b/>
          <w:bCs w:val="0"/>
          <w:color w:val="auto"/>
          <w:sz w:val="24"/>
          <w:szCs w:val="24"/>
        </w:rPr>
        <w:t>导则及技术规范</w:t>
      </w:r>
      <w:bookmarkEnd w:id="63"/>
      <w:bookmarkEnd w:id="64"/>
      <w:bookmarkEnd w:id="65"/>
      <w:bookmarkEnd w:id="66"/>
      <w:bookmarkEnd w:id="67"/>
      <w:bookmarkEnd w:id="68"/>
    </w:p>
    <w:bookmarkEnd w:id="48"/>
    <w:bookmarkEnd w:id="49"/>
    <w:p>
      <w:pPr>
        <w:pStyle w:val="4"/>
        <w:spacing w:line="360" w:lineRule="auto"/>
        <w:ind w:firstLine="522"/>
        <w:jc w:val="both"/>
        <w:rPr>
          <w:rFonts w:ascii="Times New Roman"/>
          <w:color w:val="auto"/>
          <w:szCs w:val="24"/>
        </w:rPr>
      </w:pPr>
      <w:r>
        <w:rPr>
          <w:rFonts w:ascii="Times New Roman"/>
          <w:color w:val="auto"/>
          <w:szCs w:val="24"/>
        </w:rPr>
        <w:t>（1）《</w:t>
      </w:r>
      <w:r>
        <w:rPr>
          <w:rFonts w:ascii="Times New Roman"/>
          <w:color w:val="auto"/>
        </w:rPr>
        <w:t>建设项目环境影响评价技术导则</w:t>
      </w:r>
      <w:r>
        <w:rPr>
          <w:rFonts w:ascii="Times New Roman"/>
          <w:color w:val="auto"/>
          <w:szCs w:val="24"/>
        </w:rPr>
        <w:t>总纲》(HJ2.1-2016)；</w:t>
      </w:r>
    </w:p>
    <w:p>
      <w:pPr>
        <w:pStyle w:val="4"/>
        <w:spacing w:line="360" w:lineRule="auto"/>
        <w:ind w:firstLine="522"/>
        <w:jc w:val="both"/>
        <w:rPr>
          <w:rFonts w:ascii="Times New Roman"/>
          <w:color w:val="auto"/>
          <w:szCs w:val="24"/>
        </w:rPr>
      </w:pPr>
      <w:r>
        <w:rPr>
          <w:rFonts w:ascii="Times New Roman"/>
          <w:color w:val="auto"/>
          <w:szCs w:val="24"/>
        </w:rPr>
        <w:t>（2）《环境影响评价技术导则 大气环境》(HJ2.2-2018)；</w:t>
      </w:r>
    </w:p>
    <w:p>
      <w:pPr>
        <w:pStyle w:val="4"/>
        <w:spacing w:line="360" w:lineRule="auto"/>
        <w:ind w:firstLine="522"/>
        <w:jc w:val="both"/>
        <w:rPr>
          <w:rFonts w:ascii="Times New Roman"/>
          <w:color w:val="auto"/>
          <w:szCs w:val="24"/>
        </w:rPr>
      </w:pPr>
      <w:r>
        <w:rPr>
          <w:rFonts w:ascii="Times New Roman"/>
          <w:color w:val="auto"/>
          <w:szCs w:val="24"/>
        </w:rPr>
        <w:t>（3）《环境影响评价技术导则 地表水环境》(HJ2.3-2018)；</w:t>
      </w:r>
    </w:p>
    <w:p>
      <w:pPr>
        <w:pStyle w:val="4"/>
        <w:spacing w:line="360" w:lineRule="auto"/>
        <w:ind w:firstLine="522"/>
        <w:jc w:val="both"/>
        <w:rPr>
          <w:rFonts w:ascii="Times New Roman"/>
          <w:color w:val="auto"/>
          <w:szCs w:val="24"/>
        </w:rPr>
      </w:pPr>
      <w:r>
        <w:rPr>
          <w:rFonts w:ascii="Times New Roman"/>
          <w:color w:val="auto"/>
          <w:szCs w:val="24"/>
        </w:rPr>
        <w:t>（4）《环境影响评价技术导则 声环境》(HJ2.4-2</w:t>
      </w:r>
      <w:r>
        <w:rPr>
          <w:rFonts w:hint="eastAsia" w:ascii="Times New Roman"/>
          <w:color w:val="auto"/>
          <w:szCs w:val="24"/>
          <w:lang w:val="en-US" w:eastAsia="zh-CN"/>
        </w:rPr>
        <w:t>021</w:t>
      </w:r>
      <w:r>
        <w:rPr>
          <w:rFonts w:ascii="Times New Roman"/>
          <w:color w:val="auto"/>
          <w:szCs w:val="24"/>
        </w:rPr>
        <w:t>)；</w:t>
      </w:r>
    </w:p>
    <w:p>
      <w:pPr>
        <w:pStyle w:val="4"/>
        <w:spacing w:line="360" w:lineRule="auto"/>
        <w:ind w:firstLine="522"/>
        <w:jc w:val="both"/>
        <w:rPr>
          <w:rFonts w:ascii="Times New Roman"/>
          <w:color w:val="auto"/>
          <w:szCs w:val="24"/>
        </w:rPr>
      </w:pPr>
      <w:r>
        <w:rPr>
          <w:rFonts w:ascii="Times New Roman"/>
          <w:color w:val="auto"/>
          <w:szCs w:val="24"/>
        </w:rPr>
        <w:t>（5）《环境影响评价技术导则—生态影响》（HJ19-20</w:t>
      </w:r>
      <w:r>
        <w:rPr>
          <w:rFonts w:hint="eastAsia" w:ascii="Times New Roman"/>
          <w:color w:val="auto"/>
          <w:szCs w:val="24"/>
          <w:lang w:val="en-US" w:eastAsia="zh-CN"/>
        </w:rPr>
        <w:t>22</w:t>
      </w:r>
      <w:r>
        <w:rPr>
          <w:rFonts w:ascii="Times New Roman"/>
          <w:color w:val="auto"/>
          <w:szCs w:val="24"/>
        </w:rPr>
        <w:t>）；</w:t>
      </w:r>
    </w:p>
    <w:p>
      <w:pPr>
        <w:pStyle w:val="4"/>
        <w:spacing w:line="360" w:lineRule="auto"/>
        <w:ind w:firstLine="522"/>
        <w:jc w:val="both"/>
        <w:rPr>
          <w:rFonts w:ascii="Times New Roman"/>
          <w:color w:val="auto"/>
          <w:szCs w:val="24"/>
        </w:rPr>
      </w:pPr>
      <w:r>
        <w:rPr>
          <w:rFonts w:ascii="Times New Roman"/>
          <w:color w:val="auto"/>
          <w:szCs w:val="24"/>
        </w:rPr>
        <w:t>（6）《环境影响评价技术导则  地下水环境》（HJ610-2016）；</w:t>
      </w:r>
    </w:p>
    <w:p>
      <w:pPr>
        <w:pStyle w:val="4"/>
        <w:spacing w:line="360" w:lineRule="auto"/>
        <w:ind w:firstLine="522"/>
        <w:jc w:val="both"/>
        <w:rPr>
          <w:rFonts w:ascii="Times New Roman"/>
          <w:color w:val="auto"/>
          <w:szCs w:val="24"/>
        </w:rPr>
      </w:pPr>
      <w:r>
        <w:rPr>
          <w:rFonts w:ascii="Times New Roman"/>
          <w:color w:val="auto"/>
          <w:szCs w:val="24"/>
        </w:rPr>
        <w:t>（7）《建设项目环境风险评价技术导则》（HJ</w:t>
      </w:r>
      <w:r>
        <w:rPr>
          <w:rFonts w:hint="eastAsia" w:ascii="Times New Roman"/>
          <w:color w:val="auto"/>
          <w:szCs w:val="24"/>
        </w:rPr>
        <w:t xml:space="preserve"> </w:t>
      </w:r>
      <w:r>
        <w:rPr>
          <w:rFonts w:ascii="Times New Roman"/>
          <w:color w:val="auto"/>
          <w:szCs w:val="24"/>
        </w:rPr>
        <w:t>169－2018）；</w:t>
      </w:r>
    </w:p>
    <w:p>
      <w:pPr>
        <w:pStyle w:val="4"/>
        <w:spacing w:line="360" w:lineRule="auto"/>
        <w:ind w:firstLine="522"/>
        <w:jc w:val="both"/>
        <w:rPr>
          <w:rFonts w:ascii="Times New Roman"/>
          <w:color w:val="auto"/>
          <w:szCs w:val="24"/>
        </w:rPr>
      </w:pPr>
      <w:r>
        <w:rPr>
          <w:rFonts w:ascii="Times New Roman"/>
          <w:color w:val="auto"/>
          <w:szCs w:val="24"/>
        </w:rPr>
        <w:t>（8）《环境影响评价技术导则  土壤环境》（试行）(HJ964-2018)；</w:t>
      </w:r>
    </w:p>
    <w:p>
      <w:pPr>
        <w:pStyle w:val="4"/>
        <w:spacing w:line="360" w:lineRule="auto"/>
        <w:ind w:firstLine="522"/>
        <w:jc w:val="both"/>
        <w:rPr>
          <w:rFonts w:ascii="Times New Roman"/>
          <w:color w:val="auto"/>
          <w:szCs w:val="24"/>
        </w:rPr>
      </w:pPr>
      <w:r>
        <w:rPr>
          <w:rFonts w:ascii="Times New Roman"/>
          <w:color w:val="auto"/>
          <w:szCs w:val="24"/>
        </w:rPr>
        <w:t>（9）《畜禽养殖业污染防治技术规范》（HJ/T81-2001）；</w:t>
      </w:r>
    </w:p>
    <w:p>
      <w:pPr>
        <w:pStyle w:val="4"/>
        <w:spacing w:line="360" w:lineRule="auto"/>
        <w:ind w:firstLine="522"/>
        <w:jc w:val="both"/>
        <w:rPr>
          <w:rFonts w:ascii="Times New Roman"/>
          <w:color w:val="auto"/>
          <w:szCs w:val="24"/>
        </w:rPr>
      </w:pPr>
      <w:r>
        <w:rPr>
          <w:rFonts w:ascii="Times New Roman"/>
          <w:color w:val="auto"/>
          <w:szCs w:val="24"/>
        </w:rPr>
        <w:t>（10）《畜禽养殖业污染治理工程技术规范》（HJ497-2009）；</w:t>
      </w:r>
    </w:p>
    <w:p>
      <w:pPr>
        <w:pStyle w:val="4"/>
        <w:spacing w:line="360" w:lineRule="auto"/>
        <w:ind w:firstLine="522"/>
        <w:jc w:val="both"/>
        <w:rPr>
          <w:rFonts w:ascii="Times New Roman"/>
          <w:color w:val="auto"/>
          <w:szCs w:val="24"/>
        </w:rPr>
      </w:pPr>
      <w:r>
        <w:rPr>
          <w:rFonts w:ascii="Times New Roman"/>
          <w:color w:val="auto"/>
          <w:szCs w:val="24"/>
        </w:rPr>
        <w:t>（11）《畜禽粪便无害化处理技术规范》（NY/T1168-2006）；</w:t>
      </w:r>
    </w:p>
    <w:p>
      <w:pPr>
        <w:pStyle w:val="4"/>
        <w:spacing w:line="360" w:lineRule="auto"/>
        <w:ind w:firstLine="522"/>
        <w:jc w:val="both"/>
        <w:rPr>
          <w:rFonts w:ascii="Times New Roman"/>
          <w:color w:val="auto"/>
          <w:szCs w:val="24"/>
        </w:rPr>
      </w:pPr>
      <w:r>
        <w:rPr>
          <w:rFonts w:ascii="Times New Roman"/>
          <w:color w:val="auto"/>
          <w:szCs w:val="24"/>
        </w:rPr>
        <w:t>（12）《排污许可证申请与核发技术规范 畜禽养殖行业》(HJ 1029—2019)。</w:t>
      </w:r>
    </w:p>
    <w:p>
      <w:pPr>
        <w:pStyle w:val="180"/>
        <w:rPr>
          <w:rFonts w:hint="default" w:ascii="Times New Roman" w:hAnsi="Times New Roman" w:cs="Times New Roman" w:eastAsiaTheme="majorEastAsia"/>
          <w:b/>
          <w:bCs w:val="0"/>
          <w:color w:val="auto"/>
          <w:sz w:val="24"/>
          <w:szCs w:val="24"/>
        </w:rPr>
      </w:pPr>
      <w:bookmarkStart w:id="69" w:name="_Toc369197744"/>
      <w:bookmarkStart w:id="70" w:name="_Toc369359628"/>
      <w:bookmarkStart w:id="71" w:name="_Toc369334762"/>
      <w:bookmarkStart w:id="72" w:name="_Toc25337"/>
      <w:bookmarkStart w:id="73" w:name="_Toc369334582"/>
      <w:bookmarkStart w:id="74" w:name="_Toc369191579"/>
      <w:r>
        <w:rPr>
          <w:rFonts w:hint="default" w:ascii="Times New Roman" w:hAnsi="Times New Roman" w:cs="Times New Roman" w:eastAsiaTheme="majorEastAsia"/>
          <w:b/>
          <w:bCs w:val="0"/>
          <w:color w:val="auto"/>
          <w:sz w:val="24"/>
          <w:szCs w:val="24"/>
        </w:rPr>
        <w:t>项目依据</w:t>
      </w:r>
      <w:bookmarkEnd w:id="69"/>
      <w:bookmarkEnd w:id="70"/>
      <w:bookmarkEnd w:id="71"/>
      <w:bookmarkEnd w:id="72"/>
      <w:bookmarkEnd w:id="73"/>
      <w:bookmarkEnd w:id="74"/>
    </w:p>
    <w:p>
      <w:pPr>
        <w:spacing w:line="360" w:lineRule="auto"/>
        <w:ind w:firstLine="480" w:firstLineChars="200"/>
        <w:rPr>
          <w:color w:val="auto"/>
          <w:sz w:val="24"/>
        </w:rPr>
      </w:pPr>
      <w:r>
        <w:rPr>
          <w:color w:val="auto"/>
          <w:sz w:val="24"/>
        </w:rPr>
        <w:t>（1）本项目环境影响评价工作委托书；</w:t>
      </w:r>
    </w:p>
    <w:p>
      <w:pPr>
        <w:spacing w:line="360" w:lineRule="auto"/>
        <w:ind w:firstLine="480" w:firstLineChars="200"/>
        <w:rPr>
          <w:color w:val="auto"/>
          <w:sz w:val="24"/>
        </w:rPr>
      </w:pPr>
      <w:r>
        <w:rPr>
          <w:color w:val="auto"/>
          <w:sz w:val="24"/>
        </w:rPr>
        <w:t>（2）四川省固定资产投资项目备案表（</w:t>
      </w:r>
      <w:r>
        <w:rPr>
          <w:rFonts w:hint="eastAsia"/>
          <w:color w:val="auto"/>
          <w:sz w:val="24"/>
          <w:lang w:val="en-US" w:eastAsia="zh-CN"/>
        </w:rPr>
        <w:t>项目代码</w:t>
      </w:r>
      <w:r>
        <w:rPr>
          <w:rFonts w:hint="eastAsia"/>
          <w:color w:val="auto"/>
          <w:sz w:val="24"/>
        </w:rPr>
        <w:t>【2208-511903-04-01-331960】</w:t>
      </w:r>
      <w:r>
        <w:rPr>
          <w:color w:val="auto"/>
          <w:sz w:val="24"/>
        </w:rPr>
        <w:t>）；</w:t>
      </w:r>
    </w:p>
    <w:p>
      <w:pPr>
        <w:pStyle w:val="4"/>
        <w:spacing w:line="360" w:lineRule="auto"/>
        <w:ind w:firstLine="480" w:firstLineChars="200"/>
        <w:jc w:val="both"/>
        <w:rPr>
          <w:rFonts w:ascii="Times New Roman"/>
          <w:color w:val="auto"/>
          <w:szCs w:val="24"/>
        </w:rPr>
      </w:pPr>
      <w:r>
        <w:rPr>
          <w:rFonts w:ascii="Times New Roman"/>
          <w:color w:val="auto"/>
          <w:szCs w:val="24"/>
        </w:rPr>
        <w:t>（</w:t>
      </w:r>
      <w:r>
        <w:rPr>
          <w:rFonts w:hint="eastAsia" w:ascii="Times New Roman"/>
          <w:color w:val="auto"/>
          <w:szCs w:val="24"/>
        </w:rPr>
        <w:t>3</w:t>
      </w:r>
      <w:r>
        <w:rPr>
          <w:rFonts w:ascii="Times New Roman"/>
          <w:color w:val="auto"/>
          <w:szCs w:val="24"/>
        </w:rPr>
        <w:t>）建设单位提供的其它相关基础资料。</w:t>
      </w:r>
    </w:p>
    <w:bookmarkEnd w:id="50"/>
    <w:bookmarkEnd w:id="51"/>
    <w:bookmarkEnd w:id="52"/>
    <w:bookmarkEnd w:id="53"/>
    <w:bookmarkEnd w:id="54"/>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75" w:name="_Toc4918"/>
      <w:bookmarkStart w:id="76" w:name="_Toc13599"/>
      <w:bookmarkStart w:id="77" w:name="_Toc180817011"/>
      <w:bookmarkStart w:id="78" w:name="_Toc180824016"/>
      <w:bookmarkStart w:id="79" w:name="_Toc24298"/>
      <w:r>
        <w:rPr>
          <w:rFonts w:ascii="Times New Roman" w:hAnsi="Times New Roman" w:cs="Times New Roman" w:eastAsiaTheme="majorEastAsia"/>
          <w:bCs/>
          <w:color w:val="auto"/>
          <w:kern w:val="2"/>
          <w:szCs w:val="32"/>
          <w:lang w:val="en-US" w:eastAsia="zh-CN"/>
        </w:rPr>
        <w:t>评价目的及原则</w:t>
      </w:r>
      <w:bookmarkEnd w:id="75"/>
      <w:bookmarkEnd w:id="76"/>
      <w:bookmarkEnd w:id="77"/>
      <w:bookmarkEnd w:id="78"/>
      <w:bookmarkEnd w:id="79"/>
    </w:p>
    <w:p>
      <w:pPr>
        <w:pStyle w:val="180"/>
        <w:rPr>
          <w:rFonts w:hint="default" w:ascii="Times New Roman" w:hAnsi="Times New Roman" w:cs="Times New Roman" w:eastAsiaTheme="majorEastAsia"/>
          <w:b/>
          <w:bCs w:val="0"/>
          <w:color w:val="auto"/>
          <w:sz w:val="24"/>
          <w:szCs w:val="24"/>
        </w:rPr>
      </w:pPr>
      <w:bookmarkStart w:id="80" w:name="_Toc369334757"/>
      <w:bookmarkStart w:id="81" w:name="_Toc369191574"/>
      <w:bookmarkStart w:id="82" w:name="_Toc369334577"/>
      <w:bookmarkStart w:id="83" w:name="_Toc369359623"/>
      <w:bookmarkStart w:id="84" w:name="_Toc180824017"/>
      <w:bookmarkStart w:id="85" w:name="_Toc21855"/>
      <w:bookmarkStart w:id="86" w:name="_Toc369197739"/>
      <w:r>
        <w:rPr>
          <w:rFonts w:hint="default" w:ascii="Times New Roman" w:hAnsi="Times New Roman" w:cs="Times New Roman" w:eastAsiaTheme="majorEastAsia"/>
          <w:b/>
          <w:bCs w:val="0"/>
          <w:color w:val="auto"/>
          <w:sz w:val="24"/>
          <w:szCs w:val="24"/>
        </w:rPr>
        <w:t>评价目的</w:t>
      </w:r>
      <w:bookmarkEnd w:id="80"/>
      <w:bookmarkEnd w:id="81"/>
      <w:bookmarkEnd w:id="82"/>
      <w:bookmarkEnd w:id="83"/>
      <w:bookmarkEnd w:id="84"/>
      <w:bookmarkEnd w:id="85"/>
      <w:bookmarkEnd w:id="86"/>
    </w:p>
    <w:p>
      <w:pPr>
        <w:pStyle w:val="4"/>
        <w:spacing w:line="360" w:lineRule="auto"/>
        <w:ind w:firstLine="522"/>
        <w:jc w:val="both"/>
        <w:rPr>
          <w:rFonts w:ascii="Times New Roman"/>
          <w:color w:val="auto"/>
        </w:rPr>
      </w:pPr>
      <w:r>
        <w:rPr>
          <w:rFonts w:ascii="Times New Roman"/>
          <w:color w:val="auto"/>
        </w:rPr>
        <w:t>项目在施工期和运行期会不可避免地带来一些环境问题。因此，本次评价将针对这些环境影响问题，并结合本项目的特点，坚持以下原则，达到以下目的：</w:t>
      </w:r>
    </w:p>
    <w:p>
      <w:pPr>
        <w:pStyle w:val="4"/>
        <w:spacing w:line="360" w:lineRule="auto"/>
        <w:ind w:firstLine="522"/>
        <w:jc w:val="both"/>
        <w:rPr>
          <w:rFonts w:ascii="Times New Roman"/>
          <w:color w:val="auto"/>
        </w:rPr>
      </w:pPr>
      <w:r>
        <w:rPr>
          <w:rFonts w:ascii="Times New Roman"/>
          <w:color w:val="auto"/>
        </w:rPr>
        <w:t>1）实现项目建设与当地自然、社会、经济、环境保护的持续协调发展，即按可持续发展战略指导本项目的建设；</w:t>
      </w:r>
    </w:p>
    <w:p>
      <w:pPr>
        <w:pStyle w:val="4"/>
        <w:spacing w:line="360" w:lineRule="auto"/>
        <w:ind w:firstLine="522"/>
        <w:jc w:val="both"/>
        <w:rPr>
          <w:rFonts w:ascii="Times New Roman"/>
          <w:color w:val="auto"/>
        </w:rPr>
      </w:pPr>
      <w:r>
        <w:rPr>
          <w:rFonts w:ascii="Times New Roman"/>
          <w:color w:val="auto"/>
        </w:rPr>
        <w:t>2）结合</w:t>
      </w:r>
      <w:r>
        <w:rPr>
          <w:rFonts w:hint="eastAsia" w:ascii="Times New Roman"/>
          <w:color w:val="auto"/>
          <w:lang w:val="en-US" w:eastAsia="zh-CN"/>
        </w:rPr>
        <w:t>巴中市</w:t>
      </w:r>
      <w:r>
        <w:rPr>
          <w:rFonts w:ascii="Times New Roman"/>
          <w:color w:val="auto"/>
        </w:rPr>
        <w:t xml:space="preserve">发展总体规划、环境保护规划、环境功能规划，从环境保护角度论证项目工程内容及选址的可行性和合理性； </w:t>
      </w:r>
    </w:p>
    <w:p>
      <w:pPr>
        <w:pStyle w:val="4"/>
        <w:spacing w:line="360" w:lineRule="auto"/>
        <w:ind w:firstLine="522"/>
        <w:jc w:val="both"/>
        <w:rPr>
          <w:rFonts w:ascii="Times New Roman"/>
          <w:color w:val="auto"/>
        </w:rPr>
      </w:pPr>
      <w:r>
        <w:rPr>
          <w:rFonts w:ascii="Times New Roman"/>
          <w:color w:val="auto"/>
        </w:rPr>
        <w:t xml:space="preserve">3）环评中坚持“达标排放、总量控制、清洁生产”的原则，保证本项目建设实施后，不加重该区域的环境污染程度； </w:t>
      </w:r>
    </w:p>
    <w:p>
      <w:pPr>
        <w:pStyle w:val="4"/>
        <w:spacing w:line="360" w:lineRule="auto"/>
        <w:ind w:firstLine="522"/>
        <w:jc w:val="both"/>
        <w:rPr>
          <w:rFonts w:ascii="Times New Roman"/>
          <w:color w:val="auto"/>
        </w:rPr>
      </w:pPr>
      <w:r>
        <w:rPr>
          <w:rFonts w:ascii="Times New Roman"/>
          <w:color w:val="auto"/>
        </w:rPr>
        <w:t xml:space="preserve">4）从经济、技术角度论证项目污染防治措施的可行性； </w:t>
      </w:r>
    </w:p>
    <w:p>
      <w:pPr>
        <w:pStyle w:val="4"/>
        <w:spacing w:line="360" w:lineRule="auto"/>
        <w:ind w:firstLine="522"/>
        <w:jc w:val="both"/>
        <w:rPr>
          <w:rFonts w:ascii="Times New Roman"/>
          <w:color w:val="auto"/>
        </w:rPr>
      </w:pPr>
      <w:r>
        <w:rPr>
          <w:rFonts w:ascii="Times New Roman"/>
          <w:color w:val="auto"/>
        </w:rPr>
        <w:t>5）预测本项目建成投产后，对周围环境的影响程度和范围；</w:t>
      </w:r>
    </w:p>
    <w:p>
      <w:pPr>
        <w:pStyle w:val="4"/>
        <w:spacing w:line="360" w:lineRule="auto"/>
        <w:ind w:firstLine="522"/>
        <w:jc w:val="both"/>
        <w:rPr>
          <w:rFonts w:ascii="Times New Roman"/>
          <w:color w:val="auto"/>
          <w:szCs w:val="24"/>
        </w:rPr>
      </w:pPr>
      <w:r>
        <w:rPr>
          <w:rFonts w:ascii="Times New Roman"/>
          <w:color w:val="auto"/>
        </w:rPr>
        <w:t>6）针对项目特性进行环境风险分析，提出风险防范措施，明确项目环境风险影 响的接受水平；</w:t>
      </w:r>
    </w:p>
    <w:p>
      <w:pPr>
        <w:pStyle w:val="4"/>
        <w:spacing w:line="360" w:lineRule="auto"/>
        <w:ind w:firstLine="522"/>
        <w:jc w:val="both"/>
        <w:rPr>
          <w:rFonts w:ascii="Times New Roman"/>
          <w:color w:val="auto"/>
        </w:rPr>
      </w:pPr>
      <w:r>
        <w:rPr>
          <w:rFonts w:ascii="Times New Roman"/>
          <w:color w:val="auto"/>
        </w:rPr>
        <w:t>7）通过本项目建设后生产能力及工艺水平情况，对项目建设后污染物排放情况、 及总量控制污染物排放水平作了分析。</w:t>
      </w:r>
    </w:p>
    <w:p>
      <w:pPr>
        <w:pStyle w:val="180"/>
        <w:rPr>
          <w:rFonts w:hint="default" w:ascii="Times New Roman" w:hAnsi="Times New Roman" w:cs="Times New Roman" w:eastAsiaTheme="majorEastAsia"/>
          <w:b/>
          <w:bCs w:val="0"/>
          <w:color w:val="auto"/>
          <w:sz w:val="24"/>
          <w:szCs w:val="24"/>
        </w:rPr>
      </w:pPr>
      <w:bookmarkStart w:id="87" w:name="_Toc369197740"/>
      <w:bookmarkStart w:id="88" w:name="_Toc180824018"/>
      <w:bookmarkStart w:id="89" w:name="_Toc369191575"/>
      <w:bookmarkStart w:id="90" w:name="_Toc28408"/>
      <w:bookmarkStart w:id="91" w:name="_Toc369334578"/>
      <w:bookmarkStart w:id="92" w:name="_Toc369334758"/>
      <w:bookmarkStart w:id="93" w:name="_Toc369359624"/>
      <w:bookmarkStart w:id="94" w:name="_Toc329088281"/>
      <w:r>
        <w:rPr>
          <w:rFonts w:hint="default" w:ascii="Times New Roman" w:hAnsi="Times New Roman" w:cs="Times New Roman" w:eastAsiaTheme="majorEastAsia"/>
          <w:b/>
          <w:bCs w:val="0"/>
          <w:color w:val="auto"/>
          <w:sz w:val="24"/>
          <w:szCs w:val="24"/>
        </w:rPr>
        <w:t>评价原则</w:t>
      </w:r>
      <w:bookmarkEnd w:id="87"/>
      <w:bookmarkEnd w:id="88"/>
      <w:bookmarkEnd w:id="89"/>
      <w:bookmarkEnd w:id="90"/>
      <w:bookmarkEnd w:id="91"/>
      <w:bookmarkEnd w:id="92"/>
      <w:bookmarkEnd w:id="93"/>
      <w:bookmarkEnd w:id="94"/>
    </w:p>
    <w:p>
      <w:pPr>
        <w:pStyle w:val="4"/>
        <w:spacing w:line="360" w:lineRule="auto"/>
        <w:ind w:firstLine="522"/>
        <w:jc w:val="both"/>
        <w:rPr>
          <w:rFonts w:ascii="Times New Roman"/>
          <w:color w:val="auto"/>
        </w:rPr>
      </w:pPr>
      <w:r>
        <w:rPr>
          <w:rFonts w:ascii="Times New Roman"/>
          <w:color w:val="auto"/>
        </w:rPr>
        <w:t>1）依法评价</w:t>
      </w:r>
    </w:p>
    <w:p>
      <w:pPr>
        <w:pStyle w:val="4"/>
        <w:spacing w:line="360" w:lineRule="auto"/>
        <w:ind w:firstLine="522"/>
        <w:jc w:val="both"/>
        <w:rPr>
          <w:rFonts w:ascii="Times New Roman"/>
          <w:color w:val="auto"/>
        </w:rPr>
      </w:pPr>
      <w:r>
        <w:rPr>
          <w:rFonts w:ascii="Times New Roman"/>
          <w:color w:val="auto"/>
        </w:rPr>
        <w:t>贯彻执行我国环境保护相关法律法规、标准、政策和规划等，优化项目建设，服务环境管理。</w:t>
      </w:r>
    </w:p>
    <w:p>
      <w:pPr>
        <w:pStyle w:val="4"/>
        <w:spacing w:line="360" w:lineRule="auto"/>
        <w:ind w:firstLine="522"/>
        <w:jc w:val="both"/>
        <w:rPr>
          <w:rFonts w:ascii="Times New Roman"/>
          <w:color w:val="auto"/>
        </w:rPr>
      </w:pPr>
      <w:r>
        <w:rPr>
          <w:rFonts w:ascii="Times New Roman"/>
          <w:color w:val="auto"/>
        </w:rPr>
        <w:t>2）科学评价</w:t>
      </w:r>
    </w:p>
    <w:p>
      <w:pPr>
        <w:pStyle w:val="4"/>
        <w:spacing w:line="360" w:lineRule="auto"/>
        <w:ind w:firstLine="522"/>
        <w:jc w:val="both"/>
        <w:rPr>
          <w:rFonts w:ascii="Times New Roman"/>
          <w:color w:val="auto"/>
        </w:rPr>
      </w:pPr>
      <w:r>
        <w:rPr>
          <w:rFonts w:ascii="Times New Roman"/>
          <w:color w:val="auto"/>
        </w:rPr>
        <w:t>规范环境影响评价方法，科学分析项目建设对环境质量的影响。</w:t>
      </w:r>
    </w:p>
    <w:p>
      <w:pPr>
        <w:pStyle w:val="4"/>
        <w:spacing w:line="360" w:lineRule="auto"/>
        <w:ind w:firstLine="522"/>
        <w:jc w:val="both"/>
        <w:rPr>
          <w:rFonts w:ascii="Times New Roman"/>
          <w:color w:val="auto"/>
        </w:rPr>
      </w:pPr>
      <w:r>
        <w:rPr>
          <w:rFonts w:ascii="Times New Roman"/>
          <w:color w:val="auto"/>
        </w:rPr>
        <w:t>3）突出重点</w:t>
      </w:r>
    </w:p>
    <w:p>
      <w:pPr>
        <w:pStyle w:val="4"/>
        <w:spacing w:line="360" w:lineRule="auto"/>
        <w:ind w:firstLine="522"/>
        <w:jc w:val="both"/>
        <w:rPr>
          <w:rFonts w:ascii="Times New Roman"/>
          <w:color w:val="auto"/>
          <w:szCs w:val="21"/>
        </w:rPr>
      </w:pPr>
      <w:r>
        <w:rPr>
          <w:rFonts w:ascii="Times New Roman"/>
          <w:color w:val="auto"/>
        </w:rPr>
        <w:t>根据建设项目的工程内容及其特点，明确与环境要素间的作用效应关系，充分利用符合时效的数据资料及成果，对建设项目主要环境影响</w:t>
      </w:r>
      <w:r>
        <w:rPr>
          <w:rFonts w:ascii="Times New Roman"/>
          <w:color w:val="auto"/>
          <w:szCs w:val="21"/>
        </w:rPr>
        <w:t>予以重点分析和评价。</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95" w:name="_Toc13373"/>
      <w:bookmarkStart w:id="96" w:name="_Toc14302"/>
      <w:bookmarkStart w:id="97" w:name="_Toc30605"/>
      <w:r>
        <w:rPr>
          <w:rFonts w:ascii="Times New Roman" w:hAnsi="Times New Roman" w:cs="Times New Roman" w:eastAsiaTheme="majorEastAsia"/>
          <w:bCs/>
          <w:color w:val="auto"/>
          <w:kern w:val="2"/>
          <w:szCs w:val="32"/>
          <w:lang w:val="en-US" w:eastAsia="zh-CN"/>
        </w:rPr>
        <w:t>评价因子</w:t>
      </w:r>
      <w:bookmarkEnd w:id="95"/>
      <w:bookmarkEnd w:id="96"/>
      <w:bookmarkEnd w:id="97"/>
    </w:p>
    <w:p>
      <w:pPr>
        <w:pStyle w:val="180"/>
        <w:rPr>
          <w:rFonts w:hint="default" w:ascii="Times New Roman" w:hAnsi="Times New Roman" w:cs="Times New Roman" w:eastAsiaTheme="majorEastAsia"/>
          <w:b/>
          <w:bCs w:val="0"/>
          <w:color w:val="auto"/>
          <w:sz w:val="24"/>
          <w:szCs w:val="24"/>
        </w:rPr>
      </w:pPr>
      <w:bookmarkStart w:id="98" w:name="_Toc14919"/>
      <w:r>
        <w:rPr>
          <w:rFonts w:hint="default" w:ascii="Times New Roman" w:hAnsi="Times New Roman" w:cs="Times New Roman" w:eastAsiaTheme="majorEastAsia"/>
          <w:b/>
          <w:bCs w:val="0"/>
          <w:color w:val="auto"/>
          <w:sz w:val="24"/>
          <w:szCs w:val="24"/>
        </w:rPr>
        <w:t>环境影响因素分析</w:t>
      </w:r>
      <w:bookmarkEnd w:id="98"/>
    </w:p>
    <w:p>
      <w:pPr>
        <w:spacing w:line="360" w:lineRule="auto"/>
        <w:ind w:firstLine="480"/>
        <w:rPr>
          <w:color w:val="auto"/>
          <w:kern w:val="24"/>
          <w:sz w:val="24"/>
        </w:rPr>
      </w:pPr>
      <w:r>
        <w:rPr>
          <w:color w:val="auto"/>
          <w:kern w:val="24"/>
          <w:sz w:val="24"/>
        </w:rPr>
        <w:t>（1）施工期</w:t>
      </w:r>
    </w:p>
    <w:p>
      <w:pPr>
        <w:spacing w:line="360" w:lineRule="auto"/>
        <w:ind w:firstLine="480"/>
        <w:rPr>
          <w:color w:val="auto"/>
          <w:kern w:val="24"/>
          <w:sz w:val="24"/>
        </w:rPr>
      </w:pPr>
      <w:r>
        <w:rPr>
          <w:color w:val="auto"/>
          <w:kern w:val="24"/>
          <w:sz w:val="24"/>
        </w:rPr>
        <w:t>本项目施工期主要活动是厂区建设，施工期影响大多为短期的、局部的，施工结束后大部分影响是可恢复的。施工期对环境的主要影响如下：</w:t>
      </w:r>
    </w:p>
    <w:p>
      <w:pPr>
        <w:spacing w:line="360" w:lineRule="auto"/>
        <w:ind w:firstLine="480"/>
        <w:rPr>
          <w:color w:val="auto"/>
          <w:kern w:val="24"/>
          <w:sz w:val="24"/>
        </w:rPr>
      </w:pPr>
      <w:r>
        <w:rPr>
          <w:color w:val="auto"/>
          <w:kern w:val="24"/>
          <w:sz w:val="24"/>
        </w:rPr>
        <w:t>施工扬尘、施工设备噪声、施工人员生活废水、废气、弃土排放等，造成环境影响。</w:t>
      </w:r>
    </w:p>
    <w:p>
      <w:pPr>
        <w:spacing w:line="360" w:lineRule="auto"/>
        <w:ind w:firstLine="480"/>
        <w:rPr>
          <w:color w:val="auto"/>
          <w:kern w:val="24"/>
          <w:sz w:val="24"/>
        </w:rPr>
      </w:pPr>
      <w:r>
        <w:rPr>
          <w:color w:val="auto"/>
          <w:kern w:val="24"/>
          <w:sz w:val="24"/>
        </w:rPr>
        <w:t>（2）运营期</w:t>
      </w:r>
    </w:p>
    <w:p>
      <w:pPr>
        <w:spacing w:line="360" w:lineRule="auto"/>
        <w:ind w:firstLine="480"/>
        <w:rPr>
          <w:color w:val="auto"/>
          <w:kern w:val="24"/>
          <w:sz w:val="24"/>
        </w:rPr>
      </w:pPr>
      <w:r>
        <w:rPr>
          <w:color w:val="auto"/>
          <w:kern w:val="24"/>
          <w:sz w:val="24"/>
        </w:rPr>
        <w:t>营运期主要影响如下：</w:t>
      </w:r>
    </w:p>
    <w:p>
      <w:pPr>
        <w:spacing w:line="360" w:lineRule="auto"/>
        <w:ind w:firstLine="480"/>
        <w:rPr>
          <w:color w:val="auto"/>
          <w:kern w:val="24"/>
          <w:sz w:val="24"/>
        </w:rPr>
      </w:pPr>
      <w:r>
        <w:rPr>
          <w:color w:val="auto"/>
          <w:kern w:val="24"/>
          <w:sz w:val="24"/>
        </w:rPr>
        <w:t>社会环境：重点关注项目建设对当地社会经济、生活水平、人群健康、公众意见。</w:t>
      </w:r>
    </w:p>
    <w:p>
      <w:pPr>
        <w:spacing w:line="360" w:lineRule="auto"/>
        <w:ind w:firstLine="480"/>
        <w:rPr>
          <w:color w:val="auto"/>
          <w:kern w:val="24"/>
          <w:sz w:val="24"/>
        </w:rPr>
      </w:pPr>
      <w:r>
        <w:rPr>
          <w:color w:val="auto"/>
          <w:kern w:val="24"/>
          <w:sz w:val="24"/>
        </w:rPr>
        <w:t>水环境：本项目废水</w:t>
      </w:r>
      <w:r>
        <w:rPr>
          <w:color w:val="auto"/>
          <w:sz w:val="24"/>
        </w:rPr>
        <w:t>经处理后不外排</w:t>
      </w:r>
      <w:r>
        <w:rPr>
          <w:color w:val="auto"/>
          <w:kern w:val="24"/>
          <w:sz w:val="24"/>
        </w:rPr>
        <w:t>，对区域地表水环境影响微弱。</w:t>
      </w:r>
    </w:p>
    <w:p>
      <w:pPr>
        <w:spacing w:line="360" w:lineRule="auto"/>
        <w:ind w:firstLine="480"/>
        <w:rPr>
          <w:color w:val="auto"/>
          <w:kern w:val="24"/>
          <w:sz w:val="24"/>
        </w:rPr>
      </w:pPr>
      <w:r>
        <w:rPr>
          <w:color w:val="auto"/>
          <w:kern w:val="24"/>
          <w:sz w:val="24"/>
        </w:rPr>
        <w:t>环境空气：项目运营期重点关注外排大气污染物对周边大气环境产生影响。</w:t>
      </w:r>
    </w:p>
    <w:p>
      <w:pPr>
        <w:spacing w:line="360" w:lineRule="auto"/>
        <w:ind w:firstLine="480"/>
        <w:rPr>
          <w:color w:val="auto"/>
          <w:kern w:val="24"/>
          <w:sz w:val="24"/>
        </w:rPr>
      </w:pPr>
      <w:r>
        <w:rPr>
          <w:color w:val="auto"/>
          <w:kern w:val="24"/>
          <w:sz w:val="24"/>
        </w:rPr>
        <w:t>声环境：重点关注项目</w:t>
      </w:r>
      <w:r>
        <w:rPr>
          <w:rFonts w:hint="eastAsia"/>
          <w:color w:val="auto"/>
          <w:kern w:val="24"/>
          <w:sz w:val="24"/>
          <w:lang w:eastAsia="zh-CN"/>
        </w:rPr>
        <w:t>牛</w:t>
      </w:r>
      <w:r>
        <w:rPr>
          <w:color w:val="auto"/>
          <w:kern w:val="24"/>
          <w:sz w:val="24"/>
        </w:rPr>
        <w:t>叫声、设备噪声对厂区周围声环境敏感点的影响。</w:t>
      </w:r>
    </w:p>
    <w:p>
      <w:pPr>
        <w:spacing w:line="360" w:lineRule="auto"/>
        <w:ind w:firstLine="480"/>
        <w:rPr>
          <w:rFonts w:hint="eastAsia" w:eastAsia="宋体"/>
          <w:color w:val="auto"/>
          <w:kern w:val="24"/>
          <w:sz w:val="24"/>
          <w:lang w:val="en-US" w:eastAsia="zh-CN"/>
        </w:rPr>
      </w:pPr>
      <w:r>
        <w:rPr>
          <w:rFonts w:hint="eastAsia"/>
          <w:color w:val="auto"/>
          <w:kern w:val="24"/>
          <w:sz w:val="24"/>
          <w:lang w:val="en-US" w:eastAsia="zh-CN"/>
        </w:rPr>
        <w:t>地下水环境：本项目在厂区内进行了分区防渗</w:t>
      </w:r>
      <w:r>
        <w:rPr>
          <w:color w:val="auto"/>
          <w:kern w:val="24"/>
          <w:sz w:val="24"/>
        </w:rPr>
        <w:t>，对区域地</w:t>
      </w:r>
      <w:r>
        <w:rPr>
          <w:rFonts w:hint="eastAsia"/>
          <w:color w:val="auto"/>
          <w:kern w:val="24"/>
          <w:sz w:val="24"/>
          <w:lang w:val="en-US" w:eastAsia="zh-CN"/>
        </w:rPr>
        <w:t>下</w:t>
      </w:r>
      <w:r>
        <w:rPr>
          <w:color w:val="auto"/>
          <w:kern w:val="24"/>
          <w:sz w:val="24"/>
        </w:rPr>
        <w:t>水环境影响微弱</w:t>
      </w:r>
      <w:r>
        <w:rPr>
          <w:rFonts w:hint="eastAsia"/>
          <w:color w:val="auto"/>
          <w:kern w:val="24"/>
          <w:sz w:val="24"/>
          <w:lang w:eastAsia="zh-CN"/>
        </w:rPr>
        <w:t>。</w:t>
      </w:r>
    </w:p>
    <w:p>
      <w:pPr>
        <w:spacing w:line="360" w:lineRule="auto"/>
        <w:ind w:firstLine="480"/>
        <w:rPr>
          <w:color w:val="auto"/>
          <w:kern w:val="24"/>
          <w:sz w:val="24"/>
        </w:rPr>
      </w:pPr>
      <w:r>
        <w:rPr>
          <w:color w:val="auto"/>
          <w:kern w:val="24"/>
          <w:sz w:val="24"/>
        </w:rPr>
        <w:t>环境影响因子识别和筛选见下表。</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.3</w:t>
      </w:r>
      <w:r>
        <w:rPr>
          <w:rFonts w:ascii="Times New Roman" w:eastAsia="黑体"/>
          <w:color w:val="auto"/>
          <w:sz w:val="21"/>
        </w:rPr>
        <w:t>-1</w:t>
      </w:r>
      <w:r>
        <w:rPr>
          <w:rFonts w:hint="eastAsia" w:ascii="Times New Roman" w:eastAsia="黑体"/>
          <w:color w:val="auto"/>
          <w:sz w:val="21"/>
        </w:rPr>
        <w:t xml:space="preserve">  </w:t>
      </w:r>
      <w:r>
        <w:rPr>
          <w:rFonts w:ascii="Times New Roman" w:eastAsia="黑体"/>
          <w:color w:val="auto"/>
          <w:sz w:val="21"/>
        </w:rPr>
        <w:t>环境影响识别矩阵</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278"/>
        <w:gridCol w:w="1278"/>
        <w:gridCol w:w="1278"/>
        <w:gridCol w:w="1278"/>
        <w:gridCol w:w="1279"/>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6" w:type="dxa"/>
            <w:gridSpan w:val="2"/>
            <w:vMerge w:val="restart"/>
            <w:shd w:val="clear" w:color="auto" w:fill="auto"/>
            <w:vAlign w:val="center"/>
          </w:tcPr>
          <w:p>
            <w:pPr>
              <w:keepNext w:val="0"/>
              <w:keepLines w:val="0"/>
              <w:suppressLineNumbers w:val="0"/>
              <w:spacing w:before="0" w:beforeAutospacing="0" w:after="0" w:afterAutospacing="0" w:line="300" w:lineRule="exact"/>
              <w:ind w:left="0" w:right="0" w:firstLine="422" w:firstLineChars="200"/>
              <w:jc w:val="center"/>
              <w:rPr>
                <w:rFonts w:hint="default"/>
                <w:b/>
                <w:color w:val="auto"/>
                <w:szCs w:val="21"/>
              </w:rPr>
            </w:pPr>
            <w:r>
              <w:rPr>
                <w:rFonts w:hint="default"/>
                <w:b/>
                <w:color w:val="auto"/>
                <w:szCs w:val="21"/>
              </w:rPr>
              <w:t>施工行为环境要素</w:t>
            </w:r>
          </w:p>
        </w:tc>
        <w:tc>
          <w:tcPr>
            <w:tcW w:w="5113" w:type="dxa"/>
            <w:gridSpan w:val="4"/>
            <w:shd w:val="clear" w:color="auto" w:fill="auto"/>
            <w:vAlign w:val="center"/>
          </w:tcPr>
          <w:p>
            <w:pPr>
              <w:keepNext w:val="0"/>
              <w:keepLines w:val="0"/>
              <w:suppressLineNumbers w:val="0"/>
              <w:spacing w:before="0" w:beforeAutospacing="0" w:after="0" w:afterAutospacing="0" w:line="300" w:lineRule="exact"/>
              <w:ind w:left="0" w:right="0" w:firstLine="422" w:firstLineChars="200"/>
              <w:jc w:val="center"/>
              <w:rPr>
                <w:rFonts w:hint="default"/>
                <w:b/>
                <w:color w:val="auto"/>
                <w:szCs w:val="21"/>
              </w:rPr>
            </w:pPr>
            <w:r>
              <w:rPr>
                <w:rFonts w:hint="default"/>
                <w:b/>
                <w:color w:val="auto"/>
                <w:szCs w:val="21"/>
              </w:rPr>
              <w:t>施工期</w:t>
            </w:r>
          </w:p>
        </w:tc>
        <w:tc>
          <w:tcPr>
            <w:tcW w:w="1279" w:type="dxa"/>
            <w:vMerge w:val="restar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6" w:type="dxa"/>
            <w:gridSpan w:val="2"/>
            <w:vMerge w:val="continue"/>
            <w:shd w:val="clear" w:color="auto" w:fill="auto"/>
            <w:vAlign w:val="center"/>
          </w:tcPr>
          <w:p>
            <w:pPr>
              <w:keepNext w:val="0"/>
              <w:keepLines w:val="0"/>
              <w:suppressLineNumbers w:val="0"/>
              <w:spacing w:before="0" w:beforeAutospacing="0" w:after="0" w:afterAutospacing="0" w:line="300" w:lineRule="exact"/>
              <w:ind w:left="0" w:right="0" w:firstLine="422" w:firstLineChars="200"/>
              <w:jc w:val="center"/>
              <w:rPr>
                <w:rFonts w:hint="default"/>
                <w:b/>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土方开挖</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机械作业</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材料运输</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施工人员</w:t>
            </w:r>
          </w:p>
        </w:tc>
        <w:tc>
          <w:tcPr>
            <w:tcW w:w="1279"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restar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社会环境</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就业、劳务</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经济发展</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城市建设</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土地利用</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交通</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restar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自然环境</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空气质量</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地表水</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声环境</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土壤</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eastAsia" w:eastAsia="宋体"/>
                <w:color w:val="auto"/>
                <w:szCs w:val="21"/>
                <w:lang w:val="en-US" w:eastAsia="zh-CN"/>
              </w:rPr>
            </w:pPr>
            <w:r>
              <w:rPr>
                <w:rFonts w:hint="eastAsia"/>
                <w:color w:val="auto"/>
                <w:szCs w:val="21"/>
                <w:lang w:val="en-US" w:eastAsia="zh-CN"/>
              </w:rPr>
              <w:t>地下水</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shd w:val="clear" w:color="auto" w:fill="auto"/>
            <w:vAlign w:val="center"/>
          </w:tcPr>
          <w:p>
            <w:pPr>
              <w:keepNext w:val="0"/>
              <w:keepLines w:val="0"/>
              <w:suppressLineNumbers w:val="0"/>
              <w:spacing w:before="0" w:beforeAutospacing="0" w:after="0" w:afterAutospacing="0" w:line="300" w:lineRule="exact"/>
              <w:ind w:left="0" w:right="0" w:firstLine="420" w:firstLineChars="200"/>
              <w:jc w:val="center"/>
              <w:rPr>
                <w:rFonts w:hint="default"/>
                <w:color w:val="auto"/>
                <w:szCs w:val="21"/>
              </w:rPr>
            </w:pP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eastAsia" w:eastAsia="宋体"/>
                <w:color w:val="auto"/>
                <w:szCs w:val="21"/>
                <w:lang w:val="en-US" w:eastAsia="zh-CN"/>
              </w:rPr>
            </w:pPr>
            <w:r>
              <w:rPr>
                <w:rFonts w:hint="eastAsia"/>
                <w:color w:val="auto"/>
                <w:szCs w:val="21"/>
                <w:lang w:val="en-US" w:eastAsia="zh-CN"/>
              </w:rPr>
              <w:t>生态</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8"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c>
          <w:tcPr>
            <w:tcW w:w="1279" w:type="dxa"/>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bl>
    <w:p>
      <w:pPr>
        <w:spacing w:line="360" w:lineRule="auto"/>
        <w:ind w:firstLine="480"/>
        <w:rPr>
          <w:color w:val="auto"/>
          <w:kern w:val="24"/>
          <w:szCs w:val="21"/>
        </w:rPr>
      </w:pPr>
      <w:r>
        <w:rPr>
          <w:color w:val="auto"/>
          <w:kern w:val="24"/>
          <w:szCs w:val="21"/>
        </w:rPr>
        <w:t>注：□/○长期/短期影响；涂黑/白：不利/有利影响；空白：无相互作用。</w:t>
      </w:r>
    </w:p>
    <w:p>
      <w:pPr>
        <w:pStyle w:val="180"/>
        <w:rPr>
          <w:rFonts w:hint="default" w:ascii="Times New Roman" w:hAnsi="Times New Roman" w:cs="Times New Roman" w:eastAsiaTheme="majorEastAsia"/>
          <w:b/>
          <w:bCs w:val="0"/>
          <w:color w:val="auto"/>
          <w:sz w:val="24"/>
          <w:szCs w:val="24"/>
        </w:rPr>
      </w:pPr>
      <w:bookmarkStart w:id="99" w:name="_Toc301"/>
      <w:r>
        <w:rPr>
          <w:rFonts w:hint="default" w:ascii="Times New Roman" w:hAnsi="Times New Roman" w:cs="Times New Roman" w:eastAsiaTheme="majorEastAsia"/>
          <w:b/>
          <w:bCs w:val="0"/>
          <w:color w:val="auto"/>
          <w:sz w:val="24"/>
          <w:szCs w:val="24"/>
        </w:rPr>
        <w:t>评价因子</w:t>
      </w:r>
      <w:bookmarkEnd w:id="99"/>
    </w:p>
    <w:p>
      <w:pPr>
        <w:spacing w:line="360" w:lineRule="auto"/>
        <w:ind w:firstLine="480"/>
        <w:rPr>
          <w:color w:val="auto"/>
          <w:sz w:val="24"/>
        </w:rPr>
      </w:pPr>
      <w:r>
        <w:rPr>
          <w:color w:val="auto"/>
          <w:kern w:val="24"/>
          <w:sz w:val="24"/>
        </w:rPr>
        <w:t>根据工程分析，确定本项目的评价因子见</w:t>
      </w:r>
      <w:r>
        <w:rPr>
          <w:rFonts w:hint="eastAsia"/>
          <w:color w:val="auto"/>
          <w:sz w:val="24"/>
          <w:lang w:val="en-US" w:eastAsia="zh-CN"/>
        </w:rPr>
        <w:t>2</w:t>
      </w:r>
      <w:r>
        <w:rPr>
          <w:rFonts w:hint="eastAsia"/>
          <w:color w:val="auto"/>
          <w:sz w:val="24"/>
        </w:rPr>
        <w:t>.3</w:t>
      </w:r>
      <w:r>
        <w:rPr>
          <w:color w:val="auto"/>
          <w:sz w:val="24"/>
        </w:rPr>
        <w:t>-2。</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.3</w:t>
      </w:r>
      <w:r>
        <w:rPr>
          <w:rFonts w:ascii="Times New Roman" w:eastAsia="黑体"/>
          <w:color w:val="auto"/>
          <w:sz w:val="21"/>
        </w:rPr>
        <w:t>-2  环境影响评价因子表</w:t>
      </w:r>
    </w:p>
    <w:tbl>
      <w:tblPr>
        <w:tblStyle w:val="8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6392"/>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评价要素</w:t>
            </w:r>
          </w:p>
        </w:tc>
        <w:tc>
          <w:tcPr>
            <w:tcW w:w="6392" w:type="dxa"/>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现状评价因子</w:t>
            </w:r>
          </w:p>
        </w:tc>
        <w:tc>
          <w:tcPr>
            <w:tcW w:w="1666" w:type="dxa"/>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影响预测因子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大气</w:t>
            </w:r>
          </w:p>
        </w:tc>
        <w:tc>
          <w:tcPr>
            <w:tcW w:w="6392" w:type="dxa"/>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SO</w:t>
            </w:r>
            <w:r>
              <w:rPr>
                <w:rFonts w:hint="default"/>
                <w:color w:val="auto"/>
                <w:szCs w:val="21"/>
                <w:vertAlign w:val="subscript"/>
              </w:rPr>
              <w:t>2</w:t>
            </w:r>
            <w:r>
              <w:rPr>
                <w:rFonts w:hint="default"/>
                <w:color w:val="auto"/>
                <w:szCs w:val="21"/>
              </w:rPr>
              <w:t>、NO</w:t>
            </w:r>
            <w:r>
              <w:rPr>
                <w:rFonts w:hint="default"/>
                <w:color w:val="auto"/>
                <w:szCs w:val="21"/>
                <w:vertAlign w:val="subscript"/>
              </w:rPr>
              <w:t>2</w:t>
            </w:r>
            <w:r>
              <w:rPr>
                <w:rFonts w:hint="default"/>
                <w:color w:val="auto"/>
                <w:szCs w:val="21"/>
              </w:rPr>
              <w:t>、PM</w:t>
            </w:r>
            <w:r>
              <w:rPr>
                <w:rFonts w:hint="default"/>
                <w:color w:val="auto"/>
                <w:szCs w:val="21"/>
                <w:vertAlign w:val="subscript"/>
              </w:rPr>
              <w:t>10</w:t>
            </w:r>
            <w:r>
              <w:rPr>
                <w:rFonts w:hint="default"/>
                <w:color w:val="auto"/>
                <w:szCs w:val="21"/>
              </w:rPr>
              <w:t>、PM</w:t>
            </w:r>
            <w:r>
              <w:rPr>
                <w:rFonts w:hint="default"/>
                <w:color w:val="auto"/>
                <w:szCs w:val="21"/>
                <w:vertAlign w:val="subscript"/>
              </w:rPr>
              <w:t>2.5</w:t>
            </w:r>
            <w:r>
              <w:rPr>
                <w:rFonts w:hint="default"/>
                <w:color w:val="auto"/>
                <w:szCs w:val="21"/>
              </w:rPr>
              <w:t>、CO、O</w:t>
            </w:r>
            <w:r>
              <w:rPr>
                <w:rFonts w:hint="default"/>
                <w:color w:val="auto"/>
                <w:szCs w:val="21"/>
                <w:vertAlign w:val="subscript"/>
              </w:rPr>
              <w:t>3</w:t>
            </w:r>
            <w:r>
              <w:rPr>
                <w:rFonts w:hint="default"/>
                <w:color w:val="auto"/>
                <w:szCs w:val="21"/>
              </w:rPr>
              <w:t>、H</w:t>
            </w:r>
            <w:r>
              <w:rPr>
                <w:rFonts w:hint="default"/>
                <w:color w:val="auto"/>
                <w:szCs w:val="21"/>
                <w:vertAlign w:val="subscript"/>
              </w:rPr>
              <w:t>2</w:t>
            </w:r>
            <w:r>
              <w:rPr>
                <w:rFonts w:hint="default"/>
                <w:color w:val="auto"/>
                <w:szCs w:val="21"/>
              </w:rPr>
              <w:t>S、NH</w:t>
            </w:r>
            <w:r>
              <w:rPr>
                <w:rFonts w:hint="default"/>
                <w:color w:val="auto"/>
                <w:szCs w:val="21"/>
                <w:vertAlign w:val="subscript"/>
              </w:rPr>
              <w:t>3</w:t>
            </w:r>
          </w:p>
        </w:tc>
        <w:tc>
          <w:tcPr>
            <w:tcW w:w="1666" w:type="dxa"/>
            <w:vAlign w:val="center"/>
          </w:tcPr>
          <w:p>
            <w:pPr>
              <w:keepNext w:val="0"/>
              <w:keepLines w:val="0"/>
              <w:suppressLineNumbers w:val="0"/>
              <w:spacing w:before="0" w:beforeAutospacing="0" w:after="0" w:afterAutospacing="0" w:line="300" w:lineRule="exact"/>
              <w:ind w:left="0" w:right="0"/>
              <w:jc w:val="center"/>
              <w:rPr>
                <w:rFonts w:hint="eastAsia" w:eastAsia="宋体"/>
                <w:color w:val="auto"/>
                <w:szCs w:val="21"/>
                <w:lang w:eastAsia="zh-CN"/>
              </w:rPr>
            </w:pPr>
            <w:r>
              <w:rPr>
                <w:rFonts w:hint="default"/>
                <w:color w:val="auto"/>
                <w:szCs w:val="21"/>
              </w:rPr>
              <w:t>H</w:t>
            </w:r>
            <w:r>
              <w:rPr>
                <w:rFonts w:hint="default"/>
                <w:color w:val="auto"/>
                <w:szCs w:val="21"/>
                <w:vertAlign w:val="subscript"/>
              </w:rPr>
              <w:t>2</w:t>
            </w:r>
            <w:r>
              <w:rPr>
                <w:rFonts w:hint="default"/>
                <w:color w:val="auto"/>
                <w:szCs w:val="21"/>
              </w:rPr>
              <w:t>S、NH</w:t>
            </w:r>
            <w:r>
              <w:rPr>
                <w:rFonts w:hint="default"/>
                <w:color w:val="auto"/>
                <w:szCs w:val="21"/>
                <w:vertAlign w:val="subscript"/>
              </w:rPr>
              <w:t>3</w:t>
            </w:r>
            <w:r>
              <w:rPr>
                <w:rFonts w:hint="eastAsia"/>
                <w:color w:val="auto"/>
                <w:szCs w:val="21"/>
                <w:lang w:eastAsia="zh-CN"/>
              </w:rPr>
              <w:t>、</w:t>
            </w:r>
            <w:r>
              <w:rPr>
                <w:rFonts w:hint="eastAsia"/>
                <w:color w:val="auto"/>
                <w:szCs w:val="21"/>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地表水</w:t>
            </w:r>
          </w:p>
        </w:tc>
        <w:tc>
          <w:tcPr>
            <w:tcW w:w="6392" w:type="dxa"/>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PH、水温、氨氮、CODcr、BOD</w:t>
            </w:r>
            <w:r>
              <w:rPr>
                <w:rFonts w:hint="default"/>
                <w:color w:val="auto"/>
                <w:szCs w:val="21"/>
                <w:vertAlign w:val="subscript"/>
              </w:rPr>
              <w:t>5</w:t>
            </w:r>
            <w:r>
              <w:rPr>
                <w:rFonts w:hint="default"/>
                <w:color w:val="auto"/>
                <w:szCs w:val="21"/>
              </w:rPr>
              <w:t>、SS、</w:t>
            </w:r>
            <w:r>
              <w:rPr>
                <w:rFonts w:hint="default"/>
                <w:color w:val="auto"/>
              </w:rPr>
              <w:t>粪大肠菌群</w:t>
            </w:r>
            <w:r>
              <w:rPr>
                <w:rFonts w:hint="default"/>
                <w:color w:val="auto"/>
                <w:szCs w:val="21"/>
              </w:rPr>
              <w:t>、TN、TP共9项</w:t>
            </w:r>
          </w:p>
        </w:tc>
        <w:tc>
          <w:tcPr>
            <w:tcW w:w="1666" w:type="dxa"/>
            <w:vAlign w:val="center"/>
          </w:tcPr>
          <w:p>
            <w:pPr>
              <w:keepNext w:val="0"/>
              <w:keepLines w:val="0"/>
              <w:suppressLineNumbers w:val="0"/>
              <w:spacing w:before="0" w:beforeAutospacing="0" w:after="0" w:afterAutospacing="0" w:line="300" w:lineRule="exact"/>
              <w:ind w:left="0" w:right="0"/>
              <w:jc w:val="center"/>
              <w:rPr>
                <w:rFonts w:hint="default" w:eastAsia="宋体"/>
                <w:color w:val="auto"/>
                <w:szCs w:val="21"/>
                <w:lang w:val="en-US" w:eastAsia="zh-CN"/>
              </w:rPr>
            </w:pPr>
            <w:r>
              <w:rPr>
                <w:rFonts w:hint="default"/>
                <w:color w:val="auto"/>
                <w:szCs w:val="21"/>
              </w:rPr>
              <w:t>废水不外排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地下水</w:t>
            </w:r>
          </w:p>
        </w:tc>
        <w:tc>
          <w:tcPr>
            <w:tcW w:w="6392"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钾、钠、钙、镁、碳酸根、重碳酸根、氯化物、硫酸盐、pH值、氨氮（以N计）、硝酸盐（以N计）、亚硝酸盐（以N计）、挥发性酚类（以苯酚计）、氰化物、总硬度（以CaCO</w:t>
            </w:r>
            <w:r>
              <w:rPr>
                <w:rFonts w:hint="default"/>
                <w:color w:val="auto"/>
                <w:szCs w:val="21"/>
                <w:vertAlign w:val="subscript"/>
              </w:rPr>
              <w:t>3</w:t>
            </w:r>
            <w:r>
              <w:rPr>
                <w:rFonts w:hint="default"/>
                <w:color w:val="auto"/>
                <w:szCs w:val="21"/>
              </w:rPr>
              <w:t>计）、氟化物、溶解性总固体、耗氧量（CODMn法，以O</w:t>
            </w:r>
            <w:r>
              <w:rPr>
                <w:rFonts w:hint="default"/>
                <w:color w:val="auto"/>
                <w:szCs w:val="21"/>
                <w:vertAlign w:val="subscript"/>
              </w:rPr>
              <w:t>2</w:t>
            </w:r>
            <w:r>
              <w:rPr>
                <w:rFonts w:hint="default"/>
                <w:color w:val="auto"/>
                <w:szCs w:val="21"/>
              </w:rPr>
              <w:t>计）、总大肠菌群、菌落总数</w:t>
            </w:r>
            <w:r>
              <w:rPr>
                <w:rFonts w:hint="eastAsia"/>
                <w:color w:val="auto"/>
                <w:szCs w:val="21"/>
                <w:lang w:eastAsia="zh-CN"/>
              </w:rPr>
              <w:t>、</w:t>
            </w:r>
            <w:r>
              <w:rPr>
                <w:rFonts w:hint="eastAsia"/>
                <w:color w:val="auto"/>
                <w:szCs w:val="21"/>
                <w:lang w:val="en-US" w:eastAsia="zh-CN"/>
              </w:rPr>
              <w:t>砷、汞、铬、铅、镉、铁、锰</w:t>
            </w:r>
            <w:r>
              <w:rPr>
                <w:rFonts w:hint="default"/>
                <w:color w:val="auto"/>
                <w:szCs w:val="21"/>
              </w:rPr>
              <w:t>共2</w:t>
            </w:r>
            <w:r>
              <w:rPr>
                <w:rFonts w:hint="eastAsia"/>
                <w:color w:val="auto"/>
                <w:szCs w:val="21"/>
                <w:lang w:val="en-US" w:eastAsia="zh-CN"/>
              </w:rPr>
              <w:t>7</w:t>
            </w:r>
            <w:r>
              <w:rPr>
                <w:rFonts w:hint="default"/>
                <w:color w:val="auto"/>
                <w:szCs w:val="21"/>
              </w:rPr>
              <w:t>项</w:t>
            </w:r>
          </w:p>
        </w:tc>
        <w:tc>
          <w:tcPr>
            <w:tcW w:w="1666"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29"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噪声</w:t>
            </w:r>
          </w:p>
        </w:tc>
        <w:tc>
          <w:tcPr>
            <w:tcW w:w="6392"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等效连续A声级</w:t>
            </w:r>
          </w:p>
        </w:tc>
        <w:tc>
          <w:tcPr>
            <w:tcW w:w="1666"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土壤</w:t>
            </w:r>
          </w:p>
        </w:tc>
        <w:tc>
          <w:tcPr>
            <w:tcW w:w="6392"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rPr>
              <w:t>PH、砷、铅、镉、铬、汞、铜、镍、锌</w:t>
            </w:r>
            <w:r>
              <w:rPr>
                <w:rFonts w:hint="default"/>
                <w:color w:val="auto"/>
                <w:szCs w:val="21"/>
              </w:rPr>
              <w:t>共9项</w:t>
            </w:r>
          </w:p>
        </w:tc>
        <w:tc>
          <w:tcPr>
            <w:tcW w:w="1666"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生态</w:t>
            </w:r>
          </w:p>
        </w:tc>
        <w:tc>
          <w:tcPr>
            <w:tcW w:w="6392"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植物、土壤等</w:t>
            </w:r>
          </w:p>
        </w:tc>
        <w:tc>
          <w:tcPr>
            <w:tcW w:w="1666"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植物、土壤等</w:t>
            </w:r>
          </w:p>
        </w:tc>
      </w:tr>
    </w:tbl>
    <w:p>
      <w:pPr>
        <w:pStyle w:val="6"/>
        <w:keepNext/>
        <w:keepLines/>
        <w:pageBreakBefore w:val="0"/>
        <w:widowControl w:val="0"/>
        <w:kinsoku/>
        <w:wordWrap/>
        <w:overflowPunct/>
        <w:topLinePunct w:val="0"/>
        <w:autoSpaceDE/>
        <w:autoSpaceDN/>
        <w:bidi w:val="0"/>
        <w:adjustRightInd/>
        <w:snapToGrid/>
        <w:spacing w:before="0" w:beforeLines="50" w:after="0" w:line="360" w:lineRule="auto"/>
        <w:textAlignment w:val="auto"/>
        <w:rPr>
          <w:rFonts w:ascii="Times New Roman" w:hAnsi="Times New Roman" w:cs="Times New Roman" w:eastAsiaTheme="majorEastAsia"/>
          <w:bCs/>
          <w:color w:val="auto"/>
          <w:kern w:val="2"/>
          <w:szCs w:val="32"/>
          <w:lang w:val="en-US" w:eastAsia="zh-CN"/>
        </w:rPr>
      </w:pPr>
      <w:bookmarkStart w:id="100" w:name="_Toc370"/>
      <w:bookmarkStart w:id="101" w:name="_Toc30373"/>
      <w:bookmarkStart w:id="102" w:name="_Toc20939"/>
      <w:r>
        <w:rPr>
          <w:rFonts w:ascii="Times New Roman" w:hAnsi="Times New Roman" w:cs="Times New Roman" w:eastAsiaTheme="majorEastAsia"/>
          <w:bCs/>
          <w:color w:val="auto"/>
          <w:kern w:val="2"/>
          <w:szCs w:val="32"/>
          <w:lang w:val="en-US" w:eastAsia="zh-CN"/>
        </w:rPr>
        <w:t>评价标准</w:t>
      </w:r>
      <w:bookmarkEnd w:id="100"/>
      <w:bookmarkEnd w:id="101"/>
      <w:bookmarkEnd w:id="102"/>
    </w:p>
    <w:p>
      <w:pPr>
        <w:pStyle w:val="4"/>
        <w:spacing w:line="360" w:lineRule="auto"/>
        <w:ind w:firstLine="480"/>
        <w:rPr>
          <w:rFonts w:ascii="Times New Roman"/>
          <w:color w:val="auto"/>
          <w:szCs w:val="24"/>
        </w:rPr>
      </w:pPr>
      <w:r>
        <w:rPr>
          <w:rFonts w:ascii="Times New Roman"/>
          <w:color w:val="auto"/>
        </w:rPr>
        <w:t>依据区域地表水环境功能区划、环境空气功能区划，</w:t>
      </w:r>
      <w:r>
        <w:rPr>
          <w:rFonts w:ascii="Times New Roman"/>
          <w:color w:val="auto"/>
          <w:szCs w:val="24"/>
        </w:rPr>
        <w:t>本项目执行如下标准：</w:t>
      </w:r>
    </w:p>
    <w:p>
      <w:pPr>
        <w:pStyle w:val="180"/>
        <w:rPr>
          <w:rFonts w:hint="default" w:ascii="Times New Roman" w:hAnsi="Times New Roman" w:cs="Times New Roman" w:eastAsiaTheme="majorEastAsia"/>
          <w:b/>
          <w:bCs w:val="0"/>
          <w:color w:val="auto"/>
          <w:sz w:val="24"/>
          <w:szCs w:val="24"/>
        </w:rPr>
      </w:pPr>
      <w:bookmarkStart w:id="103" w:name="_Toc242"/>
      <w:r>
        <w:rPr>
          <w:rFonts w:hint="default" w:ascii="Times New Roman" w:hAnsi="Times New Roman" w:cs="Times New Roman" w:eastAsiaTheme="majorEastAsia"/>
          <w:b/>
          <w:bCs w:val="0"/>
          <w:color w:val="auto"/>
          <w:sz w:val="24"/>
          <w:szCs w:val="24"/>
        </w:rPr>
        <w:t>环境质量标准</w:t>
      </w:r>
      <w:bookmarkEnd w:id="103"/>
    </w:p>
    <w:p>
      <w:pPr>
        <w:pStyle w:val="4"/>
        <w:spacing w:line="360" w:lineRule="auto"/>
        <w:ind w:firstLine="480"/>
        <w:jc w:val="both"/>
        <w:rPr>
          <w:rFonts w:ascii="Times New Roman"/>
          <w:color w:val="auto"/>
          <w:szCs w:val="24"/>
        </w:rPr>
      </w:pPr>
      <w:r>
        <w:rPr>
          <w:rFonts w:ascii="Times New Roman"/>
          <w:color w:val="auto"/>
          <w:szCs w:val="24"/>
        </w:rPr>
        <w:t>（1）环境空气</w:t>
      </w:r>
    </w:p>
    <w:p>
      <w:pPr>
        <w:pStyle w:val="4"/>
        <w:spacing w:line="360" w:lineRule="auto"/>
        <w:ind w:firstLine="480"/>
        <w:jc w:val="both"/>
        <w:rPr>
          <w:rFonts w:ascii="Times New Roman"/>
          <w:color w:val="auto"/>
        </w:rPr>
      </w:pPr>
      <w:r>
        <w:rPr>
          <w:rFonts w:ascii="Times New Roman"/>
          <w:color w:val="auto"/>
        </w:rPr>
        <w:t>执行《环境空气质量标准》</w:t>
      </w:r>
      <w:r>
        <w:rPr>
          <w:rFonts w:ascii="Times New Roman" w:eastAsiaTheme="minorEastAsia"/>
          <w:color w:val="auto"/>
          <w:kern w:val="2"/>
          <w:szCs w:val="24"/>
        </w:rPr>
        <w:t>（GB3095-2012）</w:t>
      </w:r>
      <w:r>
        <w:rPr>
          <w:rFonts w:ascii="Times New Roman"/>
          <w:color w:val="auto"/>
        </w:rPr>
        <w:t>中二级标准其修改单（生态环境部[2018]29号公告标准修改单），</w:t>
      </w:r>
      <w:r>
        <w:rPr>
          <w:rFonts w:ascii="Times New Roman" w:eastAsiaTheme="minorEastAsia"/>
          <w:color w:val="auto"/>
          <w:kern w:val="2"/>
          <w:szCs w:val="24"/>
        </w:rPr>
        <w:t>氨、硫化氢执行《环境影响评价技术导则 大气环境》（HJ2.2-2018）中附录D</w:t>
      </w:r>
      <w:r>
        <w:rPr>
          <w:rFonts w:ascii="Times New Roman"/>
          <w:color w:val="auto"/>
        </w:rPr>
        <w:t>，标准值见表</w:t>
      </w:r>
      <w:r>
        <w:rPr>
          <w:rFonts w:hint="eastAsia" w:ascii="Times New Roman" w:eastAsiaTheme="minorEastAsia"/>
          <w:color w:val="auto"/>
          <w:kern w:val="2"/>
          <w:szCs w:val="24"/>
          <w:lang w:val="en-US" w:eastAsia="zh-CN"/>
        </w:rPr>
        <w:t>2</w:t>
      </w:r>
      <w:r>
        <w:rPr>
          <w:rFonts w:hint="eastAsia" w:ascii="Times New Roman" w:eastAsiaTheme="minorEastAsia"/>
          <w:color w:val="auto"/>
          <w:kern w:val="2"/>
          <w:szCs w:val="24"/>
        </w:rPr>
        <w:t>.4</w:t>
      </w:r>
      <w:r>
        <w:rPr>
          <w:rFonts w:ascii="Times New Roman" w:eastAsiaTheme="minorEastAsia"/>
          <w:color w:val="auto"/>
          <w:kern w:val="2"/>
          <w:szCs w:val="24"/>
        </w:rPr>
        <w:t>-</w:t>
      </w:r>
      <w:r>
        <w:rPr>
          <w:rFonts w:hint="eastAsia" w:ascii="Times New Roman" w:eastAsiaTheme="minorEastAsia"/>
          <w:color w:val="auto"/>
          <w:kern w:val="2"/>
          <w:szCs w:val="24"/>
        </w:rPr>
        <w:t>1</w:t>
      </w:r>
      <w:r>
        <w:rPr>
          <w:rFonts w:ascii="Times New Roman"/>
          <w:color w:val="auto"/>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.4</w:t>
      </w:r>
      <w:r>
        <w:rPr>
          <w:rFonts w:ascii="Times New Roman" w:eastAsia="黑体"/>
          <w:color w:val="auto"/>
          <w:sz w:val="21"/>
        </w:rPr>
        <w:t>-</w:t>
      </w:r>
      <w:r>
        <w:rPr>
          <w:rFonts w:hint="eastAsia" w:ascii="Times New Roman" w:eastAsia="黑体"/>
          <w:color w:val="auto"/>
          <w:sz w:val="21"/>
        </w:rPr>
        <w:t>1</w:t>
      </w:r>
      <w:r>
        <w:rPr>
          <w:rFonts w:ascii="Times New Roman" w:eastAsia="黑体"/>
          <w:color w:val="auto"/>
          <w:sz w:val="21"/>
        </w:rPr>
        <w:t xml:space="preserve"> </w:t>
      </w:r>
      <w:r>
        <w:rPr>
          <w:rFonts w:hint="eastAsia" w:ascii="Times New Roman" w:eastAsia="黑体"/>
          <w:color w:val="auto"/>
          <w:sz w:val="21"/>
        </w:rPr>
        <w:t xml:space="preserve"> </w:t>
      </w:r>
      <w:r>
        <w:rPr>
          <w:rFonts w:ascii="Times New Roman" w:eastAsia="黑体"/>
          <w:color w:val="auto"/>
          <w:sz w:val="21"/>
        </w:rPr>
        <w:t>《环境空气质量标准》（GB3095-2012） （μg/m</w:t>
      </w:r>
      <w:r>
        <w:rPr>
          <w:rFonts w:ascii="Times New Roman" w:eastAsia="黑体"/>
          <w:color w:val="auto"/>
          <w:sz w:val="21"/>
          <w:vertAlign w:val="superscript"/>
        </w:rPr>
        <w:t>3</w:t>
      </w:r>
      <w:r>
        <w:rPr>
          <w:rFonts w:ascii="Times New Roman" w:eastAsia="黑体"/>
          <w:color w:val="auto"/>
          <w:sz w:val="21"/>
        </w:rPr>
        <w:t>）</w:t>
      </w:r>
    </w:p>
    <w:tbl>
      <w:tblPr>
        <w:tblStyle w:val="89"/>
        <w:tblW w:w="8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53"/>
        <w:gridCol w:w="954"/>
        <w:gridCol w:w="802"/>
        <w:gridCol w:w="742"/>
        <w:gridCol w:w="802"/>
        <w:gridCol w:w="787"/>
        <w:gridCol w:w="681"/>
        <w:gridCol w:w="923"/>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6" w:type="dxa"/>
            <w:tcBorders>
              <w:top w:val="single" w:color="auto" w:sz="4" w:space="0"/>
              <w:left w:val="single" w:color="auto" w:sz="4" w:space="0"/>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级别</w:t>
            </w:r>
          </w:p>
        </w:tc>
        <w:tc>
          <w:tcPr>
            <w:tcW w:w="1453"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项目</w:t>
            </w:r>
          </w:p>
        </w:tc>
        <w:tc>
          <w:tcPr>
            <w:tcW w:w="954"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PM</w:t>
            </w:r>
            <w:r>
              <w:rPr>
                <w:rFonts w:hint="default" w:ascii="Times New Roman" w:eastAsiaTheme="minorEastAsia"/>
                <w:color w:val="auto"/>
                <w:kern w:val="2"/>
                <w:sz w:val="21"/>
                <w:szCs w:val="21"/>
                <w:vertAlign w:val="subscript"/>
              </w:rPr>
              <w:t>10</w:t>
            </w:r>
          </w:p>
        </w:tc>
        <w:tc>
          <w:tcPr>
            <w:tcW w:w="80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PM</w:t>
            </w:r>
            <w:r>
              <w:rPr>
                <w:rFonts w:hint="default" w:ascii="Times New Roman" w:eastAsiaTheme="minorEastAsia"/>
                <w:color w:val="auto"/>
                <w:kern w:val="2"/>
                <w:sz w:val="21"/>
                <w:szCs w:val="21"/>
                <w:vertAlign w:val="subscript"/>
              </w:rPr>
              <w:t>2.5</w:t>
            </w:r>
          </w:p>
        </w:tc>
        <w:tc>
          <w:tcPr>
            <w:tcW w:w="74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CO</w:t>
            </w:r>
          </w:p>
        </w:tc>
        <w:tc>
          <w:tcPr>
            <w:tcW w:w="80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SO</w:t>
            </w:r>
            <w:r>
              <w:rPr>
                <w:rFonts w:hint="default" w:ascii="Times New Roman" w:eastAsiaTheme="minorEastAsia"/>
                <w:color w:val="auto"/>
                <w:kern w:val="2"/>
                <w:sz w:val="21"/>
                <w:szCs w:val="21"/>
                <w:vertAlign w:val="subscript"/>
              </w:rPr>
              <w:t>2</w:t>
            </w:r>
          </w:p>
        </w:tc>
        <w:tc>
          <w:tcPr>
            <w:tcW w:w="787"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NO</w:t>
            </w:r>
            <w:r>
              <w:rPr>
                <w:rFonts w:hint="default" w:ascii="Times New Roman" w:eastAsiaTheme="minorEastAsia"/>
                <w:color w:val="auto"/>
                <w:kern w:val="2"/>
                <w:sz w:val="21"/>
                <w:szCs w:val="21"/>
                <w:vertAlign w:val="subscript"/>
              </w:rPr>
              <w:t>2</w:t>
            </w:r>
          </w:p>
        </w:tc>
        <w:tc>
          <w:tcPr>
            <w:tcW w:w="681"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氨</w:t>
            </w:r>
          </w:p>
        </w:tc>
        <w:tc>
          <w:tcPr>
            <w:tcW w:w="923"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硫化氢</w:t>
            </w:r>
          </w:p>
        </w:tc>
        <w:tc>
          <w:tcPr>
            <w:tcW w:w="1135"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6" w:type="dxa"/>
            <w:vMerge w:val="restart"/>
            <w:tcBorders>
              <w:top w:val="nil"/>
              <w:left w:val="single" w:color="auto" w:sz="4" w:space="0"/>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二级</w:t>
            </w:r>
          </w:p>
        </w:tc>
        <w:tc>
          <w:tcPr>
            <w:tcW w:w="1453"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1小时平均</w:t>
            </w:r>
          </w:p>
        </w:tc>
        <w:tc>
          <w:tcPr>
            <w:tcW w:w="954"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c>
          <w:tcPr>
            <w:tcW w:w="80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c>
          <w:tcPr>
            <w:tcW w:w="74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10</w:t>
            </w:r>
          </w:p>
        </w:tc>
        <w:tc>
          <w:tcPr>
            <w:tcW w:w="80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500</w:t>
            </w:r>
          </w:p>
        </w:tc>
        <w:tc>
          <w:tcPr>
            <w:tcW w:w="787"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200</w:t>
            </w:r>
          </w:p>
        </w:tc>
        <w:tc>
          <w:tcPr>
            <w:tcW w:w="681"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200</w:t>
            </w:r>
          </w:p>
        </w:tc>
        <w:tc>
          <w:tcPr>
            <w:tcW w:w="923"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10</w:t>
            </w:r>
          </w:p>
        </w:tc>
        <w:tc>
          <w:tcPr>
            <w:tcW w:w="1135"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eastAsiaTheme="minorEastAsia"/>
                <w:color w:val="auto"/>
                <w:szCs w:val="21"/>
              </w:rPr>
            </w:pPr>
          </w:p>
        </w:tc>
        <w:tc>
          <w:tcPr>
            <w:tcW w:w="1453"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24小时平均</w:t>
            </w:r>
          </w:p>
        </w:tc>
        <w:tc>
          <w:tcPr>
            <w:tcW w:w="954"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150</w:t>
            </w:r>
          </w:p>
        </w:tc>
        <w:tc>
          <w:tcPr>
            <w:tcW w:w="80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75</w:t>
            </w:r>
          </w:p>
        </w:tc>
        <w:tc>
          <w:tcPr>
            <w:tcW w:w="74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4</w:t>
            </w:r>
          </w:p>
        </w:tc>
        <w:tc>
          <w:tcPr>
            <w:tcW w:w="80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150</w:t>
            </w:r>
          </w:p>
        </w:tc>
        <w:tc>
          <w:tcPr>
            <w:tcW w:w="787"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80</w:t>
            </w:r>
          </w:p>
        </w:tc>
        <w:tc>
          <w:tcPr>
            <w:tcW w:w="681"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c>
          <w:tcPr>
            <w:tcW w:w="923"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c>
          <w:tcPr>
            <w:tcW w:w="1135"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6"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eastAsiaTheme="minorEastAsia"/>
                <w:color w:val="auto"/>
                <w:szCs w:val="21"/>
              </w:rPr>
            </w:pPr>
          </w:p>
        </w:tc>
        <w:tc>
          <w:tcPr>
            <w:tcW w:w="1453"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年平均</w:t>
            </w:r>
          </w:p>
        </w:tc>
        <w:tc>
          <w:tcPr>
            <w:tcW w:w="954"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70</w:t>
            </w:r>
          </w:p>
        </w:tc>
        <w:tc>
          <w:tcPr>
            <w:tcW w:w="80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35</w:t>
            </w:r>
          </w:p>
        </w:tc>
        <w:tc>
          <w:tcPr>
            <w:tcW w:w="74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c>
          <w:tcPr>
            <w:tcW w:w="802"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60</w:t>
            </w:r>
          </w:p>
        </w:tc>
        <w:tc>
          <w:tcPr>
            <w:tcW w:w="787"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40</w:t>
            </w:r>
          </w:p>
        </w:tc>
        <w:tc>
          <w:tcPr>
            <w:tcW w:w="681"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c>
          <w:tcPr>
            <w:tcW w:w="923"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c>
          <w:tcPr>
            <w:tcW w:w="1135"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200</w:t>
            </w:r>
          </w:p>
        </w:tc>
      </w:tr>
    </w:tbl>
    <w:p>
      <w:pPr>
        <w:pStyle w:val="4"/>
        <w:spacing w:before="120" w:beforeLines="50" w:line="360" w:lineRule="auto"/>
        <w:ind w:firstLine="482"/>
        <w:jc w:val="both"/>
        <w:rPr>
          <w:rFonts w:ascii="Times New Roman"/>
          <w:color w:val="auto"/>
          <w:szCs w:val="24"/>
        </w:rPr>
      </w:pPr>
      <w:r>
        <w:rPr>
          <w:rFonts w:ascii="Times New Roman"/>
          <w:color w:val="auto"/>
          <w:szCs w:val="24"/>
        </w:rPr>
        <w:t>（2）地表水</w:t>
      </w:r>
    </w:p>
    <w:p>
      <w:pPr>
        <w:pStyle w:val="4"/>
        <w:spacing w:line="360" w:lineRule="auto"/>
        <w:ind w:firstLine="480"/>
        <w:jc w:val="both"/>
        <w:rPr>
          <w:rFonts w:ascii="Times New Roman"/>
          <w:color w:val="auto"/>
          <w:szCs w:val="24"/>
        </w:rPr>
      </w:pPr>
      <w:r>
        <w:rPr>
          <w:rFonts w:ascii="Times New Roman"/>
          <w:color w:val="auto"/>
          <w:szCs w:val="24"/>
        </w:rPr>
        <w:t>执行《地表水环境质量标准》（GB3838-2002）Ⅲ类标准，标准值见表</w:t>
      </w:r>
      <w:r>
        <w:rPr>
          <w:rFonts w:hint="eastAsia" w:ascii="Times New Roman"/>
          <w:color w:val="auto"/>
          <w:szCs w:val="24"/>
          <w:lang w:val="en-US" w:eastAsia="zh-CN"/>
        </w:rPr>
        <w:t>2</w:t>
      </w:r>
      <w:r>
        <w:rPr>
          <w:rFonts w:hint="eastAsia" w:ascii="Times New Roman"/>
          <w:color w:val="auto"/>
          <w:szCs w:val="24"/>
        </w:rPr>
        <w:t>.4</w:t>
      </w:r>
      <w:r>
        <w:rPr>
          <w:rFonts w:ascii="Times New Roman"/>
          <w:color w:val="auto"/>
          <w:szCs w:val="24"/>
        </w:rPr>
        <w:t>-</w:t>
      </w:r>
      <w:r>
        <w:rPr>
          <w:rFonts w:hint="eastAsia" w:ascii="Times New Roman"/>
          <w:color w:val="auto"/>
          <w:szCs w:val="24"/>
        </w:rPr>
        <w:t>2</w:t>
      </w:r>
      <w:r>
        <w:rPr>
          <w:rFonts w:ascii="Times New Roman"/>
          <w:color w:val="auto"/>
          <w:szCs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.4</w:t>
      </w:r>
      <w:r>
        <w:rPr>
          <w:rFonts w:ascii="Times New Roman" w:eastAsia="黑体"/>
          <w:color w:val="auto"/>
          <w:sz w:val="21"/>
        </w:rPr>
        <w:t>-</w:t>
      </w:r>
      <w:r>
        <w:rPr>
          <w:rFonts w:hint="eastAsia" w:ascii="Times New Roman" w:eastAsia="黑体"/>
          <w:color w:val="auto"/>
          <w:sz w:val="21"/>
        </w:rPr>
        <w:t>2</w:t>
      </w:r>
      <w:r>
        <w:rPr>
          <w:rFonts w:ascii="Times New Roman" w:eastAsia="黑体"/>
          <w:color w:val="auto"/>
          <w:sz w:val="21"/>
        </w:rPr>
        <w:t xml:space="preserve"> </w:t>
      </w:r>
      <w:r>
        <w:rPr>
          <w:rFonts w:hint="eastAsia" w:ascii="Times New Roman" w:eastAsia="黑体"/>
          <w:color w:val="auto"/>
          <w:sz w:val="21"/>
        </w:rPr>
        <w:t xml:space="preserve"> </w:t>
      </w:r>
      <w:r>
        <w:rPr>
          <w:rFonts w:ascii="Times New Roman" w:eastAsia="黑体"/>
          <w:color w:val="auto"/>
          <w:sz w:val="21"/>
        </w:rPr>
        <w:t>《地表水环境质量标准》（GB3838-2002） （mg/L，pH无量纲）</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133"/>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序号</w:t>
            </w:r>
          </w:p>
        </w:tc>
        <w:tc>
          <w:tcPr>
            <w:tcW w:w="213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项目</w:t>
            </w:r>
          </w:p>
        </w:tc>
        <w:tc>
          <w:tcPr>
            <w:tcW w:w="6072" w:type="dxa"/>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《地表水环境质量标准》（GB3838-2002）Ⅲ类标准限值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w:t>
            </w:r>
          </w:p>
        </w:tc>
        <w:tc>
          <w:tcPr>
            <w:tcW w:w="213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pH</w:t>
            </w:r>
          </w:p>
        </w:tc>
        <w:tc>
          <w:tcPr>
            <w:tcW w:w="6072"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2</w:t>
            </w:r>
          </w:p>
        </w:tc>
        <w:tc>
          <w:tcPr>
            <w:tcW w:w="213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水温</w:t>
            </w:r>
          </w:p>
        </w:tc>
        <w:tc>
          <w:tcPr>
            <w:tcW w:w="6072"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3</w:t>
            </w:r>
          </w:p>
        </w:tc>
        <w:tc>
          <w:tcPr>
            <w:tcW w:w="213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br w:type="page"/>
            </w:r>
            <w:r>
              <w:rPr>
                <w:rFonts w:hint="default" w:ascii="Times New Roman" w:eastAsiaTheme="minorEastAsia"/>
                <w:color w:val="auto"/>
                <w:kern w:val="2"/>
                <w:sz w:val="21"/>
                <w:szCs w:val="21"/>
              </w:rPr>
              <w:t>五日生化需氧量</w:t>
            </w:r>
          </w:p>
        </w:tc>
        <w:tc>
          <w:tcPr>
            <w:tcW w:w="6072"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4</w:t>
            </w:r>
          </w:p>
        </w:tc>
        <w:tc>
          <w:tcPr>
            <w:tcW w:w="213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SS</w:t>
            </w:r>
          </w:p>
        </w:tc>
        <w:tc>
          <w:tcPr>
            <w:tcW w:w="6072"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6</w:t>
            </w:r>
          </w:p>
        </w:tc>
        <w:tc>
          <w:tcPr>
            <w:tcW w:w="213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氨氮</w:t>
            </w:r>
          </w:p>
        </w:tc>
        <w:tc>
          <w:tcPr>
            <w:tcW w:w="6072"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7</w:t>
            </w:r>
          </w:p>
        </w:tc>
        <w:tc>
          <w:tcPr>
            <w:tcW w:w="213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总磷（以P计）</w:t>
            </w:r>
          </w:p>
        </w:tc>
        <w:tc>
          <w:tcPr>
            <w:tcW w:w="6072"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8</w:t>
            </w:r>
          </w:p>
        </w:tc>
        <w:tc>
          <w:tcPr>
            <w:tcW w:w="213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化学需氧量</w:t>
            </w:r>
          </w:p>
        </w:tc>
        <w:tc>
          <w:tcPr>
            <w:tcW w:w="6072"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20</w:t>
            </w:r>
          </w:p>
        </w:tc>
      </w:tr>
    </w:tbl>
    <w:p>
      <w:pPr>
        <w:pStyle w:val="4"/>
        <w:spacing w:before="120" w:beforeLines="50" w:line="360" w:lineRule="auto"/>
        <w:ind w:firstLine="482"/>
        <w:jc w:val="both"/>
        <w:rPr>
          <w:rFonts w:ascii="Times New Roman"/>
          <w:color w:val="auto"/>
          <w:szCs w:val="24"/>
        </w:rPr>
      </w:pPr>
      <w:r>
        <w:rPr>
          <w:rFonts w:ascii="Times New Roman"/>
          <w:color w:val="auto"/>
          <w:szCs w:val="24"/>
        </w:rPr>
        <w:t>（3）地下水</w:t>
      </w:r>
    </w:p>
    <w:p>
      <w:pPr>
        <w:pStyle w:val="4"/>
        <w:spacing w:line="360" w:lineRule="auto"/>
        <w:ind w:firstLine="480"/>
        <w:jc w:val="both"/>
        <w:rPr>
          <w:rFonts w:ascii="Times New Roman"/>
          <w:color w:val="auto"/>
          <w:szCs w:val="24"/>
        </w:rPr>
      </w:pPr>
      <w:r>
        <w:rPr>
          <w:rFonts w:ascii="Times New Roman"/>
          <w:color w:val="auto"/>
          <w:szCs w:val="24"/>
        </w:rPr>
        <w:t>执行《地下水质量标准》（GB14848-2017）中的Ⅲ类标准，标准值见表</w:t>
      </w:r>
      <w:r>
        <w:rPr>
          <w:rFonts w:hint="eastAsia" w:ascii="Times New Roman"/>
          <w:color w:val="auto"/>
          <w:szCs w:val="24"/>
          <w:lang w:val="en-US" w:eastAsia="zh-CN"/>
        </w:rPr>
        <w:t>2</w:t>
      </w:r>
      <w:r>
        <w:rPr>
          <w:rFonts w:hint="eastAsia" w:ascii="Times New Roman"/>
          <w:color w:val="auto"/>
          <w:szCs w:val="24"/>
        </w:rPr>
        <w:t>.4</w:t>
      </w:r>
      <w:r>
        <w:rPr>
          <w:rFonts w:ascii="Times New Roman"/>
          <w:color w:val="auto"/>
          <w:szCs w:val="24"/>
        </w:rPr>
        <w:t>-</w:t>
      </w:r>
      <w:r>
        <w:rPr>
          <w:rFonts w:hint="eastAsia" w:ascii="Times New Roman"/>
          <w:color w:val="auto"/>
          <w:szCs w:val="24"/>
        </w:rPr>
        <w:t>3</w:t>
      </w:r>
      <w:r>
        <w:rPr>
          <w:rFonts w:ascii="Times New Roman"/>
          <w:color w:val="auto"/>
          <w:szCs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.4</w:t>
      </w:r>
      <w:r>
        <w:rPr>
          <w:rFonts w:ascii="Times New Roman" w:eastAsia="黑体"/>
          <w:color w:val="auto"/>
          <w:sz w:val="21"/>
        </w:rPr>
        <w:t>-</w:t>
      </w:r>
      <w:r>
        <w:rPr>
          <w:rFonts w:hint="eastAsia" w:ascii="Times New Roman" w:eastAsia="黑体"/>
          <w:color w:val="auto"/>
          <w:sz w:val="21"/>
        </w:rPr>
        <w:t>3</w:t>
      </w:r>
      <w:r>
        <w:rPr>
          <w:rFonts w:ascii="Times New Roman" w:eastAsia="黑体"/>
          <w:color w:val="auto"/>
          <w:sz w:val="21"/>
        </w:rPr>
        <w:t xml:space="preserve"> </w:t>
      </w:r>
      <w:r>
        <w:rPr>
          <w:rFonts w:hint="eastAsia" w:ascii="Times New Roman" w:eastAsia="黑体"/>
          <w:color w:val="auto"/>
          <w:sz w:val="21"/>
        </w:rPr>
        <w:t xml:space="preserve"> </w:t>
      </w:r>
      <w:r>
        <w:rPr>
          <w:rFonts w:ascii="Times New Roman" w:eastAsia="黑体"/>
          <w:color w:val="auto"/>
          <w:sz w:val="21"/>
        </w:rPr>
        <w:t>《地下水质量标准》（GB14848-2017） （mg/L，pH无量纲）</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296"/>
        <w:gridCol w:w="5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b/>
                <w:color w:val="auto"/>
                <w:sz w:val="21"/>
                <w:szCs w:val="21"/>
              </w:rPr>
            </w:pPr>
            <w:r>
              <w:rPr>
                <w:rFonts w:hint="default" w:ascii="Times New Roman"/>
                <w:b/>
                <w:color w:val="auto"/>
                <w:sz w:val="21"/>
                <w:szCs w:val="21"/>
              </w:rPr>
              <w:t>序号</w:t>
            </w:r>
          </w:p>
        </w:tc>
        <w:tc>
          <w:tcPr>
            <w:tcW w:w="2296"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b/>
                <w:color w:val="auto"/>
                <w:sz w:val="21"/>
                <w:szCs w:val="21"/>
              </w:rPr>
            </w:pPr>
            <w:r>
              <w:rPr>
                <w:rFonts w:hint="default" w:ascii="Times New Roman"/>
                <w:b/>
                <w:color w:val="auto"/>
                <w:sz w:val="21"/>
                <w:szCs w:val="21"/>
              </w:rPr>
              <w:t>项目</w:t>
            </w:r>
          </w:p>
        </w:tc>
        <w:tc>
          <w:tcPr>
            <w:tcW w:w="5959" w:type="dxa"/>
          </w:tcPr>
          <w:p>
            <w:pPr>
              <w:pStyle w:val="155"/>
              <w:keepNext w:val="0"/>
              <w:keepLines w:val="0"/>
              <w:suppressLineNumbers w:val="0"/>
              <w:spacing w:before="0" w:beforeAutospacing="0" w:after="0" w:afterAutospacing="0" w:line="280" w:lineRule="exact"/>
              <w:ind w:left="0" w:right="0"/>
              <w:jc w:val="center"/>
              <w:rPr>
                <w:rFonts w:hint="default" w:ascii="Times New Roman"/>
                <w:b/>
                <w:color w:val="auto"/>
                <w:sz w:val="21"/>
                <w:szCs w:val="21"/>
              </w:rPr>
            </w:pPr>
            <w:r>
              <w:rPr>
                <w:rFonts w:hint="default" w:ascii="Times New Roman"/>
                <w:b/>
                <w:color w:val="auto"/>
                <w:sz w:val="21"/>
                <w:szCs w:val="21"/>
              </w:rPr>
              <w:t>《地下水质量标准》（GB14848-2017）中的Ⅲ类标准限值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1</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pH</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2</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耗氧量（CODMn法，以O</w:t>
            </w:r>
            <w:r>
              <w:rPr>
                <w:rFonts w:hint="eastAsia" w:ascii="Times New Roman"/>
                <w:color w:val="auto"/>
                <w:sz w:val="21"/>
                <w:szCs w:val="21"/>
                <w:vertAlign w:val="subscript"/>
              </w:rPr>
              <w:t>2</w:t>
            </w:r>
            <w:r>
              <w:rPr>
                <w:rFonts w:hint="eastAsia" w:ascii="Times New Roman"/>
                <w:color w:val="auto"/>
                <w:sz w:val="21"/>
                <w:szCs w:val="21"/>
              </w:rPr>
              <w:t>计）</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3</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溶解性总固体</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4</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氟化物</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5</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总硬度（以CaCO</w:t>
            </w:r>
            <w:r>
              <w:rPr>
                <w:rFonts w:hint="eastAsia" w:ascii="Times New Roman"/>
                <w:color w:val="auto"/>
                <w:sz w:val="21"/>
                <w:szCs w:val="21"/>
                <w:vertAlign w:val="subscript"/>
              </w:rPr>
              <w:t>3</w:t>
            </w:r>
            <w:r>
              <w:rPr>
                <w:rFonts w:hint="eastAsia" w:ascii="Times New Roman"/>
                <w:color w:val="auto"/>
                <w:sz w:val="21"/>
                <w:szCs w:val="21"/>
              </w:rPr>
              <w:t>计）</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6</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氰化物</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7</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挥发性酚类（以苯酚计）</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8</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亚硝酸盐（以N计）</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9</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硝酸盐（以N计）</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10</w:t>
            </w:r>
          </w:p>
        </w:tc>
        <w:tc>
          <w:tcPr>
            <w:tcW w:w="2296" w:type="dxa"/>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rPr>
              <w:t>氨氮（以N计）</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11</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硫酸盐</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12</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氯化物</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13</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总大肠菌群</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3.0MPN</w:t>
            </w:r>
            <w:r>
              <w:rPr>
                <w:rFonts w:hint="default" w:ascii="Times New Roman" w:eastAsiaTheme="minorEastAsia"/>
                <w:color w:val="auto"/>
                <w:kern w:val="2"/>
                <w:sz w:val="21"/>
                <w:szCs w:val="21"/>
                <w:vertAlign w:val="superscript"/>
              </w:rPr>
              <w:t>b</w:t>
            </w:r>
            <w:r>
              <w:rPr>
                <w:rFonts w:hint="default" w:ascii="Times New Roman" w:eastAsiaTheme="minorEastAsia"/>
                <w:color w:val="auto"/>
                <w:kern w:val="2"/>
                <w:sz w:val="21"/>
                <w:szCs w:val="21"/>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14</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highlight w:val="yellow"/>
              </w:rPr>
            </w:pPr>
            <w:r>
              <w:rPr>
                <w:rFonts w:hint="eastAsia" w:ascii="Times New Roman"/>
                <w:color w:val="auto"/>
                <w:sz w:val="21"/>
                <w:szCs w:val="21"/>
              </w:rPr>
              <w:t>钠</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default" w:ascii="Times New Roman"/>
                <w:color w:val="auto"/>
                <w:sz w:val="21"/>
                <w:szCs w:val="21"/>
              </w:rPr>
              <w:t>15</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菌落总数</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default" w:ascii="Times New Roman" w:eastAsiaTheme="minorEastAsia"/>
                <w:color w:val="auto"/>
                <w:kern w:val="2"/>
                <w:sz w:val="21"/>
                <w:szCs w:val="21"/>
              </w:rPr>
              <w:t>100CFU/mL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eastAsia" w:ascii="Times New Roman"/>
                <w:color w:val="auto"/>
                <w:sz w:val="21"/>
                <w:szCs w:val="21"/>
              </w:rPr>
              <w:t>16</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K</w:t>
            </w:r>
            <w:r>
              <w:rPr>
                <w:rFonts w:hint="eastAsia" w:ascii="Times New Roman"/>
                <w:color w:val="auto"/>
                <w:sz w:val="21"/>
                <w:szCs w:val="21"/>
                <w:vertAlign w:val="superscript"/>
              </w:rPr>
              <w:t>+</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eastAsia" w:ascii="Times New Roman"/>
                <w:color w:val="auto"/>
                <w:sz w:val="21"/>
                <w:szCs w:val="21"/>
              </w:rPr>
              <w:t>17</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Ca</w:t>
            </w:r>
            <w:r>
              <w:rPr>
                <w:rFonts w:hint="eastAsia" w:ascii="Times New Roman"/>
                <w:color w:val="auto"/>
                <w:sz w:val="21"/>
                <w:szCs w:val="21"/>
                <w:vertAlign w:val="superscript"/>
              </w:rPr>
              <w:t>2+</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eastAsia" w:ascii="Times New Roman"/>
                <w:color w:val="auto"/>
                <w:sz w:val="21"/>
                <w:szCs w:val="21"/>
              </w:rPr>
              <w:t>18</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Mg</w:t>
            </w:r>
            <w:r>
              <w:rPr>
                <w:rFonts w:hint="eastAsia" w:ascii="Times New Roman"/>
                <w:color w:val="auto"/>
                <w:sz w:val="21"/>
                <w:szCs w:val="21"/>
                <w:vertAlign w:val="superscript"/>
              </w:rPr>
              <w:t>2+</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eastAsia" w:ascii="Times New Roman"/>
                <w:color w:val="auto"/>
                <w:sz w:val="21"/>
                <w:szCs w:val="21"/>
              </w:rPr>
              <w:t>19</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CO</w:t>
            </w:r>
            <w:r>
              <w:rPr>
                <w:rFonts w:hint="eastAsia" w:ascii="Times New Roman"/>
                <w:color w:val="auto"/>
                <w:sz w:val="21"/>
                <w:szCs w:val="21"/>
                <w:vertAlign w:val="subscript"/>
              </w:rPr>
              <w:t>3</w:t>
            </w:r>
            <w:r>
              <w:rPr>
                <w:rFonts w:hint="eastAsia" w:ascii="Times New Roman"/>
                <w:color w:val="auto"/>
                <w:sz w:val="21"/>
                <w:szCs w:val="21"/>
                <w:vertAlign w:val="superscript"/>
              </w:rPr>
              <w:t>2-</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55"/>
              <w:keepNext w:val="0"/>
              <w:keepLines w:val="0"/>
              <w:suppressLineNumbers w:val="0"/>
              <w:spacing w:before="0" w:beforeAutospacing="0" w:after="0" w:afterAutospacing="0" w:line="280" w:lineRule="exact"/>
              <w:ind w:left="0" w:right="0"/>
              <w:jc w:val="center"/>
              <w:rPr>
                <w:rFonts w:hint="default" w:ascii="Times New Roman"/>
                <w:color w:val="auto"/>
                <w:sz w:val="21"/>
                <w:szCs w:val="21"/>
              </w:rPr>
            </w:pPr>
            <w:r>
              <w:rPr>
                <w:rFonts w:hint="eastAsia" w:ascii="Times New Roman"/>
                <w:color w:val="auto"/>
                <w:sz w:val="21"/>
                <w:szCs w:val="21"/>
              </w:rPr>
              <w:t>20</w:t>
            </w:r>
          </w:p>
        </w:tc>
        <w:tc>
          <w:tcPr>
            <w:tcW w:w="2296"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rPr>
              <w:t>HCO</w:t>
            </w:r>
            <w:r>
              <w:rPr>
                <w:rFonts w:hint="eastAsia" w:ascii="Times New Roman"/>
                <w:color w:val="auto"/>
                <w:sz w:val="21"/>
                <w:szCs w:val="21"/>
                <w:vertAlign w:val="superscript"/>
              </w:rPr>
              <w:t>3-</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rPr>
            </w:pPr>
            <w:r>
              <w:rPr>
                <w:rFonts w:hint="eastAsia" w:ascii="Times New Roman" w:eastAsiaTheme="minorEastAsia"/>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21</w:t>
            </w:r>
          </w:p>
        </w:tc>
        <w:tc>
          <w:tcPr>
            <w:tcW w:w="2296"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砷</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93"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22</w:t>
            </w:r>
          </w:p>
        </w:tc>
        <w:tc>
          <w:tcPr>
            <w:tcW w:w="2296"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汞</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23</w:t>
            </w:r>
          </w:p>
        </w:tc>
        <w:tc>
          <w:tcPr>
            <w:tcW w:w="2296"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铬</w:t>
            </w:r>
            <w:r>
              <w:rPr>
                <w:rFonts w:hint="eastAsia" w:ascii="Times New Roman" w:cs="Times New Roman"/>
                <w:color w:val="auto"/>
                <w:sz w:val="21"/>
                <w:szCs w:val="21"/>
                <w:lang w:val="en-US" w:eastAsia="zh-CN"/>
              </w:rPr>
              <w:t>（六价）</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rPr>
            </w:pPr>
            <w:r>
              <w:rPr>
                <w:rFonts w:hint="eastAsia" w:ascii="Times New Roman" w:eastAsiaTheme="minorEastAsia"/>
                <w:color w:val="auto"/>
                <w:kern w:val="2"/>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24</w:t>
            </w:r>
          </w:p>
        </w:tc>
        <w:tc>
          <w:tcPr>
            <w:tcW w:w="2296"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铅</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25</w:t>
            </w:r>
          </w:p>
        </w:tc>
        <w:tc>
          <w:tcPr>
            <w:tcW w:w="2296"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镉</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26</w:t>
            </w:r>
          </w:p>
        </w:tc>
        <w:tc>
          <w:tcPr>
            <w:tcW w:w="2296" w:type="dxa"/>
            <w:vAlign w:val="center"/>
          </w:tcPr>
          <w:p>
            <w:pPr>
              <w:pStyle w:val="155"/>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锰</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2296"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铁</w:t>
            </w:r>
          </w:p>
        </w:tc>
        <w:tc>
          <w:tcPr>
            <w:tcW w:w="5959" w:type="dxa"/>
            <w:vAlign w:val="center"/>
          </w:tcPr>
          <w:p>
            <w:pPr>
              <w:pStyle w:val="155"/>
              <w:keepNext w:val="0"/>
              <w:keepLines w:val="0"/>
              <w:suppressLineNumbers w:val="0"/>
              <w:spacing w:before="0" w:beforeAutospacing="0" w:after="0" w:afterAutospacing="0" w:line="280" w:lineRule="exact"/>
              <w:ind w:left="0" w:right="0"/>
              <w:jc w:val="center"/>
              <w:rPr>
                <w:rFonts w:hint="default" w:ascii="Times New Roman" w:eastAsiaTheme="minorEastAsia"/>
                <w:color w:val="auto"/>
                <w:kern w:val="2"/>
                <w:sz w:val="21"/>
                <w:szCs w:val="21"/>
                <w:lang w:val="en-US" w:eastAsia="zh-CN"/>
              </w:rPr>
            </w:pPr>
            <w:r>
              <w:rPr>
                <w:rFonts w:hint="eastAsia" w:ascii="Times New Roman" w:eastAsiaTheme="minorEastAsia"/>
                <w:color w:val="auto"/>
                <w:kern w:val="2"/>
                <w:sz w:val="21"/>
                <w:szCs w:val="21"/>
                <w:lang w:val="en-US" w:eastAsia="zh-CN"/>
              </w:rPr>
              <w:t>0.3</w:t>
            </w:r>
          </w:p>
        </w:tc>
      </w:tr>
    </w:tbl>
    <w:p>
      <w:pPr>
        <w:pStyle w:val="4"/>
        <w:spacing w:before="120" w:beforeLines="50" w:line="360" w:lineRule="auto"/>
        <w:ind w:firstLine="482"/>
        <w:jc w:val="both"/>
        <w:rPr>
          <w:rFonts w:ascii="Times New Roman"/>
          <w:color w:val="auto"/>
          <w:szCs w:val="24"/>
        </w:rPr>
      </w:pPr>
      <w:r>
        <w:rPr>
          <w:rFonts w:ascii="Times New Roman"/>
          <w:color w:val="auto"/>
          <w:szCs w:val="24"/>
        </w:rPr>
        <w:t>（4）声环境</w:t>
      </w:r>
    </w:p>
    <w:p>
      <w:pPr>
        <w:pStyle w:val="4"/>
        <w:spacing w:line="360" w:lineRule="auto"/>
        <w:ind w:firstLine="480"/>
        <w:jc w:val="both"/>
        <w:rPr>
          <w:rFonts w:ascii="Times New Roman"/>
          <w:color w:val="auto"/>
          <w:szCs w:val="24"/>
        </w:rPr>
      </w:pPr>
      <w:r>
        <w:rPr>
          <w:rFonts w:ascii="Times New Roman"/>
          <w:color w:val="auto"/>
          <w:szCs w:val="24"/>
        </w:rPr>
        <w:t>执行《声环境质量标准》（GB3096-2008）中的2类标准限值要求，标准值见表</w:t>
      </w:r>
      <w:r>
        <w:rPr>
          <w:rFonts w:hint="eastAsia" w:ascii="Times New Roman"/>
          <w:color w:val="auto"/>
          <w:szCs w:val="24"/>
          <w:lang w:val="en-US" w:eastAsia="zh-CN"/>
        </w:rPr>
        <w:t>2</w:t>
      </w:r>
      <w:r>
        <w:rPr>
          <w:rFonts w:hint="eastAsia" w:ascii="Times New Roman"/>
          <w:color w:val="auto"/>
          <w:szCs w:val="24"/>
        </w:rPr>
        <w:t>.4</w:t>
      </w:r>
      <w:r>
        <w:rPr>
          <w:rFonts w:ascii="Times New Roman"/>
          <w:color w:val="auto"/>
          <w:szCs w:val="24"/>
        </w:rPr>
        <w:t>-</w:t>
      </w:r>
      <w:r>
        <w:rPr>
          <w:rFonts w:hint="eastAsia" w:ascii="Times New Roman"/>
          <w:color w:val="auto"/>
          <w:szCs w:val="24"/>
        </w:rPr>
        <w:t>4</w:t>
      </w:r>
      <w:r>
        <w:rPr>
          <w:rFonts w:ascii="Times New Roman"/>
          <w:color w:val="auto"/>
          <w:szCs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.4</w:t>
      </w:r>
      <w:r>
        <w:rPr>
          <w:rFonts w:ascii="Times New Roman" w:eastAsia="黑体"/>
          <w:color w:val="auto"/>
          <w:sz w:val="21"/>
        </w:rPr>
        <w:t>-</w:t>
      </w:r>
      <w:r>
        <w:rPr>
          <w:rFonts w:hint="eastAsia" w:ascii="Times New Roman" w:eastAsia="黑体"/>
          <w:color w:val="auto"/>
          <w:sz w:val="21"/>
        </w:rPr>
        <w:t xml:space="preserve">4 </w:t>
      </w:r>
      <w:r>
        <w:rPr>
          <w:rFonts w:ascii="Times New Roman" w:eastAsia="黑体"/>
          <w:color w:val="auto"/>
          <w:sz w:val="21"/>
        </w:rPr>
        <w:t xml:space="preserve"> 《声环境质量标准》（GB3096-2008） 等效声级Leq[dB（A）]</w:t>
      </w:r>
    </w:p>
    <w:tbl>
      <w:tblPr>
        <w:tblStyle w:val="8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4"/>
        <w:gridCol w:w="2983"/>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84" w:type="dxa"/>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b/>
                <w:color w:val="auto"/>
                <w:sz w:val="21"/>
                <w:szCs w:val="21"/>
              </w:rPr>
            </w:pPr>
            <w:r>
              <w:rPr>
                <w:rFonts w:hint="default" w:ascii="Times New Roman"/>
                <w:b/>
                <w:color w:val="auto"/>
                <w:sz w:val="21"/>
                <w:szCs w:val="21"/>
              </w:rPr>
              <w:t>类  别</w:t>
            </w:r>
          </w:p>
        </w:tc>
        <w:tc>
          <w:tcPr>
            <w:tcW w:w="2983" w:type="dxa"/>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b/>
                <w:color w:val="auto"/>
                <w:sz w:val="21"/>
                <w:szCs w:val="21"/>
              </w:rPr>
            </w:pPr>
            <w:r>
              <w:rPr>
                <w:rFonts w:hint="default" w:ascii="Times New Roman"/>
                <w:b/>
                <w:color w:val="auto"/>
                <w:sz w:val="21"/>
                <w:szCs w:val="21"/>
              </w:rPr>
              <w:t>昼  间</w:t>
            </w:r>
          </w:p>
        </w:tc>
        <w:tc>
          <w:tcPr>
            <w:tcW w:w="2981" w:type="dxa"/>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b/>
                <w:color w:val="auto"/>
                <w:sz w:val="21"/>
                <w:szCs w:val="21"/>
              </w:rPr>
            </w:pPr>
            <w:r>
              <w:rPr>
                <w:rFonts w:hint="default" w:ascii="Times New Roman"/>
                <w:b/>
                <w:color w:val="auto"/>
                <w:sz w:val="21"/>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84" w:type="dxa"/>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2类</w:t>
            </w:r>
          </w:p>
        </w:tc>
        <w:tc>
          <w:tcPr>
            <w:tcW w:w="2983" w:type="dxa"/>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60</w:t>
            </w:r>
          </w:p>
        </w:tc>
        <w:tc>
          <w:tcPr>
            <w:tcW w:w="2981" w:type="dxa"/>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50</w:t>
            </w:r>
          </w:p>
        </w:tc>
      </w:tr>
    </w:tbl>
    <w:p>
      <w:pPr>
        <w:pStyle w:val="4"/>
        <w:spacing w:before="120" w:beforeLines="50" w:line="360" w:lineRule="auto"/>
        <w:ind w:firstLine="482"/>
        <w:jc w:val="both"/>
        <w:rPr>
          <w:rFonts w:ascii="Times New Roman"/>
          <w:color w:val="auto"/>
        </w:rPr>
      </w:pPr>
      <w:r>
        <w:rPr>
          <w:rFonts w:ascii="Times New Roman"/>
          <w:color w:val="auto"/>
        </w:rPr>
        <w:t>（5）土壤</w:t>
      </w:r>
    </w:p>
    <w:p>
      <w:pPr>
        <w:pStyle w:val="4"/>
        <w:spacing w:line="360" w:lineRule="auto"/>
        <w:ind w:firstLine="480"/>
        <w:jc w:val="both"/>
        <w:rPr>
          <w:rFonts w:ascii="Times New Roman"/>
          <w:color w:val="auto"/>
        </w:rPr>
      </w:pPr>
      <w:r>
        <w:rPr>
          <w:rFonts w:ascii="Times New Roman"/>
          <w:color w:val="auto"/>
        </w:rPr>
        <w:t>土壤环境执行《土壤环境质量 农用地土壤污染风险管控标准》（GB15618-2018）（试行）</w:t>
      </w:r>
      <w:r>
        <w:rPr>
          <w:rFonts w:ascii="Times New Roman"/>
          <w:color w:val="auto"/>
          <w:szCs w:val="24"/>
        </w:rPr>
        <w:t>，标准值见表</w:t>
      </w:r>
      <w:r>
        <w:rPr>
          <w:rFonts w:hint="eastAsia" w:ascii="Times New Roman"/>
          <w:color w:val="auto"/>
          <w:szCs w:val="24"/>
          <w:lang w:val="en-US" w:eastAsia="zh-CN"/>
        </w:rPr>
        <w:t>2</w:t>
      </w:r>
      <w:r>
        <w:rPr>
          <w:rFonts w:hint="eastAsia" w:ascii="Times New Roman"/>
          <w:color w:val="auto"/>
          <w:szCs w:val="24"/>
        </w:rPr>
        <w:t>.4</w:t>
      </w:r>
      <w:r>
        <w:rPr>
          <w:rFonts w:ascii="Times New Roman"/>
          <w:color w:val="auto"/>
          <w:szCs w:val="24"/>
        </w:rPr>
        <w:t>-</w:t>
      </w:r>
      <w:r>
        <w:rPr>
          <w:rFonts w:hint="eastAsia" w:ascii="Times New Roman"/>
          <w:color w:val="auto"/>
          <w:szCs w:val="24"/>
        </w:rPr>
        <w:t>5</w:t>
      </w:r>
      <w:r>
        <w:rPr>
          <w:rFonts w:ascii="Times New Roman"/>
          <w:color w:val="auto"/>
        </w:rPr>
        <w:t>。</w:t>
      </w:r>
    </w:p>
    <w:p>
      <w:pPr>
        <w:pStyle w:val="4"/>
        <w:spacing w:before="120" w:beforeLines="50"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.4</w:t>
      </w:r>
      <w:r>
        <w:rPr>
          <w:rFonts w:ascii="Times New Roman" w:eastAsia="黑体"/>
          <w:color w:val="auto"/>
          <w:sz w:val="21"/>
        </w:rPr>
        <w:t>-</w:t>
      </w:r>
      <w:r>
        <w:rPr>
          <w:rFonts w:hint="eastAsia" w:ascii="Times New Roman" w:eastAsia="黑体"/>
          <w:color w:val="auto"/>
          <w:sz w:val="21"/>
        </w:rPr>
        <w:t>5</w:t>
      </w:r>
      <w:r>
        <w:rPr>
          <w:rFonts w:ascii="Times New Roman" w:eastAsia="黑体"/>
          <w:color w:val="auto"/>
          <w:sz w:val="21"/>
        </w:rPr>
        <w:t xml:space="preserve">  《土壤环境质量 农用地土壤污染风险管控标准》（试行）（GB15618-2018）（mg/kg）</w:t>
      </w:r>
    </w:p>
    <w:tbl>
      <w:tblPr>
        <w:tblStyle w:val="89"/>
        <w:tblW w:w="927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2"/>
        <w:gridCol w:w="1522"/>
        <w:gridCol w:w="1697"/>
        <w:gridCol w:w="1795"/>
        <w:gridCol w:w="1795"/>
        <w:gridCol w:w="17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序号</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污染物项目</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筛选值（6.5＜pH≤7.5）</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筛选值（pH</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7.5）</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管制值（6.5＜pH≤7.5）</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管制值（pH</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1</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镉（其他）</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0.3</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eastAsia" w:ascii="Times New Roman" w:eastAsia="宋体"/>
                <w:color w:val="auto"/>
                <w:sz w:val="21"/>
                <w:szCs w:val="21"/>
                <w:lang w:eastAsia="zh-CN"/>
              </w:rPr>
            </w:pPr>
            <w:r>
              <w:rPr>
                <w:rFonts w:hint="default" w:ascii="Times New Roman"/>
                <w:color w:val="auto"/>
                <w:sz w:val="21"/>
                <w:szCs w:val="21"/>
              </w:rPr>
              <w:t>0.</w:t>
            </w:r>
            <w:r>
              <w:rPr>
                <w:rFonts w:hint="eastAsia" w:ascii="Times New Roman"/>
                <w:color w:val="auto"/>
                <w:sz w:val="21"/>
                <w:szCs w:val="21"/>
                <w:lang w:val="en-US" w:eastAsia="zh-CN"/>
              </w:rPr>
              <w:t>6</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3.0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4</w:t>
            </w:r>
            <w:r>
              <w:rPr>
                <w:rFonts w:hint="default" w:ascii="Times New Roman"/>
                <w:color w:val="auto"/>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2</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汞（其他）</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2.4</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eastAsia" w:ascii="Times New Roman"/>
                <w:color w:val="auto"/>
                <w:sz w:val="21"/>
                <w:szCs w:val="21"/>
                <w:lang w:val="en-US" w:eastAsia="zh-CN"/>
              </w:rPr>
              <w:t>3</w:t>
            </w:r>
            <w:r>
              <w:rPr>
                <w:rFonts w:hint="default" w:ascii="Times New Roman"/>
                <w:color w:val="auto"/>
                <w:sz w:val="21"/>
                <w:szCs w:val="21"/>
              </w:rPr>
              <w:t>.4</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4.0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6</w:t>
            </w:r>
            <w:r>
              <w:rPr>
                <w:rFonts w:hint="default" w:ascii="Times New Roman"/>
                <w:color w:val="auto"/>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3</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砷（其他）</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30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25</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120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1</w:t>
            </w:r>
            <w:r>
              <w:rPr>
                <w:rFonts w:hint="eastAsia" w:ascii="Times New Roman"/>
                <w:color w:val="auto"/>
                <w:sz w:val="21"/>
                <w:szCs w:val="21"/>
                <w:lang w:val="en-US" w:eastAsia="zh-CN"/>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4</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铅（其他）</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120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1</w:t>
            </w:r>
            <w:r>
              <w:rPr>
                <w:rFonts w:hint="eastAsia" w:ascii="Times New Roman"/>
                <w:color w:val="auto"/>
                <w:sz w:val="21"/>
                <w:szCs w:val="21"/>
                <w:lang w:val="en-US" w:eastAsia="zh-CN"/>
              </w:rPr>
              <w:t>7</w:t>
            </w:r>
            <w:r>
              <w:rPr>
                <w:rFonts w:hint="default" w:ascii="Times New Roman"/>
                <w:color w:val="auto"/>
                <w:sz w:val="21"/>
                <w:szCs w:val="21"/>
              </w:rPr>
              <w:t>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700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10</w:t>
            </w:r>
            <w:r>
              <w:rPr>
                <w:rFonts w:hint="default" w:ascii="Times New Roman"/>
                <w:color w:val="auto"/>
                <w:sz w:val="21"/>
                <w:szCs w:val="21"/>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5</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铬（其他）</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200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eastAsia="宋体"/>
                <w:color w:val="auto"/>
                <w:sz w:val="21"/>
                <w:szCs w:val="21"/>
                <w:lang w:val="en-US" w:eastAsia="zh-CN"/>
              </w:rPr>
            </w:pPr>
            <w:r>
              <w:rPr>
                <w:rFonts w:hint="default" w:ascii="Times New Roman"/>
                <w:color w:val="auto"/>
                <w:sz w:val="21"/>
                <w:szCs w:val="21"/>
              </w:rPr>
              <w:t>2</w:t>
            </w:r>
            <w:r>
              <w:rPr>
                <w:rFonts w:hint="eastAsia" w:ascii="Times New Roman"/>
                <w:color w:val="auto"/>
                <w:sz w:val="21"/>
                <w:szCs w:val="21"/>
                <w:lang w:val="en-US" w:eastAsia="zh-CN"/>
              </w:rPr>
              <w:t>50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1000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1</w:t>
            </w:r>
            <w:r>
              <w:rPr>
                <w:rFonts w:hint="eastAsia" w:ascii="Times New Roman"/>
                <w:color w:val="auto"/>
                <w:sz w:val="21"/>
                <w:szCs w:val="21"/>
                <w:lang w:val="en-US" w:eastAsia="zh-CN"/>
              </w:rPr>
              <w:t>3</w:t>
            </w:r>
            <w:r>
              <w:rPr>
                <w:rFonts w:hint="default" w:ascii="Times New Roman"/>
                <w:color w:val="auto"/>
                <w:sz w:val="21"/>
                <w:szCs w:val="21"/>
              </w:rPr>
              <w:t>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6</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铜（其他）</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100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100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7</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镍</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100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eastAsia="宋体"/>
                <w:color w:val="auto"/>
                <w:sz w:val="21"/>
                <w:szCs w:val="21"/>
                <w:lang w:val="en-US" w:eastAsia="zh-CN"/>
              </w:rPr>
            </w:pPr>
            <w:r>
              <w:rPr>
                <w:rFonts w:hint="default" w:ascii="Times New Roman"/>
                <w:color w:val="auto"/>
                <w:sz w:val="21"/>
                <w:szCs w:val="21"/>
              </w:rPr>
              <w:t>1</w:t>
            </w:r>
            <w:r>
              <w:rPr>
                <w:rFonts w:hint="eastAsia" w:ascii="Times New Roman"/>
                <w:color w:val="auto"/>
                <w:sz w:val="21"/>
                <w:szCs w:val="21"/>
                <w:lang w:val="en-US" w:eastAsia="zh-CN"/>
              </w:rPr>
              <w:t>90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67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8</w:t>
            </w:r>
          </w:p>
        </w:tc>
        <w:tc>
          <w:tcPr>
            <w:tcW w:w="1522"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锌</w:t>
            </w:r>
          </w:p>
        </w:tc>
        <w:tc>
          <w:tcPr>
            <w:tcW w:w="169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250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300</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w:t>
            </w:r>
          </w:p>
        </w:tc>
        <w:tc>
          <w:tcPr>
            <w:tcW w:w="179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olor w:val="auto"/>
                <w:sz w:val="21"/>
                <w:szCs w:val="21"/>
              </w:rPr>
              <w:t>/</w:t>
            </w:r>
          </w:p>
        </w:tc>
      </w:tr>
    </w:tbl>
    <w:p>
      <w:pPr>
        <w:pStyle w:val="180"/>
        <w:rPr>
          <w:rFonts w:hint="default" w:ascii="Times New Roman" w:hAnsi="Times New Roman" w:cs="Times New Roman" w:eastAsiaTheme="majorEastAsia"/>
          <w:b/>
          <w:bCs w:val="0"/>
          <w:color w:val="auto"/>
          <w:sz w:val="24"/>
          <w:szCs w:val="24"/>
        </w:rPr>
      </w:pPr>
      <w:bookmarkStart w:id="104" w:name="_Toc7594"/>
      <w:r>
        <w:rPr>
          <w:rFonts w:hint="default" w:ascii="Times New Roman" w:hAnsi="Times New Roman" w:cs="Times New Roman" w:eastAsiaTheme="majorEastAsia"/>
          <w:b/>
          <w:bCs w:val="0"/>
          <w:color w:val="auto"/>
          <w:sz w:val="24"/>
          <w:szCs w:val="24"/>
        </w:rPr>
        <w:t>污染物排放标准</w:t>
      </w:r>
      <w:bookmarkEnd w:id="104"/>
    </w:p>
    <w:p>
      <w:pPr>
        <w:pStyle w:val="4"/>
        <w:spacing w:line="360" w:lineRule="auto"/>
        <w:ind w:firstLine="480"/>
        <w:jc w:val="both"/>
        <w:rPr>
          <w:rFonts w:ascii="Times New Roman"/>
          <w:b/>
          <w:color w:val="auto"/>
          <w:szCs w:val="24"/>
        </w:rPr>
      </w:pPr>
      <w:r>
        <w:rPr>
          <w:rFonts w:ascii="Times New Roman"/>
          <w:b/>
          <w:color w:val="auto"/>
          <w:szCs w:val="24"/>
        </w:rPr>
        <w:t>（1）废气</w:t>
      </w:r>
    </w:p>
    <w:p>
      <w:pPr>
        <w:adjustRightInd w:val="0"/>
        <w:snapToGrid w:val="0"/>
        <w:spacing w:line="360" w:lineRule="auto"/>
        <w:ind w:firstLine="480" w:firstLineChars="200"/>
        <w:rPr>
          <w:color w:val="auto"/>
          <w:sz w:val="24"/>
        </w:rPr>
      </w:pPr>
      <w:r>
        <w:rPr>
          <w:color w:val="auto"/>
          <w:sz w:val="24"/>
        </w:rPr>
        <w:t>①恶臭污染物排放执行《畜禽养殖业污染物排放标准》（GB18596-2001）中表 7 标准，标准值见表</w:t>
      </w:r>
      <w:r>
        <w:rPr>
          <w:rFonts w:hint="eastAsia"/>
          <w:color w:val="auto"/>
          <w:sz w:val="24"/>
          <w:lang w:val="en-US" w:eastAsia="zh-CN"/>
        </w:rPr>
        <w:t>2</w:t>
      </w:r>
      <w:r>
        <w:rPr>
          <w:rFonts w:hint="eastAsia"/>
          <w:color w:val="auto"/>
          <w:sz w:val="24"/>
        </w:rPr>
        <w:t>.4</w:t>
      </w:r>
      <w:r>
        <w:rPr>
          <w:color w:val="auto"/>
          <w:sz w:val="24"/>
        </w:rPr>
        <w:t>-</w:t>
      </w:r>
      <w:r>
        <w:rPr>
          <w:rFonts w:hint="eastAsia"/>
          <w:color w:val="auto"/>
          <w:sz w:val="24"/>
        </w:rPr>
        <w:t>6</w:t>
      </w:r>
      <w:r>
        <w:rPr>
          <w:color w:val="auto"/>
          <w:sz w:val="24"/>
        </w:rPr>
        <w:t>。</w:t>
      </w:r>
    </w:p>
    <w:p>
      <w:pPr>
        <w:pStyle w:val="4"/>
        <w:rPr>
          <w:rFonts w:ascii="Times New Roman"/>
          <w:color w:val="auto"/>
          <w:szCs w:val="24"/>
        </w:rPr>
      </w:pPr>
      <w:r>
        <w:rPr>
          <w:rFonts w:ascii="Times New Roman" w:eastAsia="黑体"/>
          <w:color w:val="auto"/>
          <w:sz w:val="21"/>
          <w:szCs w:val="21"/>
        </w:rPr>
        <w:t>表</w:t>
      </w:r>
      <w:r>
        <w:rPr>
          <w:rFonts w:hint="eastAsia" w:ascii="Times New Roman" w:eastAsia="黑体"/>
          <w:color w:val="auto"/>
          <w:sz w:val="21"/>
          <w:szCs w:val="21"/>
          <w:lang w:val="en-US" w:eastAsia="zh-CN"/>
        </w:rPr>
        <w:t>2</w:t>
      </w:r>
      <w:r>
        <w:rPr>
          <w:rFonts w:hint="eastAsia" w:ascii="Times New Roman" w:eastAsia="黑体"/>
          <w:color w:val="auto"/>
          <w:sz w:val="21"/>
          <w:szCs w:val="21"/>
        </w:rPr>
        <w:t>.4</w:t>
      </w:r>
      <w:r>
        <w:rPr>
          <w:rFonts w:ascii="Times New Roman" w:eastAsia="黑体"/>
          <w:color w:val="auto"/>
          <w:sz w:val="21"/>
          <w:szCs w:val="21"/>
        </w:rPr>
        <w:t>-</w:t>
      </w:r>
      <w:r>
        <w:rPr>
          <w:rFonts w:hint="eastAsia" w:ascii="Times New Roman" w:eastAsia="黑体"/>
          <w:color w:val="auto"/>
          <w:sz w:val="21"/>
          <w:szCs w:val="21"/>
        </w:rPr>
        <w:t xml:space="preserve">6 </w:t>
      </w:r>
      <w:r>
        <w:rPr>
          <w:rFonts w:ascii="Times New Roman" w:eastAsia="黑体"/>
          <w:color w:val="auto"/>
          <w:sz w:val="21"/>
          <w:szCs w:val="21"/>
        </w:rPr>
        <w:t>《畜禽养殖业污染物排放标准-集约化畜禽养殖业恶臭污染物排放标准》（GB18596-2001）</w:t>
      </w:r>
    </w:p>
    <w:tbl>
      <w:tblPr>
        <w:tblStyle w:val="8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4" w:type="dxa"/>
            <w:tcBorders>
              <w:top w:val="single" w:color="auto" w:sz="4" w:space="0"/>
              <w:left w:val="single" w:color="auto" w:sz="4" w:space="0"/>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b/>
                <w:color w:val="auto"/>
                <w:sz w:val="21"/>
                <w:szCs w:val="21"/>
              </w:rPr>
            </w:pPr>
            <w:r>
              <w:rPr>
                <w:rFonts w:hint="default" w:ascii="Times New Roman"/>
                <w:b/>
                <w:color w:val="auto"/>
                <w:sz w:val="21"/>
                <w:szCs w:val="21"/>
              </w:rPr>
              <w:t>控制项目</w:t>
            </w:r>
          </w:p>
        </w:tc>
        <w:tc>
          <w:tcPr>
            <w:tcW w:w="4014"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b/>
                <w:color w:val="auto"/>
                <w:sz w:val="21"/>
                <w:szCs w:val="21"/>
              </w:rPr>
            </w:pPr>
            <w:r>
              <w:rPr>
                <w:rFonts w:hint="default" w:ascii="Times New Roman"/>
                <w:b/>
                <w:color w:val="auto"/>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934" w:type="dxa"/>
            <w:tcBorders>
              <w:top w:val="single" w:color="auto" w:sz="4" w:space="0"/>
              <w:left w:val="single" w:color="auto" w:sz="4" w:space="0"/>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臭气浓度（无量纲）</w:t>
            </w:r>
          </w:p>
        </w:tc>
        <w:tc>
          <w:tcPr>
            <w:tcW w:w="4014"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70</w:t>
            </w:r>
          </w:p>
        </w:tc>
      </w:tr>
    </w:tbl>
    <w:p>
      <w:pPr>
        <w:adjustRightInd w:val="0"/>
        <w:snapToGrid w:val="0"/>
        <w:spacing w:before="120" w:beforeLines="50" w:line="360" w:lineRule="auto"/>
        <w:ind w:firstLine="480" w:firstLineChars="200"/>
        <w:rPr>
          <w:rFonts w:hint="eastAsia" w:eastAsia="宋体"/>
          <w:color w:val="auto"/>
          <w:sz w:val="24"/>
          <w:lang w:eastAsia="zh-CN"/>
        </w:rPr>
      </w:pPr>
      <w:r>
        <w:rPr>
          <w:color w:val="auto"/>
          <w:sz w:val="24"/>
        </w:rPr>
        <w:t>②H</w:t>
      </w:r>
      <w:r>
        <w:rPr>
          <w:color w:val="auto"/>
          <w:sz w:val="24"/>
          <w:vertAlign w:val="subscript"/>
        </w:rPr>
        <w:t>2</w:t>
      </w:r>
      <w:r>
        <w:rPr>
          <w:color w:val="auto"/>
          <w:sz w:val="24"/>
        </w:rPr>
        <w:t>S、NH</w:t>
      </w:r>
      <w:r>
        <w:rPr>
          <w:color w:val="auto"/>
          <w:sz w:val="24"/>
          <w:vertAlign w:val="subscript"/>
        </w:rPr>
        <w:t>3</w:t>
      </w:r>
      <w:r>
        <w:rPr>
          <w:color w:val="auto"/>
          <w:sz w:val="24"/>
        </w:rPr>
        <w:t>执行《恶臭污染物排放标准》（GB14554-93）二级标准，详见</w:t>
      </w:r>
      <w:r>
        <w:rPr>
          <w:rFonts w:hint="eastAsia"/>
          <w:color w:val="auto"/>
          <w:sz w:val="24"/>
          <w:lang w:val="en-US" w:eastAsia="zh-CN"/>
        </w:rPr>
        <w:t>下</w:t>
      </w:r>
      <w:r>
        <w:rPr>
          <w:color w:val="auto"/>
          <w:sz w:val="24"/>
        </w:rPr>
        <w:t>表</w:t>
      </w:r>
      <w:r>
        <w:rPr>
          <w:rFonts w:hint="eastAsia"/>
          <w:color w:val="auto"/>
          <w:sz w:val="24"/>
          <w:lang w:eastAsia="zh-CN"/>
        </w:rPr>
        <w:t>。</w:t>
      </w:r>
    </w:p>
    <w:p>
      <w:pPr>
        <w:pStyle w:val="4"/>
        <w:spacing w:line="240" w:lineRule="auto"/>
        <w:ind w:firstLine="454"/>
        <w:jc w:val="center"/>
        <w:rPr>
          <w:rFonts w:ascii="Times New Roman"/>
          <w:color w:val="auto"/>
          <w:szCs w:val="24"/>
        </w:rPr>
      </w:pPr>
      <w:r>
        <w:rPr>
          <w:rFonts w:ascii="Times New Roman" w:eastAsia="黑体"/>
          <w:color w:val="auto"/>
          <w:sz w:val="21"/>
          <w:szCs w:val="21"/>
        </w:rPr>
        <w:t>表</w:t>
      </w:r>
      <w:r>
        <w:rPr>
          <w:rFonts w:hint="eastAsia" w:ascii="Times New Roman" w:eastAsia="黑体"/>
          <w:color w:val="auto"/>
          <w:sz w:val="21"/>
          <w:szCs w:val="21"/>
          <w:lang w:val="en-US" w:eastAsia="zh-CN"/>
        </w:rPr>
        <w:t>2</w:t>
      </w:r>
      <w:r>
        <w:rPr>
          <w:rFonts w:hint="eastAsia" w:ascii="Times New Roman" w:eastAsia="黑体"/>
          <w:color w:val="auto"/>
          <w:sz w:val="21"/>
          <w:szCs w:val="21"/>
        </w:rPr>
        <w:t>.4</w:t>
      </w:r>
      <w:r>
        <w:rPr>
          <w:rFonts w:ascii="Times New Roman" w:eastAsia="黑体"/>
          <w:color w:val="auto"/>
          <w:sz w:val="21"/>
          <w:szCs w:val="21"/>
        </w:rPr>
        <w:t>-</w:t>
      </w:r>
      <w:r>
        <w:rPr>
          <w:rFonts w:hint="eastAsia" w:ascii="Times New Roman" w:eastAsia="黑体"/>
          <w:color w:val="auto"/>
          <w:sz w:val="21"/>
          <w:szCs w:val="21"/>
        </w:rPr>
        <w:t>7</w:t>
      </w:r>
      <w:r>
        <w:rPr>
          <w:rFonts w:hint="eastAsia" w:ascii="Times New Roman" w:eastAsia="黑体"/>
          <w:color w:val="auto"/>
          <w:sz w:val="21"/>
          <w:szCs w:val="21"/>
          <w:lang w:val="en-US" w:eastAsia="zh-CN"/>
        </w:rPr>
        <w:t xml:space="preserve"> </w:t>
      </w:r>
      <w:r>
        <w:rPr>
          <w:rFonts w:ascii="Times New Roman" w:eastAsia="黑体"/>
          <w:color w:val="auto"/>
          <w:sz w:val="21"/>
          <w:szCs w:val="21"/>
        </w:rPr>
        <w:t>《恶臭污染物排放标准》（GB14554-93）</w:t>
      </w:r>
    </w:p>
    <w:tbl>
      <w:tblPr>
        <w:tblStyle w:val="8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0"/>
        <w:gridCol w:w="5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430" w:type="dxa"/>
            <w:tcBorders>
              <w:top w:val="single" w:color="auto" w:sz="4" w:space="0"/>
              <w:left w:val="single" w:color="auto" w:sz="4" w:space="0"/>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b/>
                <w:color w:val="auto"/>
                <w:sz w:val="21"/>
                <w:szCs w:val="21"/>
              </w:rPr>
            </w:pPr>
            <w:r>
              <w:rPr>
                <w:rFonts w:hint="default" w:ascii="Times New Roman"/>
                <w:b/>
                <w:color w:val="auto"/>
                <w:sz w:val="21"/>
                <w:szCs w:val="21"/>
              </w:rPr>
              <w:t>控制项目</w:t>
            </w:r>
          </w:p>
        </w:tc>
        <w:tc>
          <w:tcPr>
            <w:tcW w:w="5516"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b/>
                <w:color w:val="auto"/>
                <w:sz w:val="21"/>
                <w:szCs w:val="21"/>
              </w:rPr>
            </w:pPr>
            <w:r>
              <w:rPr>
                <w:rFonts w:hint="default" w:ascii="Times New Roman"/>
                <w:b/>
                <w:color w:val="auto"/>
                <w:sz w:val="21"/>
                <w:szCs w:val="21"/>
              </w:rPr>
              <w:t>厂界浓度（mg/m</w:t>
            </w:r>
            <w:r>
              <w:rPr>
                <w:rFonts w:hint="default" w:ascii="Times New Roman"/>
                <w:b/>
                <w:color w:val="auto"/>
                <w:sz w:val="21"/>
                <w:szCs w:val="21"/>
                <w:vertAlign w:val="superscript"/>
              </w:rPr>
              <w:t>3</w:t>
            </w:r>
            <w:r>
              <w:rPr>
                <w:rFonts w:hint="default" w:ascii="Times New Roman"/>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430" w:type="dxa"/>
            <w:tcBorders>
              <w:top w:val="single" w:color="auto" w:sz="4" w:space="0"/>
              <w:left w:val="single" w:color="auto" w:sz="4" w:space="0"/>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H</w:t>
            </w:r>
            <w:r>
              <w:rPr>
                <w:rFonts w:hint="default" w:ascii="Times New Roman"/>
                <w:color w:val="auto"/>
                <w:sz w:val="21"/>
                <w:szCs w:val="21"/>
                <w:vertAlign w:val="subscript"/>
              </w:rPr>
              <w:t>2</w:t>
            </w:r>
            <w:r>
              <w:rPr>
                <w:rFonts w:hint="default" w:ascii="Times New Roman"/>
                <w:color w:val="auto"/>
                <w:sz w:val="21"/>
                <w:szCs w:val="21"/>
              </w:rPr>
              <w:t>S</w:t>
            </w:r>
          </w:p>
        </w:tc>
        <w:tc>
          <w:tcPr>
            <w:tcW w:w="5516"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430" w:type="dxa"/>
            <w:tcBorders>
              <w:top w:val="single" w:color="auto" w:sz="4" w:space="0"/>
              <w:left w:val="single" w:color="auto" w:sz="4" w:space="0"/>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氨</w:t>
            </w:r>
          </w:p>
        </w:tc>
        <w:tc>
          <w:tcPr>
            <w:tcW w:w="5516" w:type="dxa"/>
            <w:tcBorders>
              <w:top w:val="single" w:color="auto" w:sz="4" w:space="0"/>
              <w:left w:val="nil"/>
              <w:bottom w:val="single" w:color="auto" w:sz="4" w:space="0"/>
              <w:right w:val="single" w:color="auto" w:sz="4" w:space="0"/>
            </w:tcBorders>
            <w:vAlign w:val="center"/>
          </w:tcPr>
          <w:p>
            <w:pPr>
              <w:pStyle w:val="155"/>
              <w:keepNext w:val="0"/>
              <w:keepLines w:val="0"/>
              <w:suppressLineNumbers w:val="0"/>
              <w:spacing w:before="0" w:beforeAutospacing="0" w:after="0" w:afterAutospacing="0" w:line="300" w:lineRule="exact"/>
              <w:ind w:left="210" w:right="210"/>
              <w:jc w:val="center"/>
              <w:rPr>
                <w:rFonts w:hint="default" w:ascii="Times New Roman"/>
                <w:color w:val="auto"/>
                <w:sz w:val="21"/>
                <w:szCs w:val="21"/>
              </w:rPr>
            </w:pPr>
            <w:r>
              <w:rPr>
                <w:rFonts w:hint="default" w:ascii="Times New Roman"/>
                <w:color w:val="auto"/>
                <w:sz w:val="21"/>
                <w:szCs w:val="21"/>
              </w:rPr>
              <w:t>1.5</w:t>
            </w:r>
          </w:p>
        </w:tc>
      </w:tr>
    </w:tbl>
    <w:p>
      <w:pPr>
        <w:adjustRightInd w:val="0"/>
        <w:snapToGrid w:val="0"/>
        <w:spacing w:before="120" w:beforeLines="50" w:line="360" w:lineRule="auto"/>
        <w:ind w:firstLine="480" w:firstLineChars="200"/>
        <w:rPr>
          <w:rFonts w:hint="eastAsia" w:eastAsia="宋体"/>
          <w:color w:val="auto"/>
          <w:sz w:val="24"/>
          <w:lang w:eastAsia="zh-CN"/>
        </w:rPr>
      </w:pPr>
      <w:r>
        <w:rPr>
          <w:rFonts w:hint="eastAsia"/>
          <w:color w:val="auto"/>
          <w:sz w:val="24"/>
          <w:lang w:val="en-US" w:eastAsia="zh-CN"/>
        </w:rPr>
        <w:t>③TSP</w:t>
      </w:r>
      <w:r>
        <w:rPr>
          <w:color w:val="auto"/>
          <w:sz w:val="24"/>
        </w:rPr>
        <w:t>执行</w:t>
      </w:r>
      <w:r>
        <w:rPr>
          <w:rFonts w:hint="eastAsia"/>
          <w:color w:val="auto"/>
          <w:sz w:val="24"/>
        </w:rPr>
        <w:t>《大气污染物综合排放标准》（GB 16297-1996）</w:t>
      </w:r>
      <w:r>
        <w:rPr>
          <w:color w:val="auto"/>
          <w:sz w:val="24"/>
        </w:rPr>
        <w:t>二级标准，详见</w:t>
      </w:r>
      <w:r>
        <w:rPr>
          <w:rFonts w:hint="eastAsia"/>
          <w:color w:val="auto"/>
          <w:sz w:val="24"/>
          <w:lang w:val="en-US" w:eastAsia="zh-CN"/>
        </w:rPr>
        <w:t>下</w:t>
      </w:r>
      <w:r>
        <w:rPr>
          <w:color w:val="auto"/>
          <w:sz w:val="24"/>
        </w:rPr>
        <w:t>表</w:t>
      </w:r>
      <w:r>
        <w:rPr>
          <w:rFonts w:hint="eastAsia"/>
          <w:color w:val="auto"/>
          <w:sz w:val="24"/>
          <w:lang w:eastAsia="zh-CN"/>
        </w:rPr>
        <w:t>。</w:t>
      </w:r>
    </w:p>
    <w:p>
      <w:pPr>
        <w:pStyle w:val="4"/>
        <w:spacing w:line="240" w:lineRule="auto"/>
        <w:ind w:firstLine="454"/>
        <w:jc w:val="center"/>
        <w:rPr>
          <w:rFonts w:ascii="Times New Roman"/>
          <w:color w:val="auto"/>
          <w:szCs w:val="24"/>
        </w:rPr>
      </w:pPr>
      <w:r>
        <w:rPr>
          <w:rFonts w:ascii="Times New Roman" w:eastAsia="黑体"/>
          <w:color w:val="auto"/>
          <w:sz w:val="21"/>
          <w:szCs w:val="21"/>
        </w:rPr>
        <w:t>表</w:t>
      </w:r>
      <w:r>
        <w:rPr>
          <w:rFonts w:hint="eastAsia" w:ascii="Times New Roman" w:eastAsia="黑体"/>
          <w:color w:val="auto"/>
          <w:sz w:val="21"/>
          <w:szCs w:val="21"/>
          <w:lang w:val="en-US" w:eastAsia="zh-CN"/>
        </w:rPr>
        <w:t>2</w:t>
      </w:r>
      <w:r>
        <w:rPr>
          <w:rFonts w:hint="eastAsia" w:ascii="Times New Roman" w:eastAsia="黑体"/>
          <w:color w:val="auto"/>
          <w:sz w:val="21"/>
          <w:szCs w:val="21"/>
        </w:rPr>
        <w:t>.4</w:t>
      </w:r>
      <w:r>
        <w:rPr>
          <w:rFonts w:ascii="Times New Roman" w:eastAsia="黑体"/>
          <w:color w:val="auto"/>
          <w:sz w:val="21"/>
          <w:szCs w:val="21"/>
        </w:rPr>
        <w:t>-</w:t>
      </w:r>
      <w:r>
        <w:rPr>
          <w:rFonts w:hint="eastAsia" w:ascii="Times New Roman" w:eastAsia="黑体"/>
          <w:color w:val="auto"/>
          <w:sz w:val="21"/>
          <w:szCs w:val="21"/>
          <w:lang w:val="en-US" w:eastAsia="zh-CN"/>
        </w:rPr>
        <w:t xml:space="preserve">8 </w:t>
      </w:r>
      <w:r>
        <w:rPr>
          <w:rFonts w:hint="eastAsia" w:ascii="Times New Roman" w:eastAsia="黑体"/>
          <w:color w:val="auto"/>
          <w:sz w:val="21"/>
          <w:szCs w:val="21"/>
        </w:rPr>
        <w:t>《大气污染物综合排放标准》（GB 16297-1996）</w:t>
      </w:r>
    </w:p>
    <w:tbl>
      <w:tblPr>
        <w:tblStyle w:val="89"/>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1167"/>
        <w:gridCol w:w="1816"/>
        <w:gridCol w:w="1794"/>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控制项目</w:t>
            </w:r>
          </w:p>
        </w:tc>
        <w:tc>
          <w:tcPr>
            <w:tcW w:w="116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排气筒高度（m）</w:t>
            </w:r>
          </w:p>
        </w:tc>
        <w:tc>
          <w:tcPr>
            <w:tcW w:w="18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最高允许排放速率</w:t>
            </w:r>
            <w:r>
              <w:rPr>
                <w:rFonts w:hint="eastAsia" w:ascii="Times New Roman" w:hAnsi="Times New Roman" w:eastAsia="宋体" w:cs="Times New Roman"/>
                <w:b/>
                <w:color w:val="auto"/>
                <w:lang w:eastAsia="zh-CN"/>
              </w:rPr>
              <w:t>（</w:t>
            </w:r>
            <w:r>
              <w:rPr>
                <w:rFonts w:hint="eastAsia" w:ascii="Times New Roman" w:hAnsi="Times New Roman" w:eastAsia="宋体" w:cs="Times New Roman"/>
                <w:b/>
                <w:color w:val="auto"/>
                <w:lang w:val="en-US" w:eastAsia="zh-CN"/>
              </w:rPr>
              <w:t>kg/h</w:t>
            </w:r>
            <w:r>
              <w:rPr>
                <w:rFonts w:hint="eastAsia" w:ascii="Times New Roman" w:hAnsi="Times New Roman" w:eastAsia="宋体" w:cs="Times New Roman"/>
                <w:b/>
                <w:color w:val="auto"/>
                <w:lang w:eastAsia="zh-CN"/>
              </w:rPr>
              <w:t>）</w:t>
            </w:r>
          </w:p>
        </w:tc>
        <w:tc>
          <w:tcPr>
            <w:tcW w:w="1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color w:val="auto"/>
                <w:lang w:eastAsia="zh-CN"/>
              </w:rPr>
            </w:pPr>
            <w:r>
              <w:rPr>
                <w:rFonts w:hint="default" w:ascii="Times New Roman" w:hAnsi="Times New Roman" w:eastAsia="宋体" w:cs="Times New Roman"/>
                <w:b/>
                <w:color w:val="auto"/>
              </w:rPr>
              <w:t>最高允许排放浓度（mg/m</w:t>
            </w:r>
            <w:r>
              <w:rPr>
                <w:rFonts w:hint="default" w:ascii="Times New Roman" w:hAnsi="Times New Roman" w:eastAsia="宋体" w:cs="Times New Roman"/>
                <w:b/>
                <w:color w:val="auto"/>
                <w:vertAlign w:val="superscript"/>
              </w:rPr>
              <w:t>3</w:t>
            </w:r>
            <w:r>
              <w:rPr>
                <w:rFonts w:hint="default" w:ascii="Times New Roman" w:hAnsi="Times New Roman" w:eastAsia="宋体" w:cs="Times New Roman"/>
                <w:b/>
                <w:color w:val="auto"/>
              </w:rPr>
              <w:t>）</w:t>
            </w:r>
          </w:p>
        </w:tc>
        <w:tc>
          <w:tcPr>
            <w:tcW w:w="2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lang w:val="en-US" w:eastAsia="zh-CN"/>
              </w:rPr>
              <w:t>无组织</w:t>
            </w:r>
            <w:r>
              <w:rPr>
                <w:rFonts w:hint="default" w:ascii="Times New Roman" w:hAnsi="Times New Roman" w:eastAsia="宋体" w:cs="Times New Roman"/>
                <w:b/>
                <w:color w:val="auto"/>
              </w:rPr>
              <w:t>浓度（mg/m</w:t>
            </w:r>
            <w:r>
              <w:rPr>
                <w:rFonts w:hint="default" w:ascii="Times New Roman" w:hAnsi="Times New Roman" w:eastAsia="宋体" w:cs="Times New Roman"/>
                <w:b/>
                <w:color w:val="auto"/>
                <w:vertAlign w:val="superscript"/>
              </w:rPr>
              <w:t>3</w:t>
            </w:r>
            <w:r>
              <w:rPr>
                <w:rFonts w:hint="default" w:ascii="Times New Roman" w:hAnsi="Times New Roman" w:eastAsia="宋体" w:cs="Times New Roman"/>
                <w:b/>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TSP</w:t>
            </w:r>
          </w:p>
        </w:tc>
        <w:tc>
          <w:tcPr>
            <w:tcW w:w="116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15</w:t>
            </w:r>
          </w:p>
        </w:tc>
        <w:tc>
          <w:tcPr>
            <w:tcW w:w="18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3.5</w:t>
            </w:r>
          </w:p>
        </w:tc>
        <w:tc>
          <w:tcPr>
            <w:tcW w:w="17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120</w:t>
            </w:r>
          </w:p>
        </w:tc>
        <w:tc>
          <w:tcPr>
            <w:tcW w:w="2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1.0</w:t>
            </w:r>
          </w:p>
        </w:tc>
      </w:tr>
    </w:tbl>
    <w:p>
      <w:pPr>
        <w:adjustRightInd w:val="0"/>
        <w:snapToGrid w:val="0"/>
        <w:spacing w:before="120" w:beforeLines="50" w:line="360" w:lineRule="auto"/>
        <w:ind w:firstLine="482" w:firstLineChars="200"/>
        <w:rPr>
          <w:b/>
          <w:bCs/>
          <w:color w:val="auto"/>
          <w:sz w:val="24"/>
        </w:rPr>
      </w:pPr>
      <w:r>
        <w:rPr>
          <w:b/>
          <w:bCs/>
          <w:color w:val="auto"/>
          <w:sz w:val="24"/>
        </w:rPr>
        <w:t>（2）废水</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本项目废水全部</w:t>
      </w:r>
      <w:r>
        <w:rPr>
          <w:rFonts w:hint="eastAsia" w:ascii="Times New Roman" w:hAnsi="Times New Roman" w:cs="Times New Roman"/>
          <w:color w:val="auto"/>
          <w:sz w:val="24"/>
        </w:rPr>
        <w:t>去</w:t>
      </w:r>
      <w:r>
        <w:rPr>
          <w:rFonts w:ascii="Times New Roman" w:hAnsi="Times New Roman" w:cs="Times New Roman"/>
          <w:color w:val="auto"/>
          <w:sz w:val="24"/>
        </w:rPr>
        <w:t>发酵床</w:t>
      </w:r>
      <w:r>
        <w:rPr>
          <w:rFonts w:hint="eastAsia" w:ascii="Times New Roman" w:hAnsi="Times New Roman" w:cs="Times New Roman"/>
          <w:color w:val="auto"/>
          <w:sz w:val="24"/>
        </w:rPr>
        <w:t>，</w:t>
      </w:r>
      <w:r>
        <w:rPr>
          <w:rFonts w:ascii="Times New Roman" w:hAnsi="Times New Roman" w:cs="Times New Roman"/>
          <w:color w:val="auto"/>
          <w:sz w:val="24"/>
        </w:rPr>
        <w:t>无</w:t>
      </w:r>
      <w:r>
        <w:rPr>
          <w:rFonts w:hint="eastAsia" w:cs="Times New Roman"/>
          <w:color w:val="auto"/>
          <w:sz w:val="24"/>
          <w:lang w:val="en-US" w:eastAsia="zh-CN"/>
        </w:rPr>
        <w:t>废水</w:t>
      </w:r>
      <w:r>
        <w:rPr>
          <w:rFonts w:ascii="Times New Roman" w:hAnsi="Times New Roman" w:cs="Times New Roman"/>
          <w:color w:val="auto"/>
          <w:sz w:val="24"/>
        </w:rPr>
        <w:t>外排</w:t>
      </w:r>
    </w:p>
    <w:p>
      <w:pPr>
        <w:adjustRightInd w:val="0"/>
        <w:snapToGrid w:val="0"/>
        <w:spacing w:line="360" w:lineRule="auto"/>
        <w:ind w:firstLine="482" w:firstLineChars="200"/>
        <w:rPr>
          <w:b/>
          <w:bCs/>
          <w:color w:val="auto"/>
          <w:sz w:val="24"/>
        </w:rPr>
      </w:pPr>
      <w:r>
        <w:rPr>
          <w:b/>
          <w:bCs/>
          <w:color w:val="auto"/>
          <w:sz w:val="24"/>
        </w:rPr>
        <w:t>（3）噪声</w:t>
      </w:r>
    </w:p>
    <w:p>
      <w:pPr>
        <w:adjustRightInd w:val="0"/>
        <w:snapToGrid w:val="0"/>
        <w:spacing w:line="360" w:lineRule="auto"/>
        <w:ind w:firstLine="480" w:firstLineChars="200"/>
        <w:rPr>
          <w:color w:val="auto"/>
          <w:sz w:val="24"/>
        </w:rPr>
      </w:pPr>
      <w:r>
        <w:rPr>
          <w:color w:val="auto"/>
          <w:sz w:val="24"/>
        </w:rPr>
        <w:t>施工期执行《建筑施工场界环境噪声排放标准》（GB12523-2011），标准值见</w:t>
      </w:r>
      <w:r>
        <w:rPr>
          <w:rFonts w:hint="eastAsia"/>
          <w:color w:val="auto"/>
          <w:sz w:val="24"/>
          <w:lang w:val="en-US" w:eastAsia="zh-CN"/>
        </w:rPr>
        <w:t>下</w:t>
      </w:r>
      <w:r>
        <w:rPr>
          <w:color w:val="auto"/>
          <w:sz w:val="24"/>
        </w:rPr>
        <w:t>表。</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.4</w:t>
      </w:r>
      <w:r>
        <w:rPr>
          <w:rFonts w:ascii="Times New Roman" w:eastAsia="黑体"/>
          <w:color w:val="auto"/>
          <w:sz w:val="21"/>
        </w:rPr>
        <w:t>-</w:t>
      </w:r>
      <w:r>
        <w:rPr>
          <w:rFonts w:hint="eastAsia" w:ascii="Times New Roman" w:eastAsia="黑体"/>
          <w:color w:val="auto"/>
          <w:sz w:val="21"/>
          <w:lang w:val="en-US" w:eastAsia="zh-CN"/>
        </w:rPr>
        <w:t>9</w:t>
      </w:r>
      <w:r>
        <w:rPr>
          <w:rFonts w:hint="eastAsia" w:ascii="Times New Roman" w:eastAsia="黑体"/>
          <w:color w:val="auto"/>
          <w:sz w:val="21"/>
        </w:rPr>
        <w:t xml:space="preserve">  </w:t>
      </w:r>
      <w:r>
        <w:rPr>
          <w:rFonts w:ascii="Times New Roman" w:eastAsia="黑体"/>
          <w:color w:val="auto"/>
          <w:sz w:val="21"/>
        </w:rPr>
        <w:t>《建筑施工场界环境噪声排放标准》（GB12523-2011）单位：（dB）</w:t>
      </w:r>
    </w:p>
    <w:tbl>
      <w:tblPr>
        <w:tblStyle w:val="89"/>
        <w:tblW w:w="928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049"/>
        <w:gridCol w:w="52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049"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昼间</w:t>
            </w:r>
          </w:p>
        </w:tc>
        <w:tc>
          <w:tcPr>
            <w:tcW w:w="5238"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049"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70</w:t>
            </w:r>
          </w:p>
        </w:tc>
        <w:tc>
          <w:tcPr>
            <w:tcW w:w="5238"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55</w:t>
            </w:r>
          </w:p>
        </w:tc>
      </w:tr>
    </w:tbl>
    <w:p>
      <w:pPr>
        <w:adjustRightInd w:val="0"/>
        <w:snapToGrid w:val="0"/>
        <w:spacing w:before="120" w:beforeLines="50" w:line="360" w:lineRule="auto"/>
        <w:ind w:firstLine="480" w:firstLineChars="200"/>
        <w:rPr>
          <w:color w:val="auto"/>
          <w:sz w:val="24"/>
        </w:rPr>
      </w:pPr>
      <w:r>
        <w:rPr>
          <w:color w:val="auto"/>
          <w:sz w:val="24"/>
        </w:rPr>
        <w:t>营运期执行《工业企业厂界环境噪声排放标准》（GB12348-2008）中2类，标准值见</w:t>
      </w:r>
      <w:r>
        <w:rPr>
          <w:rFonts w:hint="eastAsia"/>
          <w:color w:val="auto"/>
          <w:sz w:val="24"/>
          <w:lang w:val="en-US" w:eastAsia="zh-CN"/>
        </w:rPr>
        <w:t>下</w:t>
      </w:r>
      <w:r>
        <w:rPr>
          <w:color w:val="auto"/>
          <w:sz w:val="24"/>
        </w:rPr>
        <w:t>表。</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.4</w:t>
      </w:r>
      <w:r>
        <w:rPr>
          <w:rFonts w:ascii="Times New Roman" w:eastAsia="黑体"/>
          <w:color w:val="auto"/>
          <w:sz w:val="21"/>
        </w:rPr>
        <w:t>-</w:t>
      </w:r>
      <w:r>
        <w:rPr>
          <w:rFonts w:hint="eastAsia" w:ascii="Times New Roman" w:eastAsia="黑体"/>
          <w:color w:val="auto"/>
          <w:sz w:val="21"/>
          <w:lang w:val="en-US" w:eastAsia="zh-CN"/>
        </w:rPr>
        <w:t>10</w:t>
      </w:r>
      <w:r>
        <w:rPr>
          <w:rFonts w:ascii="Times New Roman" w:eastAsia="黑体"/>
          <w:color w:val="auto"/>
          <w:sz w:val="21"/>
        </w:rPr>
        <w:t xml:space="preserve">  项目厂界噪声排放限值 等效声级Leq[dB（A）]</w:t>
      </w:r>
    </w:p>
    <w:tbl>
      <w:tblPr>
        <w:tblStyle w:val="89"/>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3258"/>
        <w:gridCol w:w="3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4"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类  别</w:t>
            </w:r>
          </w:p>
        </w:tc>
        <w:tc>
          <w:tcPr>
            <w:tcW w:w="3258"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昼  间</w:t>
            </w:r>
          </w:p>
        </w:tc>
        <w:tc>
          <w:tcPr>
            <w:tcW w:w="371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4"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2类</w:t>
            </w:r>
          </w:p>
        </w:tc>
        <w:tc>
          <w:tcPr>
            <w:tcW w:w="3258"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60</w:t>
            </w:r>
          </w:p>
        </w:tc>
        <w:tc>
          <w:tcPr>
            <w:tcW w:w="3715"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50</w:t>
            </w:r>
          </w:p>
        </w:tc>
      </w:tr>
    </w:tbl>
    <w:p>
      <w:pPr>
        <w:adjustRightInd w:val="0"/>
        <w:snapToGrid w:val="0"/>
        <w:spacing w:before="120" w:beforeLines="50" w:line="360" w:lineRule="auto"/>
        <w:ind w:firstLine="482" w:firstLineChars="200"/>
        <w:rPr>
          <w:b/>
          <w:bCs/>
          <w:color w:val="auto"/>
          <w:sz w:val="24"/>
        </w:rPr>
      </w:pPr>
      <w:r>
        <w:rPr>
          <w:b/>
          <w:bCs/>
          <w:color w:val="auto"/>
          <w:sz w:val="24"/>
        </w:rPr>
        <w:t>（4）固体废物</w:t>
      </w:r>
    </w:p>
    <w:p>
      <w:pPr>
        <w:adjustRightInd w:val="0"/>
        <w:snapToGrid w:val="0"/>
        <w:spacing w:line="360" w:lineRule="auto"/>
        <w:ind w:firstLine="480" w:firstLineChars="200"/>
        <w:rPr>
          <w:color w:val="auto"/>
          <w:sz w:val="24"/>
        </w:rPr>
      </w:pPr>
      <w:r>
        <w:rPr>
          <w:color w:val="auto"/>
          <w:sz w:val="24"/>
        </w:rPr>
        <w:t>其它一般固体废物执行《一般工业固体废物贮存、处置场污染控制标准》（GB18599-2001）及2013年修改单要求；</w:t>
      </w:r>
    </w:p>
    <w:p>
      <w:pPr>
        <w:adjustRightInd w:val="0"/>
        <w:snapToGrid w:val="0"/>
        <w:spacing w:line="360" w:lineRule="auto"/>
        <w:ind w:firstLine="480" w:firstLineChars="200"/>
        <w:rPr>
          <w:color w:val="auto"/>
          <w:sz w:val="24"/>
        </w:rPr>
      </w:pPr>
      <w:r>
        <w:rPr>
          <w:color w:val="auto"/>
          <w:sz w:val="24"/>
        </w:rPr>
        <w:t>危险废物执行《危险废物贮存污染控制标准》（GB18579-2001）及 2013 修改单要求。</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105" w:name="_Toc24944"/>
      <w:bookmarkStart w:id="106" w:name="_Toc1126"/>
      <w:bookmarkStart w:id="107" w:name="_Toc5173"/>
      <w:r>
        <w:rPr>
          <w:rFonts w:ascii="Times New Roman" w:hAnsi="Times New Roman" w:cs="Times New Roman" w:eastAsiaTheme="majorEastAsia"/>
          <w:bCs/>
          <w:color w:val="auto"/>
          <w:kern w:val="2"/>
          <w:szCs w:val="32"/>
          <w:lang w:val="en-US" w:eastAsia="zh-CN"/>
        </w:rPr>
        <w:t>评价等级划分</w:t>
      </w:r>
      <w:bookmarkEnd w:id="105"/>
      <w:bookmarkEnd w:id="106"/>
      <w:bookmarkEnd w:id="107"/>
    </w:p>
    <w:p>
      <w:pPr>
        <w:pStyle w:val="180"/>
        <w:rPr>
          <w:rFonts w:hint="default" w:ascii="Times New Roman" w:hAnsi="Times New Roman" w:cs="Times New Roman" w:eastAsiaTheme="majorEastAsia"/>
          <w:b/>
          <w:bCs w:val="0"/>
          <w:color w:val="auto"/>
          <w:sz w:val="24"/>
          <w:szCs w:val="24"/>
        </w:rPr>
      </w:pPr>
      <w:bookmarkStart w:id="108" w:name="_Toc16131"/>
      <w:r>
        <w:rPr>
          <w:rFonts w:hint="default" w:ascii="Times New Roman" w:hAnsi="Times New Roman" w:cs="Times New Roman" w:eastAsiaTheme="majorEastAsia"/>
          <w:b/>
          <w:bCs w:val="0"/>
          <w:color w:val="auto"/>
          <w:sz w:val="24"/>
          <w:szCs w:val="24"/>
        </w:rPr>
        <w:t>大气环境评价等级</w:t>
      </w:r>
      <w:bookmarkEnd w:id="108"/>
    </w:p>
    <w:p>
      <w:pPr>
        <w:spacing w:line="360" w:lineRule="auto"/>
        <w:ind w:firstLine="540"/>
        <w:rPr>
          <w:color w:val="auto"/>
          <w:kern w:val="0"/>
          <w:sz w:val="24"/>
        </w:rPr>
      </w:pPr>
      <w:r>
        <w:rPr>
          <w:color w:val="auto"/>
          <w:kern w:val="0"/>
          <w:sz w:val="24"/>
        </w:rPr>
        <w:t>1、污染源参数</w:t>
      </w:r>
    </w:p>
    <w:p>
      <w:pPr>
        <w:spacing w:line="360" w:lineRule="auto"/>
        <w:ind w:firstLine="540"/>
        <w:rPr>
          <w:color w:val="auto"/>
          <w:kern w:val="0"/>
          <w:sz w:val="24"/>
        </w:rPr>
      </w:pPr>
      <w:r>
        <w:rPr>
          <w:color w:val="auto"/>
          <w:kern w:val="0"/>
          <w:sz w:val="24"/>
        </w:rPr>
        <w:t>根据《环境影响评价技术导则 大气环境》（HJ 2.2-2018）中推荐估算模型 ARESCREEN对本项目建成后全厂的大气环境评价工作进行分级。结合项目的工程分析结果，选择正常排放的主要污染物及排放参数，计算各污染物的最大地面空气质量浓度占标率（Pmax），然后按评价工作分级判据进行分级。</w:t>
      </w:r>
    </w:p>
    <w:p>
      <w:pPr>
        <w:spacing w:line="360" w:lineRule="auto"/>
        <w:ind w:firstLine="540"/>
        <w:rPr>
          <w:color w:val="auto"/>
          <w:kern w:val="0"/>
          <w:sz w:val="24"/>
        </w:rPr>
      </w:pPr>
      <w:r>
        <w:rPr>
          <w:color w:val="auto"/>
          <w:kern w:val="0"/>
          <w:sz w:val="24"/>
        </w:rPr>
        <w:t>计算结果：根据工程分析结果，本项目排放的主要废气污染物为硫化氢、氨等，分别计算各污染源污染因子最大地面浓度占质量标准值的比率 Pi。估算模式预测参数见表</w:t>
      </w:r>
      <w:r>
        <w:rPr>
          <w:rFonts w:hint="eastAsia"/>
          <w:color w:val="auto"/>
          <w:kern w:val="0"/>
          <w:sz w:val="24"/>
          <w:lang w:val="en-US" w:eastAsia="zh-CN"/>
        </w:rPr>
        <w:t>2</w:t>
      </w:r>
      <w:r>
        <w:rPr>
          <w:rFonts w:hint="eastAsia"/>
          <w:color w:val="auto"/>
          <w:kern w:val="0"/>
          <w:sz w:val="24"/>
        </w:rPr>
        <w:t>.5</w:t>
      </w:r>
      <w:r>
        <w:rPr>
          <w:color w:val="auto"/>
          <w:kern w:val="0"/>
          <w:sz w:val="24"/>
        </w:rPr>
        <w:t>-1，计算结果见表</w:t>
      </w:r>
      <w:r>
        <w:rPr>
          <w:rFonts w:hint="eastAsia"/>
          <w:color w:val="auto"/>
          <w:kern w:val="0"/>
          <w:sz w:val="24"/>
          <w:lang w:val="en-US" w:eastAsia="zh-CN"/>
        </w:rPr>
        <w:t>2</w:t>
      </w:r>
      <w:r>
        <w:rPr>
          <w:rFonts w:hint="eastAsia"/>
          <w:color w:val="auto"/>
          <w:kern w:val="0"/>
          <w:sz w:val="24"/>
        </w:rPr>
        <w:t>.5</w:t>
      </w:r>
      <w:r>
        <w:rPr>
          <w:color w:val="auto"/>
          <w:kern w:val="0"/>
          <w:sz w:val="24"/>
        </w:rPr>
        <w:t>-</w:t>
      </w:r>
      <w:r>
        <w:rPr>
          <w:rFonts w:hint="eastAsia"/>
          <w:color w:val="auto"/>
          <w:kern w:val="0"/>
          <w:sz w:val="24"/>
        </w:rPr>
        <w:t>2</w:t>
      </w:r>
      <w:r>
        <w:rPr>
          <w:color w:val="auto"/>
          <w:kern w:val="0"/>
          <w:sz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.5</w:t>
      </w:r>
      <w:r>
        <w:rPr>
          <w:rFonts w:ascii="Times New Roman" w:eastAsia="黑体"/>
          <w:color w:val="auto"/>
          <w:sz w:val="21"/>
        </w:rPr>
        <w:t>-1</w:t>
      </w:r>
      <w:r>
        <w:rPr>
          <w:rFonts w:hint="eastAsia" w:ascii="Times New Roman" w:eastAsia="黑体"/>
          <w:color w:val="auto"/>
          <w:sz w:val="21"/>
        </w:rPr>
        <w:t xml:space="preserve"> </w:t>
      </w:r>
      <w:r>
        <w:rPr>
          <w:rFonts w:ascii="Times New Roman" w:eastAsia="黑体"/>
          <w:color w:val="auto"/>
          <w:sz w:val="21"/>
        </w:rPr>
        <w:t xml:space="preserve"> 估算模型参数表</w:t>
      </w:r>
    </w:p>
    <w:tbl>
      <w:tblPr>
        <w:tblStyle w:val="89"/>
        <w:tblW w:w="8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3533"/>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2" w:right="0" w:hanging="422"/>
              <w:jc w:val="center"/>
              <w:rPr>
                <w:rFonts w:hint="default" w:ascii="Times New Roman" w:hAnsi="Times New Roman"/>
                <w:b/>
                <w:color w:val="auto"/>
              </w:rPr>
            </w:pPr>
            <w:r>
              <w:rPr>
                <w:rFonts w:hint="default" w:ascii="Times New Roman" w:hAnsi="Times New Roman"/>
                <w:b/>
                <w:color w:val="auto"/>
              </w:rPr>
              <w:t>参数</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2" w:right="0" w:hanging="422"/>
              <w:jc w:val="center"/>
              <w:rPr>
                <w:rFonts w:hint="default" w:ascii="Times New Roman" w:hAnsi="Times New Roman"/>
                <w:b/>
                <w:color w:val="auto"/>
              </w:rPr>
            </w:pPr>
            <w:r>
              <w:rPr>
                <w:rFonts w:hint="default" w:ascii="Times New Roman" w:hAnsi="Times New Roman"/>
                <w:b/>
                <w:color w:val="auto"/>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restart"/>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城市/农村选项</w:t>
            </w: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城市/农村</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continue"/>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人口数（城市选项时）</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最高环境温度/℃</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最低环境温度/℃</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eastAsia" w:ascii="Times New Roman" w:hAnsi="Times New Roman" w:eastAsia="宋体"/>
                <w:color w:val="auto"/>
                <w:lang w:eastAsia="zh-CN"/>
              </w:rPr>
            </w:pPr>
            <w:r>
              <w:rPr>
                <w:rFonts w:hint="default" w:ascii="Times New Roman" w:hAnsi="Times New Roman"/>
                <w:color w:val="auto"/>
              </w:rPr>
              <w:t>-</w:t>
            </w:r>
            <w:r>
              <w:rPr>
                <w:rFonts w:hint="eastAsia" w:ascii="Times New Roman" w:hAnsi="Times New Roman"/>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土地利用类型</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区域湿度条件</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restart"/>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是否考虑地形</w:t>
            </w: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考虑地形</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continue"/>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地形数据分辨率/m</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eastAsia" w:ascii="Times New Roman" w:hAnsi="Times New Roman"/>
                <w:color w:val="auto"/>
              </w:rPr>
              <w:t>9</w:t>
            </w:r>
            <w:r>
              <w:rPr>
                <w:rFonts w:hint="default"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restart"/>
            <w:tcBorders>
              <w:tl2br w:val="nil"/>
              <w:tr2bl w:val="nil"/>
            </w:tcBorders>
            <w:vAlign w:val="center"/>
          </w:tcPr>
          <w:p>
            <w:pPr>
              <w:pStyle w:val="46"/>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是否考虑岸线薰烟</w:t>
            </w: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考虑岸线薰烟</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continue"/>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岸线距离/km</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continue"/>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岸线方向/°</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w:t>
            </w:r>
          </w:p>
        </w:tc>
      </w:tr>
    </w:tbl>
    <w:p>
      <w:pPr>
        <w:pStyle w:val="4"/>
        <w:spacing w:line="240" w:lineRule="auto"/>
        <w:ind w:firstLine="454"/>
        <w:jc w:val="center"/>
        <w:rPr>
          <w:rFonts w:ascii="Times New Roman" w:hAnsi="Times New Roman" w:eastAsia="黑体" w:cs="Times New Roman"/>
          <w:color w:val="auto"/>
          <w:sz w:val="21"/>
        </w:rPr>
      </w:pPr>
      <w:bookmarkStart w:id="109" w:name="_Toc9202"/>
      <w:r>
        <w:rPr>
          <w:rFonts w:ascii="Times New Roman" w:hAnsi="Times New Roman" w:eastAsia="黑体" w:cs="Times New Roman"/>
          <w:color w:val="auto"/>
          <w:sz w:val="21"/>
        </w:rPr>
        <w:t>表</w:t>
      </w:r>
      <w:r>
        <w:rPr>
          <w:rFonts w:ascii="Times New Roman" w:hAnsi="Times New Roman" w:eastAsia="黑体" w:cs="Times New Roman"/>
          <w:color w:val="auto"/>
          <w:sz w:val="21"/>
        </w:rPr>
        <w:fldChar w:fldCharType="begin"/>
      </w:r>
      <w:r>
        <w:rPr>
          <w:rFonts w:ascii="Times New Roman" w:hAnsi="Times New Roman" w:eastAsia="黑体" w:cs="Times New Roman"/>
          <w:color w:val="auto"/>
          <w:sz w:val="21"/>
        </w:rPr>
        <w:instrText xml:space="preserve"> STYLEREF 2 \s </w:instrText>
      </w:r>
      <w:r>
        <w:rPr>
          <w:rFonts w:ascii="Times New Roman" w:hAnsi="Times New Roman" w:eastAsia="黑体" w:cs="Times New Roman"/>
          <w:color w:val="auto"/>
          <w:sz w:val="21"/>
        </w:rPr>
        <w:fldChar w:fldCharType="separate"/>
      </w:r>
      <w:r>
        <w:rPr>
          <w:rFonts w:ascii="Times New Roman" w:hAnsi="Times New Roman" w:eastAsia="黑体" w:cs="Times New Roman"/>
          <w:color w:val="auto"/>
          <w:sz w:val="21"/>
        </w:rPr>
        <w:t>2.</w:t>
      </w:r>
      <w:r>
        <w:rPr>
          <w:rFonts w:hint="eastAsia" w:ascii="Times New Roman" w:hAnsi="Times New Roman" w:eastAsia="黑体" w:cs="Times New Roman"/>
          <w:color w:val="auto"/>
          <w:sz w:val="21"/>
          <w:lang w:val="en-US" w:eastAsia="zh-CN"/>
        </w:rPr>
        <w:t>5</w:t>
      </w:r>
      <w:r>
        <w:rPr>
          <w:rFonts w:ascii="Times New Roman" w:hAnsi="Times New Roman" w:eastAsia="黑体" w:cs="Times New Roman"/>
          <w:color w:val="auto"/>
          <w:sz w:val="21"/>
        </w:rPr>
        <w:fldChar w:fldCharType="end"/>
      </w:r>
      <w:r>
        <w:rPr>
          <w:rFonts w:ascii="Times New Roman" w:hAnsi="Times New Roman" w:eastAsia="黑体" w:cs="Times New Roman"/>
          <w:color w:val="auto"/>
          <w:sz w:val="21"/>
        </w:rPr>
        <w:noBreakHyphen/>
      </w:r>
      <w:r>
        <w:rPr>
          <w:rFonts w:hint="eastAsia" w:ascii="Times New Roman" w:hAnsi="Times New Roman" w:eastAsia="黑体" w:cs="Times New Roman"/>
          <w:color w:val="auto"/>
          <w:sz w:val="21"/>
          <w:lang w:val="en-US" w:eastAsia="zh-CN"/>
        </w:rPr>
        <w:t xml:space="preserve">2  </w:t>
      </w:r>
      <w:r>
        <w:rPr>
          <w:rFonts w:ascii="Times New Roman" w:hAnsi="Times New Roman" w:eastAsia="黑体" w:cs="Times New Roman"/>
          <w:color w:val="auto"/>
          <w:sz w:val="21"/>
        </w:rPr>
        <w:t>项目有组织排放污染源污染物估算模式预测结果</w:t>
      </w:r>
      <w:bookmarkEnd w:id="109"/>
    </w:p>
    <w:tbl>
      <w:tblPr>
        <w:tblStyle w:val="89"/>
        <w:tblW w:w="49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28"/>
        <w:gridCol w:w="1899"/>
        <w:gridCol w:w="2825"/>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1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auto"/>
              <w:ind w:left="0" w:right="0"/>
              <w:jc w:val="center"/>
              <w:rPr>
                <w:rFonts w:hint="default" w:ascii="Times New Roman" w:hAnsi="Times New Roman"/>
                <w:color w:val="auto"/>
                <w:kern w:val="0"/>
                <w:highlight w:val="none"/>
              </w:rPr>
            </w:pPr>
            <w:r>
              <w:rPr>
                <w:rFonts w:hint="default" w:ascii="Times New Roman" w:hAnsi="Times New Roman"/>
                <w:b/>
                <w:color w:val="auto"/>
                <w:kern w:val="0"/>
                <w:highlight w:val="none"/>
              </w:rPr>
              <w:t>污染源</w:t>
            </w:r>
          </w:p>
        </w:tc>
        <w:tc>
          <w:tcPr>
            <w:tcW w:w="11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auto"/>
              <w:ind w:left="0" w:right="0"/>
              <w:jc w:val="center"/>
              <w:rPr>
                <w:rFonts w:hint="default" w:ascii="Times New Roman" w:hAnsi="Times New Roman"/>
                <w:color w:val="auto"/>
                <w:kern w:val="0"/>
                <w:highlight w:val="none"/>
              </w:rPr>
            </w:pPr>
            <w:r>
              <w:rPr>
                <w:rFonts w:hint="default" w:ascii="Times New Roman" w:hAnsi="Times New Roman"/>
                <w:b/>
                <w:color w:val="auto"/>
                <w:kern w:val="0"/>
                <w:highlight w:val="none"/>
              </w:rPr>
              <w:t>污染因子</w:t>
            </w:r>
          </w:p>
        </w:tc>
        <w:tc>
          <w:tcPr>
            <w:tcW w:w="16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auto"/>
              <w:ind w:left="0" w:right="0"/>
              <w:jc w:val="center"/>
              <w:rPr>
                <w:rFonts w:hint="default" w:ascii="Times New Roman" w:hAnsi="Times New Roman"/>
                <w:color w:val="auto"/>
                <w:kern w:val="0"/>
                <w:highlight w:val="none"/>
              </w:rPr>
            </w:pPr>
            <w:r>
              <w:rPr>
                <w:rFonts w:hint="default" w:ascii="Times New Roman"/>
                <w:b/>
                <w:bCs/>
                <w:color w:val="auto"/>
                <w:sz w:val="21"/>
                <w:szCs w:val="21"/>
              </w:rPr>
              <w:t>最大</w:t>
            </w:r>
            <w:r>
              <w:rPr>
                <w:rFonts w:hint="default" w:ascii="Times New Roman" w:hAnsi="Times New Roman"/>
                <w:b/>
                <w:color w:val="auto"/>
                <w:kern w:val="0"/>
                <w:highlight w:val="none"/>
              </w:rPr>
              <w:t>占标率(%)</w:t>
            </w:r>
          </w:p>
        </w:tc>
        <w:tc>
          <w:tcPr>
            <w:tcW w:w="9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auto"/>
              <w:ind w:left="0" w:right="0"/>
              <w:jc w:val="center"/>
              <w:rPr>
                <w:rFonts w:hint="default" w:ascii="Times New Roman" w:hAnsi="Times New Roman"/>
                <w:color w:val="auto"/>
                <w:kern w:val="0"/>
                <w:highlight w:val="none"/>
              </w:rPr>
            </w:pPr>
            <w:r>
              <w:rPr>
                <w:rFonts w:hint="default" w:ascii="Times New Roman" w:hAnsi="Times New Roman"/>
                <w:b/>
                <w:color w:val="auto"/>
                <w:kern w:val="0"/>
                <w:highlight w:val="no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2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zCs w:val="22"/>
                <w:highlight w:val="none"/>
                <w:lang w:val="en-US"/>
              </w:rPr>
            </w:pPr>
            <w:r>
              <w:rPr>
                <w:rFonts w:hint="eastAsia" w:cs="Times New Roman"/>
                <w:color w:val="auto"/>
                <w:lang w:val="en-US" w:eastAsia="zh-CN"/>
              </w:rPr>
              <w:t>TMR管理中心（DA001）</w:t>
            </w:r>
          </w:p>
        </w:tc>
        <w:tc>
          <w:tcPr>
            <w:tcW w:w="11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TSP</w:t>
            </w:r>
          </w:p>
        </w:tc>
        <w:tc>
          <w:tcPr>
            <w:tcW w:w="16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leftChars="0" w:right="0" w:rightChars="0"/>
              <w:jc w:val="center"/>
              <w:rPr>
                <w:rFonts w:hint="default" w:eastAsia="宋体"/>
                <w:b w:val="0"/>
                <w:bCs w:val="0"/>
                <w:color w:val="auto"/>
                <w:lang w:val="en-US" w:eastAsia="zh-CN"/>
              </w:rPr>
            </w:pPr>
            <w:r>
              <w:rPr>
                <w:rFonts w:hint="eastAsia"/>
                <w:b w:val="0"/>
                <w:bCs w:val="0"/>
                <w:color w:val="auto"/>
                <w:lang w:val="en-US" w:eastAsia="zh-CN"/>
              </w:rPr>
              <w:t>0.14</w:t>
            </w:r>
          </w:p>
        </w:tc>
        <w:tc>
          <w:tcPr>
            <w:tcW w:w="9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zCs w:val="22"/>
                <w:highlight w:val="none"/>
              </w:rPr>
            </w:pPr>
            <w:r>
              <w:rPr>
                <w:rFonts w:hint="default" w:ascii="Times New Roman" w:hAnsi="Times New Roman"/>
                <w:color w:val="auto"/>
                <w:kern w:val="0"/>
                <w:highlight w:val="none"/>
              </w:rPr>
              <w:t>三级</w:t>
            </w:r>
          </w:p>
        </w:tc>
      </w:tr>
    </w:tbl>
    <w:p>
      <w:pPr>
        <w:pStyle w:val="4"/>
        <w:spacing w:before="120" w:beforeLines="50"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.5</w:t>
      </w:r>
      <w:r>
        <w:rPr>
          <w:rFonts w:ascii="Times New Roman" w:eastAsia="黑体"/>
          <w:color w:val="auto"/>
          <w:sz w:val="21"/>
        </w:rPr>
        <w:t>-</w:t>
      </w:r>
      <w:r>
        <w:rPr>
          <w:rFonts w:hint="eastAsia" w:ascii="Times New Roman" w:eastAsia="黑体"/>
          <w:color w:val="auto"/>
          <w:sz w:val="21"/>
          <w:lang w:val="en-US" w:eastAsia="zh-CN"/>
        </w:rPr>
        <w:t>3</w:t>
      </w:r>
      <w:r>
        <w:rPr>
          <w:rFonts w:hint="eastAsia" w:ascii="Times New Roman" w:eastAsia="黑体"/>
          <w:color w:val="auto"/>
          <w:sz w:val="21"/>
        </w:rPr>
        <w:t xml:space="preserve">  </w:t>
      </w:r>
      <w:r>
        <w:rPr>
          <w:rFonts w:ascii="Times New Roman" w:eastAsia="黑体"/>
          <w:color w:val="auto"/>
          <w:sz w:val="21"/>
        </w:rPr>
        <w:t>面源大气估算模式估算结果</w:t>
      </w:r>
    </w:p>
    <w:tbl>
      <w:tblPr>
        <w:tblStyle w:val="90"/>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2185"/>
        <w:gridCol w:w="2184"/>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186" w:type="dxa"/>
            <w:tcBorders>
              <w:tl2br w:val="nil"/>
              <w:tr2bl w:val="nil"/>
            </w:tcBorders>
            <w:vAlign w:val="center"/>
          </w:tcPr>
          <w:p>
            <w:pPr>
              <w:pStyle w:val="15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b/>
                <w:bCs/>
                <w:color w:val="auto"/>
                <w:sz w:val="21"/>
                <w:szCs w:val="21"/>
              </w:rPr>
            </w:pPr>
            <w:r>
              <w:rPr>
                <w:rFonts w:hint="default" w:ascii="Times New Roman"/>
                <w:b/>
                <w:bCs/>
                <w:color w:val="auto"/>
                <w:sz w:val="21"/>
                <w:szCs w:val="21"/>
              </w:rPr>
              <w:t>排放源</w:t>
            </w:r>
          </w:p>
        </w:tc>
        <w:tc>
          <w:tcPr>
            <w:tcW w:w="2185" w:type="dxa"/>
            <w:tcBorders>
              <w:tl2br w:val="nil"/>
              <w:tr2bl w:val="nil"/>
            </w:tcBorders>
            <w:vAlign w:val="center"/>
          </w:tcPr>
          <w:p>
            <w:pPr>
              <w:pStyle w:val="15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b/>
                <w:bCs/>
                <w:color w:val="auto"/>
                <w:sz w:val="21"/>
                <w:szCs w:val="21"/>
              </w:rPr>
            </w:pPr>
            <w:r>
              <w:rPr>
                <w:rFonts w:hint="default" w:ascii="Times New Roman"/>
                <w:b/>
                <w:bCs/>
                <w:color w:val="auto"/>
                <w:sz w:val="21"/>
                <w:szCs w:val="21"/>
              </w:rPr>
              <w:t>项目</w:t>
            </w:r>
          </w:p>
        </w:tc>
        <w:tc>
          <w:tcPr>
            <w:tcW w:w="2184" w:type="dxa"/>
            <w:tcBorders>
              <w:tl2br w:val="nil"/>
              <w:tr2bl w:val="nil"/>
            </w:tcBorders>
            <w:vAlign w:val="center"/>
          </w:tcPr>
          <w:p>
            <w:pPr>
              <w:pStyle w:val="15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b/>
                <w:bCs/>
                <w:color w:val="auto"/>
                <w:sz w:val="21"/>
                <w:szCs w:val="21"/>
              </w:rPr>
            </w:pPr>
            <w:r>
              <w:rPr>
                <w:rFonts w:hint="default" w:ascii="Times New Roman"/>
                <w:b/>
                <w:bCs/>
                <w:color w:val="auto"/>
                <w:sz w:val="21"/>
                <w:szCs w:val="21"/>
              </w:rPr>
              <w:t>最大占标率（%）</w:t>
            </w:r>
          </w:p>
        </w:tc>
        <w:tc>
          <w:tcPr>
            <w:tcW w:w="2184" w:type="dxa"/>
            <w:tcBorders>
              <w:tl2br w:val="nil"/>
              <w:tr2bl w:val="nil"/>
            </w:tcBorders>
            <w:vAlign w:val="center"/>
          </w:tcPr>
          <w:p>
            <w:pPr>
              <w:pStyle w:val="15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b/>
                <w:bCs/>
                <w:color w:val="auto"/>
                <w:sz w:val="21"/>
                <w:szCs w:val="21"/>
              </w:rPr>
            </w:pPr>
            <w:r>
              <w:rPr>
                <w:rFonts w:hint="default" w:ascii="Times New Roman" w:hAnsi="Times New Roman"/>
                <w:b/>
                <w:color w:val="auto"/>
                <w:kern w:val="0"/>
                <w:szCs w:val="20"/>
                <w:highlight w:val="no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186" w:type="dxa"/>
            <w:vMerge w:val="restart"/>
            <w:tcBorders>
              <w:tl2br w:val="nil"/>
              <w:tr2bl w:val="nil"/>
            </w:tcBorders>
            <w:vAlign w:val="center"/>
          </w:tcPr>
          <w:p>
            <w:pPr>
              <w:pStyle w:val="155"/>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牛</w:t>
            </w:r>
            <w:r>
              <w:rPr>
                <w:rFonts w:hint="default" w:ascii="Times New Roman"/>
                <w:color w:val="auto"/>
                <w:sz w:val="21"/>
                <w:szCs w:val="21"/>
              </w:rPr>
              <w:t>舍</w:t>
            </w:r>
            <w:r>
              <w:rPr>
                <w:rFonts w:hint="eastAsia" w:ascii="Times New Roman"/>
                <w:color w:val="auto"/>
                <w:sz w:val="21"/>
                <w:szCs w:val="21"/>
                <w:lang w:val="en-US" w:eastAsia="zh-CN"/>
              </w:rPr>
              <w:t>及发酵床</w:t>
            </w:r>
          </w:p>
        </w:tc>
        <w:tc>
          <w:tcPr>
            <w:tcW w:w="2185" w:type="dxa"/>
            <w:tcBorders>
              <w:tl2br w:val="nil"/>
              <w:tr2bl w:val="nil"/>
            </w:tcBorders>
            <w:vAlign w:val="center"/>
          </w:tcPr>
          <w:p>
            <w:pPr>
              <w:pStyle w:val="155"/>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ascii="Times New Roman"/>
                <w:color w:val="auto"/>
                <w:sz w:val="21"/>
                <w:szCs w:val="21"/>
              </w:rPr>
            </w:pPr>
            <w:r>
              <w:rPr>
                <w:rFonts w:hint="default" w:ascii="Times New Roman"/>
                <w:color w:val="auto"/>
                <w:sz w:val="21"/>
                <w:szCs w:val="21"/>
              </w:rPr>
              <w:t>NH</w:t>
            </w:r>
            <w:r>
              <w:rPr>
                <w:rFonts w:hint="default" w:ascii="Times New Roman"/>
                <w:color w:val="auto"/>
                <w:sz w:val="21"/>
                <w:szCs w:val="21"/>
                <w:vertAlign w:val="subscript"/>
              </w:rPr>
              <w:t>3</w:t>
            </w:r>
          </w:p>
        </w:tc>
        <w:tc>
          <w:tcPr>
            <w:tcW w:w="2184" w:type="dxa"/>
            <w:tcBorders>
              <w:tl2br w:val="nil"/>
              <w:tr2bl w:val="nil"/>
            </w:tcBorders>
            <w:vAlign w:val="center"/>
          </w:tcPr>
          <w:p>
            <w:pPr>
              <w:pStyle w:val="155"/>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5.69</w:t>
            </w:r>
          </w:p>
        </w:tc>
        <w:tc>
          <w:tcPr>
            <w:tcW w:w="2184" w:type="dxa"/>
            <w:tcBorders>
              <w:tl2br w:val="nil"/>
              <w:tr2bl w:val="nil"/>
            </w:tcBorders>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eastAsia" w:ascii="Times New Roman"/>
                <w:color w:val="auto"/>
                <w:sz w:val="21"/>
                <w:szCs w:val="21"/>
                <w:lang w:val="en-US" w:eastAsia="zh-CN"/>
              </w:rPr>
            </w:pPr>
            <w:r>
              <w:rPr>
                <w:rFonts w:hint="eastAsia" w:ascii="Times New Roman" w:hAnsi="Times New Roman"/>
                <w:color w:val="auto"/>
                <w:kern w:val="0"/>
                <w:highlight w:val="none"/>
                <w:lang w:val="en-US" w:eastAsia="zh-CN"/>
              </w:rPr>
              <w:t>二</w:t>
            </w:r>
            <w:r>
              <w:rPr>
                <w:rFonts w:hint="default" w:ascii="Times New Roman" w:hAnsi="Times New Roman"/>
                <w:color w:val="auto"/>
                <w:kern w:val="0"/>
                <w:highlight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186"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color w:val="auto"/>
                <w:kern w:val="0"/>
                <w:szCs w:val="21"/>
              </w:rPr>
            </w:pPr>
          </w:p>
        </w:tc>
        <w:tc>
          <w:tcPr>
            <w:tcW w:w="2185" w:type="dxa"/>
            <w:tcBorders>
              <w:tl2br w:val="nil"/>
              <w:tr2bl w:val="nil"/>
            </w:tcBorders>
            <w:vAlign w:val="center"/>
          </w:tcPr>
          <w:p>
            <w:pPr>
              <w:pStyle w:val="155"/>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ascii="Times New Roman"/>
                <w:color w:val="auto"/>
                <w:sz w:val="21"/>
                <w:szCs w:val="21"/>
              </w:rPr>
            </w:pPr>
            <w:r>
              <w:rPr>
                <w:rFonts w:hint="default" w:ascii="Times New Roman"/>
                <w:color w:val="auto"/>
                <w:sz w:val="21"/>
                <w:szCs w:val="21"/>
              </w:rPr>
              <w:t>H</w:t>
            </w:r>
            <w:r>
              <w:rPr>
                <w:rFonts w:hint="default" w:ascii="Times New Roman"/>
                <w:color w:val="auto"/>
                <w:sz w:val="21"/>
                <w:szCs w:val="21"/>
                <w:vertAlign w:val="subscript"/>
              </w:rPr>
              <w:t>2</w:t>
            </w:r>
            <w:r>
              <w:rPr>
                <w:rFonts w:hint="default" w:ascii="Times New Roman"/>
                <w:color w:val="auto"/>
                <w:sz w:val="21"/>
                <w:szCs w:val="21"/>
              </w:rPr>
              <w:t>S</w:t>
            </w:r>
          </w:p>
        </w:tc>
        <w:tc>
          <w:tcPr>
            <w:tcW w:w="2184" w:type="dxa"/>
            <w:tcBorders>
              <w:tl2br w:val="nil"/>
              <w:tr2bl w:val="nil"/>
            </w:tcBorders>
            <w:vAlign w:val="center"/>
          </w:tcPr>
          <w:p>
            <w:pPr>
              <w:pStyle w:val="155"/>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6.7</w:t>
            </w:r>
          </w:p>
        </w:tc>
        <w:tc>
          <w:tcPr>
            <w:tcW w:w="2184" w:type="dxa"/>
            <w:tcBorders>
              <w:tl2br w:val="nil"/>
              <w:tr2bl w:val="nil"/>
            </w:tcBorders>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eastAsia" w:ascii="Times New Roman"/>
                <w:color w:val="auto"/>
                <w:sz w:val="21"/>
                <w:szCs w:val="21"/>
                <w:lang w:val="en-US" w:eastAsia="zh-CN"/>
              </w:rPr>
            </w:pPr>
            <w:r>
              <w:rPr>
                <w:rFonts w:hint="eastAsia" w:ascii="Times New Roman" w:hAnsi="Times New Roman"/>
                <w:color w:val="auto"/>
                <w:kern w:val="0"/>
                <w:highlight w:val="none"/>
                <w:lang w:val="en-US" w:eastAsia="zh-CN"/>
              </w:rPr>
              <w:t>二</w:t>
            </w:r>
            <w:r>
              <w:rPr>
                <w:rFonts w:hint="default" w:ascii="Times New Roman" w:hAnsi="Times New Roman"/>
                <w:color w:val="auto"/>
                <w:kern w:val="0"/>
                <w:highlight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86" w:type="dxa"/>
            <w:tcBorders>
              <w:tl2br w:val="nil"/>
              <w:tr2bl w:val="nil"/>
            </w:tcBorders>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color w:val="auto"/>
                <w:kern w:val="0"/>
                <w:szCs w:val="21"/>
              </w:rPr>
            </w:pPr>
            <w:r>
              <w:rPr>
                <w:rFonts w:hint="eastAsia" w:cs="Times New Roman"/>
                <w:color w:val="auto"/>
                <w:lang w:val="en-US" w:eastAsia="zh-CN"/>
              </w:rPr>
              <w:t>TMR管理中心</w:t>
            </w:r>
          </w:p>
        </w:tc>
        <w:tc>
          <w:tcPr>
            <w:tcW w:w="2185" w:type="dxa"/>
            <w:tcBorders>
              <w:tl2br w:val="nil"/>
              <w:tr2bl w:val="nil"/>
            </w:tcBorders>
            <w:vAlign w:val="center"/>
          </w:tcPr>
          <w:p>
            <w:pPr>
              <w:pStyle w:val="155"/>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TSP</w:t>
            </w:r>
          </w:p>
        </w:tc>
        <w:tc>
          <w:tcPr>
            <w:tcW w:w="2184" w:type="dxa"/>
            <w:tcBorders>
              <w:tl2br w:val="nil"/>
              <w:tr2bl w:val="nil"/>
            </w:tcBorders>
            <w:vAlign w:val="center"/>
          </w:tcPr>
          <w:p>
            <w:pPr>
              <w:pStyle w:val="155"/>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ascii="Times New Roman"/>
                <w:color w:val="auto"/>
                <w:sz w:val="21"/>
                <w:szCs w:val="21"/>
                <w:lang w:val="en-US" w:eastAsia="zh-CN"/>
              </w:rPr>
            </w:pPr>
            <w:r>
              <w:rPr>
                <w:rFonts w:hint="eastAsia" w:ascii="Times New Roman"/>
                <w:color w:val="auto"/>
                <w:sz w:val="21"/>
                <w:szCs w:val="21"/>
                <w:lang w:val="en-US" w:eastAsia="zh-CN"/>
              </w:rPr>
              <w:t>5.36</w:t>
            </w:r>
          </w:p>
        </w:tc>
        <w:tc>
          <w:tcPr>
            <w:tcW w:w="2184" w:type="dxa"/>
            <w:tcBorders>
              <w:tl2br w:val="nil"/>
              <w:tr2bl w:val="nil"/>
            </w:tcBorders>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firstLine="0" w:firstLineChars="0"/>
              <w:jc w:val="center"/>
              <w:rPr>
                <w:rFonts w:hint="default" w:ascii="Times New Roman" w:hAnsi="Times New Roman"/>
                <w:color w:val="auto"/>
                <w:kern w:val="0"/>
                <w:highlight w:val="none"/>
              </w:rPr>
            </w:pPr>
            <w:r>
              <w:rPr>
                <w:rFonts w:hint="eastAsia" w:ascii="Times New Roman" w:hAnsi="Times New Roman"/>
                <w:color w:val="auto"/>
                <w:kern w:val="0"/>
                <w:highlight w:val="none"/>
                <w:lang w:val="en-US" w:eastAsia="zh-CN"/>
              </w:rPr>
              <w:t>二</w:t>
            </w:r>
            <w:r>
              <w:rPr>
                <w:rFonts w:hint="default" w:ascii="Times New Roman" w:hAnsi="Times New Roman"/>
                <w:color w:val="auto"/>
                <w:kern w:val="0"/>
                <w:highlight w:val="none"/>
              </w:rPr>
              <w:t>级</w:t>
            </w:r>
          </w:p>
        </w:tc>
      </w:tr>
    </w:tbl>
    <w:p>
      <w:pPr>
        <w:pStyle w:val="4"/>
        <w:tabs>
          <w:tab w:val="left" w:pos="938"/>
        </w:tabs>
        <w:snapToGrid w:val="0"/>
        <w:spacing w:before="120" w:beforeLines="50" w:line="360" w:lineRule="auto"/>
        <w:ind w:firstLine="480" w:firstLineChars="200"/>
        <w:rPr>
          <w:rFonts w:ascii="Times New Roman"/>
          <w:color w:val="auto"/>
          <w:szCs w:val="24"/>
        </w:rPr>
      </w:pPr>
      <w:r>
        <w:rPr>
          <w:rFonts w:ascii="Times New Roman"/>
          <w:color w:val="auto"/>
          <w:szCs w:val="24"/>
        </w:rPr>
        <w:t>2、估算模型计算结果</w:t>
      </w:r>
    </w:p>
    <w:p>
      <w:pPr>
        <w:pStyle w:val="4"/>
        <w:tabs>
          <w:tab w:val="left" w:pos="938"/>
        </w:tabs>
        <w:snapToGrid w:val="0"/>
        <w:spacing w:line="360" w:lineRule="auto"/>
        <w:ind w:firstLine="480" w:firstLineChars="200"/>
        <w:rPr>
          <w:rFonts w:ascii="Times New Roman"/>
          <w:color w:val="auto"/>
          <w:szCs w:val="24"/>
        </w:rPr>
      </w:pPr>
      <w:r>
        <w:rPr>
          <w:rFonts w:ascii="Times New Roman"/>
          <w:color w:val="auto"/>
          <w:szCs w:val="24"/>
        </w:rPr>
        <w:t>环评选择《环境影响评价技术导则—大气环境》（HJ2.2-2018）中推荐模式中的 AERSCREEN 模型对大气环境评价工作进行判定。计算各污染物的最大影响程度和最远影响范围，然后按评价工作分级判据进行分级。</w:t>
      </w:r>
    </w:p>
    <w:p>
      <w:pPr>
        <w:pStyle w:val="4"/>
        <w:tabs>
          <w:tab w:val="left" w:pos="938"/>
        </w:tabs>
        <w:snapToGrid w:val="0"/>
        <w:spacing w:line="360" w:lineRule="auto"/>
        <w:ind w:firstLine="480" w:firstLineChars="200"/>
        <w:rPr>
          <w:rFonts w:ascii="Times New Roman"/>
          <w:color w:val="auto"/>
          <w:szCs w:val="24"/>
        </w:rPr>
      </w:pPr>
      <w:r>
        <w:rPr>
          <w:rFonts w:ascii="Times New Roman"/>
          <w:color w:val="auto"/>
          <w:szCs w:val="24"/>
        </w:rPr>
        <w:t>计算污染的最大地面浓度占标率P</w:t>
      </w:r>
      <w:r>
        <w:rPr>
          <w:rFonts w:ascii="Times New Roman"/>
          <w:color w:val="auto"/>
          <w:szCs w:val="24"/>
          <w:vertAlign w:val="subscript"/>
        </w:rPr>
        <w:t>i</w:t>
      </w:r>
      <w:r>
        <w:rPr>
          <w:rFonts w:ascii="Times New Roman"/>
          <w:color w:val="auto"/>
          <w:szCs w:val="24"/>
        </w:rPr>
        <w:t>（第 i 个污染物），及第i个污染物的地面浓度达标准限制 10%时所对应的最远距离 D 10% 。其中P</w:t>
      </w:r>
      <w:r>
        <w:rPr>
          <w:rFonts w:ascii="Times New Roman"/>
          <w:color w:val="auto"/>
          <w:szCs w:val="24"/>
          <w:vertAlign w:val="subscript"/>
        </w:rPr>
        <w:t>i</w:t>
      </w:r>
      <w:r>
        <w:rPr>
          <w:rFonts w:ascii="Times New Roman"/>
          <w:color w:val="auto"/>
          <w:szCs w:val="24"/>
        </w:rPr>
        <w:t>定义为</w:t>
      </w:r>
    </w:p>
    <w:p>
      <w:pPr>
        <w:pStyle w:val="4"/>
        <w:tabs>
          <w:tab w:val="left" w:pos="938"/>
        </w:tabs>
        <w:snapToGrid w:val="0"/>
        <w:spacing w:line="360" w:lineRule="auto"/>
        <w:ind w:firstLine="480" w:firstLineChars="200"/>
        <w:jc w:val="center"/>
        <w:rPr>
          <w:rFonts w:ascii="Times New Roman"/>
          <w:color w:val="auto"/>
          <w:szCs w:val="24"/>
        </w:rPr>
      </w:pPr>
      <w:r>
        <w:rPr>
          <w:rFonts w:ascii="Times New Roman"/>
          <w:color w:val="auto"/>
        </w:rPr>
        <w:object>
          <v:shape id="_x0000_i1025" o:spt="75" type="#_x0000_t75" style="height:34.45pt;width:80.7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p>
    <w:p>
      <w:pPr>
        <w:spacing w:line="360" w:lineRule="auto"/>
        <w:ind w:firstLine="540"/>
        <w:rPr>
          <w:color w:val="auto"/>
          <w:kern w:val="0"/>
          <w:sz w:val="24"/>
        </w:rPr>
      </w:pPr>
      <w:r>
        <w:rPr>
          <w:color w:val="auto"/>
          <w:kern w:val="0"/>
          <w:sz w:val="24"/>
        </w:rPr>
        <w:t>式中：P</w:t>
      </w:r>
      <w:r>
        <w:rPr>
          <w:color w:val="auto"/>
          <w:kern w:val="0"/>
          <w:sz w:val="24"/>
          <w:vertAlign w:val="subscript"/>
        </w:rPr>
        <w:t>i</w:t>
      </w:r>
      <w:r>
        <w:rPr>
          <w:color w:val="auto"/>
          <w:kern w:val="0"/>
          <w:sz w:val="24"/>
        </w:rPr>
        <w:t>——第i个污染物的最大地面浓度占标率，%；</w:t>
      </w:r>
    </w:p>
    <w:p>
      <w:pPr>
        <w:spacing w:line="360" w:lineRule="auto"/>
        <w:ind w:firstLine="540"/>
        <w:rPr>
          <w:color w:val="auto"/>
          <w:kern w:val="0"/>
          <w:sz w:val="24"/>
        </w:rPr>
      </w:pPr>
      <w:r>
        <w:rPr>
          <w:color w:val="auto"/>
          <w:kern w:val="0"/>
          <w:sz w:val="24"/>
        </w:rPr>
        <w:t xml:space="preserve">      C</w:t>
      </w:r>
      <w:r>
        <w:rPr>
          <w:color w:val="auto"/>
          <w:kern w:val="0"/>
          <w:sz w:val="24"/>
          <w:vertAlign w:val="subscript"/>
        </w:rPr>
        <w:t>i</w:t>
      </w:r>
      <w:r>
        <w:rPr>
          <w:color w:val="auto"/>
          <w:kern w:val="0"/>
          <w:sz w:val="24"/>
        </w:rPr>
        <w:t>——采用估算模式计算出的第i个污染物的最大地面浓度，mg/m</w:t>
      </w:r>
      <w:r>
        <w:rPr>
          <w:color w:val="auto"/>
          <w:kern w:val="0"/>
          <w:sz w:val="24"/>
          <w:vertAlign w:val="superscript"/>
        </w:rPr>
        <w:t>3</w:t>
      </w:r>
      <w:r>
        <w:rPr>
          <w:color w:val="auto"/>
          <w:kern w:val="0"/>
          <w:sz w:val="24"/>
        </w:rPr>
        <w:t>；</w:t>
      </w:r>
    </w:p>
    <w:p>
      <w:pPr>
        <w:spacing w:line="360" w:lineRule="auto"/>
        <w:ind w:firstLine="540"/>
        <w:rPr>
          <w:color w:val="auto"/>
          <w:kern w:val="0"/>
          <w:sz w:val="24"/>
        </w:rPr>
      </w:pPr>
      <w:r>
        <w:rPr>
          <w:color w:val="auto"/>
          <w:kern w:val="0"/>
          <w:sz w:val="24"/>
        </w:rPr>
        <w:t xml:space="preserve">      C</w:t>
      </w:r>
      <w:r>
        <w:rPr>
          <w:color w:val="auto"/>
          <w:kern w:val="0"/>
          <w:sz w:val="24"/>
          <w:vertAlign w:val="subscript"/>
        </w:rPr>
        <w:t>oi</w:t>
      </w:r>
      <w:r>
        <w:rPr>
          <w:color w:val="auto"/>
          <w:kern w:val="0"/>
          <w:sz w:val="24"/>
        </w:rPr>
        <w:t>——第i个污染物的环境空气质量标准，mg/m</w:t>
      </w:r>
      <w:r>
        <w:rPr>
          <w:color w:val="auto"/>
          <w:kern w:val="0"/>
          <w:sz w:val="24"/>
          <w:vertAlign w:val="superscript"/>
        </w:rPr>
        <w:t>3</w:t>
      </w:r>
      <w:r>
        <w:rPr>
          <w:color w:val="auto"/>
          <w:kern w:val="0"/>
          <w:sz w:val="24"/>
        </w:rPr>
        <w:t>。</w:t>
      </w:r>
    </w:p>
    <w:p>
      <w:pPr>
        <w:spacing w:line="360" w:lineRule="auto"/>
        <w:ind w:firstLine="540"/>
        <w:rPr>
          <w:color w:val="auto"/>
          <w:kern w:val="0"/>
          <w:sz w:val="24"/>
        </w:rPr>
      </w:pPr>
      <w:r>
        <w:rPr>
          <w:color w:val="auto"/>
          <w:kern w:val="0"/>
          <w:sz w:val="24"/>
        </w:rPr>
        <w:t>评价工作等级按下表的分级判据进行划分。若污染物数i大于1，取P值中最大者（P</w:t>
      </w:r>
      <w:r>
        <w:rPr>
          <w:color w:val="auto"/>
          <w:kern w:val="0"/>
          <w:sz w:val="24"/>
          <w:vertAlign w:val="subscript"/>
        </w:rPr>
        <w:t>max</w:t>
      </w:r>
      <w:r>
        <w:rPr>
          <w:color w:val="auto"/>
          <w:kern w:val="0"/>
          <w:sz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.5</w:t>
      </w:r>
      <w:r>
        <w:rPr>
          <w:rFonts w:ascii="Times New Roman" w:eastAsia="黑体"/>
          <w:color w:val="auto"/>
          <w:sz w:val="21"/>
        </w:rPr>
        <w:t>-</w:t>
      </w:r>
      <w:r>
        <w:rPr>
          <w:rFonts w:hint="eastAsia" w:ascii="Times New Roman" w:eastAsia="黑体"/>
          <w:color w:val="auto"/>
          <w:sz w:val="21"/>
          <w:lang w:val="en-US" w:eastAsia="zh-CN"/>
        </w:rPr>
        <w:t>4</w:t>
      </w:r>
      <w:r>
        <w:rPr>
          <w:rFonts w:ascii="Times New Roman" w:eastAsia="黑体"/>
          <w:color w:val="auto"/>
          <w:sz w:val="21"/>
        </w:rPr>
        <w:t xml:space="preserve"> </w:t>
      </w:r>
      <w:r>
        <w:rPr>
          <w:rFonts w:hint="eastAsia" w:ascii="Times New Roman" w:eastAsia="黑体"/>
          <w:color w:val="auto"/>
          <w:sz w:val="21"/>
        </w:rPr>
        <w:t xml:space="preserve"> </w:t>
      </w:r>
      <w:r>
        <w:rPr>
          <w:rFonts w:ascii="Times New Roman" w:eastAsia="黑体"/>
          <w:color w:val="auto"/>
          <w:sz w:val="21"/>
        </w:rPr>
        <w:t>评价工作等级</w:t>
      </w:r>
    </w:p>
    <w:tbl>
      <w:tblPr>
        <w:tblStyle w:val="89"/>
        <w:tblW w:w="80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40"/>
        <w:gridCol w:w="59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40" w:type="dxa"/>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评价工作等级</w:t>
            </w:r>
          </w:p>
        </w:tc>
        <w:tc>
          <w:tcPr>
            <w:tcW w:w="5913" w:type="dxa"/>
            <w:vAlign w:val="center"/>
          </w:tcPr>
          <w:p>
            <w:pPr>
              <w:keepNext w:val="0"/>
              <w:keepLines w:val="0"/>
              <w:suppressLineNumbers w:val="0"/>
              <w:spacing w:before="0" w:beforeAutospacing="0" w:after="0" w:afterAutospacing="0" w:line="300" w:lineRule="exact"/>
              <w:ind w:left="0" w:right="0"/>
              <w:jc w:val="center"/>
              <w:rPr>
                <w:rFonts w:hint="default"/>
                <w:b/>
                <w:color w:val="auto"/>
                <w:szCs w:val="21"/>
              </w:rPr>
            </w:pPr>
            <w:r>
              <w:rPr>
                <w:rFonts w:hint="default"/>
                <w:b/>
                <w:color w:val="auto"/>
                <w:szCs w:val="21"/>
              </w:rPr>
              <w:t>评价工作分级判据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40"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一级</w:t>
            </w:r>
          </w:p>
        </w:tc>
        <w:tc>
          <w:tcPr>
            <w:tcW w:w="591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P</w:t>
            </w:r>
            <w:r>
              <w:rPr>
                <w:rFonts w:hint="default"/>
                <w:color w:val="auto"/>
                <w:szCs w:val="21"/>
                <w:vertAlign w:val="subscript"/>
              </w:rPr>
              <w:t>max</w:t>
            </w:r>
            <w:r>
              <w:rPr>
                <w:rFonts w:hint="default"/>
                <w:color w:val="auto"/>
                <w:szCs w:val="21"/>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40"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二级</w:t>
            </w:r>
          </w:p>
        </w:tc>
        <w:tc>
          <w:tcPr>
            <w:tcW w:w="591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1%≤P</w:t>
            </w:r>
            <w:r>
              <w:rPr>
                <w:rFonts w:hint="default"/>
                <w:color w:val="auto"/>
                <w:szCs w:val="21"/>
                <w:vertAlign w:val="subscript"/>
              </w:rPr>
              <w:t>max</w:t>
            </w:r>
            <w:r>
              <w:rPr>
                <w:rFonts w:hint="default"/>
                <w:color w:val="auto"/>
                <w:szCs w:val="21"/>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40"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三级</w:t>
            </w:r>
          </w:p>
        </w:tc>
        <w:tc>
          <w:tcPr>
            <w:tcW w:w="591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P</w:t>
            </w:r>
            <w:r>
              <w:rPr>
                <w:rFonts w:hint="default"/>
                <w:color w:val="auto"/>
                <w:szCs w:val="21"/>
                <w:vertAlign w:val="subscript"/>
              </w:rPr>
              <w:t>max</w:t>
            </w:r>
            <w:r>
              <w:rPr>
                <w:rFonts w:hint="default"/>
                <w:color w:val="auto"/>
                <w:szCs w:val="21"/>
              </w:rPr>
              <w:t>&lt;1%</w:t>
            </w:r>
          </w:p>
        </w:tc>
      </w:tr>
    </w:tbl>
    <w:p>
      <w:pPr>
        <w:spacing w:line="360" w:lineRule="auto"/>
        <w:ind w:firstLine="540"/>
        <w:rPr>
          <w:rFonts w:hint="default" w:ascii="Times New Roman" w:hAnsi="Times New Roman" w:cs="Times New Roman"/>
          <w:color w:val="auto"/>
          <w:kern w:val="0"/>
          <w:sz w:val="24"/>
        </w:rPr>
      </w:pPr>
      <w:r>
        <w:rPr>
          <w:rFonts w:hint="default" w:ascii="Times New Roman" w:hAnsi="Times New Roman" w:cs="Times New Roman"/>
          <w:color w:val="auto"/>
          <w:kern w:val="0"/>
          <w:sz w:val="24"/>
        </w:rPr>
        <w:t>经计算，</w:t>
      </w:r>
      <w:r>
        <w:rPr>
          <w:rFonts w:hint="eastAsia" w:cs="Times New Roman"/>
          <w:color w:val="auto"/>
          <w:kern w:val="0"/>
          <w:sz w:val="24"/>
          <w:lang w:val="en-US" w:eastAsia="zh-CN"/>
        </w:rPr>
        <w:t>牛舍</w:t>
      </w:r>
      <w:r>
        <w:rPr>
          <w:rFonts w:hint="default" w:ascii="Times New Roman" w:hAnsi="Times New Roman" w:cs="Times New Roman"/>
          <w:color w:val="auto"/>
          <w:sz w:val="24"/>
        </w:rPr>
        <w:t>无组织排放的氨最大落地浓度占标率最大，为</w:t>
      </w:r>
      <w:r>
        <w:rPr>
          <w:rFonts w:hint="eastAsia" w:cs="Times New Roman"/>
          <w:color w:val="auto"/>
          <w:sz w:val="24"/>
          <w:lang w:val="en-US" w:eastAsia="zh-CN"/>
        </w:rPr>
        <w:t>6.7</w:t>
      </w:r>
      <w:r>
        <w:rPr>
          <w:rFonts w:hint="default" w:ascii="Times New Roman" w:hAnsi="Times New Roman" w:cs="Times New Roman"/>
          <w:color w:val="auto"/>
          <w:sz w:val="24"/>
        </w:rPr>
        <w:t>%</w:t>
      </w:r>
      <w:r>
        <w:rPr>
          <w:rFonts w:hint="default" w:ascii="Times New Roman" w:hAnsi="Times New Roman" w:cs="Times New Roman"/>
          <w:color w:val="auto"/>
          <w:kern w:val="0"/>
          <w:sz w:val="24"/>
        </w:rPr>
        <w:t>，小于10%。按《环境影响评价技术导则-大气环境》（HJ2.2-2018）中的规定，本项目大气环境评价为二级评价。</w:t>
      </w:r>
    </w:p>
    <w:p>
      <w:pPr>
        <w:pStyle w:val="180"/>
        <w:rPr>
          <w:rFonts w:hint="default" w:ascii="Times New Roman" w:hAnsi="Times New Roman" w:cs="Times New Roman" w:eastAsiaTheme="majorEastAsia"/>
          <w:b/>
          <w:bCs w:val="0"/>
          <w:color w:val="auto"/>
          <w:sz w:val="24"/>
          <w:szCs w:val="24"/>
        </w:rPr>
      </w:pPr>
      <w:bookmarkStart w:id="110" w:name="_Toc1926"/>
      <w:r>
        <w:rPr>
          <w:rFonts w:hint="default" w:ascii="Times New Roman" w:hAnsi="Times New Roman" w:cs="Times New Roman" w:eastAsiaTheme="majorEastAsia"/>
          <w:b/>
          <w:bCs w:val="0"/>
          <w:color w:val="auto"/>
          <w:sz w:val="24"/>
          <w:szCs w:val="24"/>
        </w:rPr>
        <w:t>地表水环境评价等级</w:t>
      </w:r>
      <w:bookmarkEnd w:id="110"/>
    </w:p>
    <w:p>
      <w:pPr>
        <w:pStyle w:val="4"/>
        <w:spacing w:line="360" w:lineRule="auto"/>
        <w:ind w:firstLine="522"/>
        <w:rPr>
          <w:rFonts w:hint="eastAsia" w:ascii="Times New Roman" w:hAnsi="Times New Roman" w:eastAsia="宋体" w:cs="Times New Roman"/>
          <w:color w:val="auto"/>
          <w:lang w:eastAsia="zh-CN"/>
        </w:rPr>
      </w:pPr>
      <w:r>
        <w:rPr>
          <w:rFonts w:hint="default" w:ascii="Times New Roman" w:hAnsi="Times New Roman" w:cs="Times New Roman"/>
          <w:color w:val="auto"/>
          <w:szCs w:val="28"/>
        </w:rPr>
        <w:t>项目营运期期间，各圈舍废水送发酵床，无废水外排</w:t>
      </w:r>
      <w:r>
        <w:rPr>
          <w:rFonts w:hint="eastAsia" w:ascii="Times New Roman" w:cs="Times New Roman"/>
          <w:color w:val="auto"/>
          <w:szCs w:val="28"/>
          <w:lang w:eastAsia="zh-CN"/>
        </w:rPr>
        <w:t>。</w:t>
      </w:r>
      <w:r>
        <w:rPr>
          <w:rFonts w:hint="default" w:ascii="Times New Roman" w:hAnsi="Times New Roman" w:cs="Times New Roman"/>
          <w:color w:val="auto"/>
          <w:szCs w:val="28"/>
        </w:rPr>
        <w:t>根据《环境影响评价技术导则 地表水环境》（HJ2.3—2018）表1注10，建设项目生产工艺中有废水产生，经处理后废水全部损耗</w:t>
      </w:r>
      <w:r>
        <w:rPr>
          <w:rFonts w:hint="eastAsia" w:ascii="Times New Roman" w:cs="Times New Roman"/>
          <w:color w:val="auto"/>
          <w:szCs w:val="28"/>
          <w:lang w:eastAsia="zh-CN"/>
        </w:rPr>
        <w:t>（</w:t>
      </w:r>
      <w:r>
        <w:rPr>
          <w:rFonts w:hint="eastAsia" w:ascii="Times New Roman" w:cs="Times New Roman"/>
          <w:color w:val="auto"/>
          <w:szCs w:val="28"/>
          <w:lang w:val="en-US" w:eastAsia="zh-CN"/>
        </w:rPr>
        <w:t>通过蒸发及生物发酵</w:t>
      </w:r>
      <w:r>
        <w:rPr>
          <w:rFonts w:hint="eastAsia" w:ascii="Times New Roman" w:cs="Times New Roman"/>
          <w:color w:val="auto"/>
          <w:szCs w:val="28"/>
          <w:lang w:eastAsia="zh-CN"/>
        </w:rPr>
        <w:t>）</w:t>
      </w:r>
      <w:r>
        <w:rPr>
          <w:rFonts w:hint="default" w:ascii="Times New Roman" w:hAnsi="Times New Roman" w:cs="Times New Roman"/>
          <w:color w:val="auto"/>
          <w:szCs w:val="28"/>
        </w:rPr>
        <w:t>，无废水排放，按三级B评价。</w:t>
      </w:r>
      <w:r>
        <w:rPr>
          <w:rFonts w:hint="default" w:ascii="Times New Roman" w:hAnsi="Times New Roman" w:cs="Times New Roman"/>
          <w:color w:val="auto"/>
        </w:rPr>
        <w:t>评价等级判别依据见</w:t>
      </w:r>
      <w:r>
        <w:rPr>
          <w:rFonts w:hint="eastAsia" w:ascii="Times New Roman" w:cs="Times New Roman"/>
          <w:color w:val="auto"/>
          <w:lang w:val="en-US" w:eastAsia="zh-CN"/>
        </w:rPr>
        <w:t>下</w:t>
      </w:r>
      <w:r>
        <w:rPr>
          <w:rFonts w:hint="default" w:ascii="Times New Roman" w:hAnsi="Times New Roman" w:cs="Times New Roman"/>
          <w:color w:val="auto"/>
        </w:rPr>
        <w:t>表</w:t>
      </w:r>
      <w:r>
        <w:rPr>
          <w:rFonts w:hint="eastAsia" w:ascii="Times New Roman" w:cs="Times New Roman"/>
          <w:color w:val="auto"/>
          <w:lang w:eastAsia="zh-CN"/>
        </w:rPr>
        <w:t>。</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2</w:t>
      </w:r>
      <w:r>
        <w:rPr>
          <w:rFonts w:hint="eastAsia" w:eastAsia="黑体"/>
          <w:color w:val="auto"/>
        </w:rPr>
        <w:t>.5</w:t>
      </w:r>
      <w:r>
        <w:rPr>
          <w:rFonts w:eastAsia="黑体"/>
          <w:color w:val="auto"/>
        </w:rPr>
        <w:t>-</w:t>
      </w:r>
      <w:r>
        <w:rPr>
          <w:rFonts w:hint="eastAsia" w:eastAsia="黑体"/>
          <w:color w:val="auto"/>
          <w:lang w:val="en-US" w:eastAsia="zh-CN"/>
        </w:rPr>
        <w:t>5</w:t>
      </w:r>
      <w:r>
        <w:rPr>
          <w:rFonts w:hint="eastAsia" w:eastAsia="黑体"/>
          <w:color w:val="auto"/>
        </w:rPr>
        <w:t xml:space="preserve">  </w:t>
      </w:r>
      <w:r>
        <w:rPr>
          <w:rFonts w:eastAsia="黑体"/>
          <w:color w:val="auto"/>
        </w:rPr>
        <w:t>水污染影响型建设项目评价等级判定表</w:t>
      </w:r>
    </w:p>
    <w:tbl>
      <w:tblPr>
        <w:tblStyle w:val="9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3"/>
        <w:gridCol w:w="2983"/>
        <w:gridCol w:w="3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vMerge w:val="restart"/>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评价等级</w:t>
            </w:r>
          </w:p>
        </w:tc>
        <w:tc>
          <w:tcPr>
            <w:tcW w:w="6056" w:type="dxa"/>
            <w:gridSpan w:val="2"/>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vMerge w:val="continue"/>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p>
        </w:tc>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排放方式</w:t>
            </w:r>
          </w:p>
        </w:tc>
        <w:tc>
          <w:tcPr>
            <w:tcW w:w="307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废水排放量 Q/（m</w:t>
            </w:r>
            <w:r>
              <w:rPr>
                <w:rFonts w:hint="default"/>
                <w:color w:val="auto"/>
                <w:szCs w:val="21"/>
                <w:vertAlign w:val="superscript"/>
              </w:rPr>
              <w:t>3</w:t>
            </w:r>
            <w:r>
              <w:rPr>
                <w:rFonts w:hint="default"/>
                <w:color w:val="auto"/>
                <w:szCs w:val="21"/>
              </w:rPr>
              <w:t>/d）；水污染物当量数W/（量纲一）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一级</w:t>
            </w:r>
          </w:p>
        </w:tc>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直接排放</w:t>
            </w:r>
          </w:p>
        </w:tc>
        <w:tc>
          <w:tcPr>
            <w:tcW w:w="307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Q≥</w:t>
            </w:r>
            <w:r>
              <w:rPr>
                <w:rFonts w:hint="eastAsia"/>
                <w:color w:val="auto"/>
                <w:szCs w:val="21"/>
                <w:lang w:val="en-US" w:eastAsia="zh-CN"/>
              </w:rPr>
              <w:t>20000</w:t>
            </w:r>
            <w:r>
              <w:rPr>
                <w:rFonts w:hint="default"/>
                <w:color w:val="auto"/>
                <w:szCs w:val="21"/>
              </w:rPr>
              <w:t>或 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二级</w:t>
            </w:r>
          </w:p>
        </w:tc>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直接排放</w:t>
            </w:r>
          </w:p>
        </w:tc>
        <w:tc>
          <w:tcPr>
            <w:tcW w:w="307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三级A</w:t>
            </w:r>
          </w:p>
        </w:tc>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直接排放</w:t>
            </w:r>
          </w:p>
        </w:tc>
        <w:tc>
          <w:tcPr>
            <w:tcW w:w="307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Q＜200 且 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三级B</w:t>
            </w:r>
          </w:p>
        </w:tc>
        <w:tc>
          <w:tcPr>
            <w:tcW w:w="298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间接排放</w:t>
            </w:r>
          </w:p>
        </w:tc>
        <w:tc>
          <w:tcPr>
            <w:tcW w:w="3073" w:type="dxa"/>
            <w:vAlign w:val="center"/>
          </w:tcPr>
          <w:p>
            <w:pPr>
              <w:keepNext w:val="0"/>
              <w:keepLines w:val="0"/>
              <w:suppressLineNumbers w:val="0"/>
              <w:spacing w:before="0" w:beforeAutospacing="0" w:after="0" w:afterAutospacing="0" w:line="300" w:lineRule="exact"/>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3"/>
          </w:tcPr>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2：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注3：厂区存在堆积物（露天堆放的原料、燃料、废渣等以及垃圾堆放场）、降尘污染的，应将初期雨污水纳入废水排放量，相应的主要污染物纳入水污染当量计算。</w:t>
            </w:r>
          </w:p>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注4：建设项目直接排放第一类污染物的，其评价等级为一级；建设项目直接排放的污染物为受纳水体超标因子的，评价等级不低于二级。</w:t>
            </w:r>
          </w:p>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注5：直接排放受纳水体影响范围涉及饮用水水源保护区、饮用水取水口、重点保护与珍稀水生生物的栖息地、重要水生生物的自然产卵场等保护目标时，评价等级不低于二级。</w:t>
            </w:r>
          </w:p>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 6：建设项目向河流、湖库排放温排水引起受纳水体水温变化超过水环境质量标准要求，且评价范围有水温敏感目标时，评价等级为一级。</w:t>
            </w:r>
          </w:p>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 7：建设项目利用海水作为调节温度介质，排水量≥500 万 m 3 /d，评价等级为一级；排水量＜500 万 m 3 /d，评价等级为二级。</w:t>
            </w:r>
          </w:p>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注8：仅涉及清净下水排放的，如其排放水质满足受纳水体水环境质量标准要求的，评价等级为三级 A。</w:t>
            </w:r>
          </w:p>
          <w:p>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注9：依托现有排放口，且对外环境未新增排放污染物的直接排放建设项目，评价等级参照间接排放，定为三级 B。</w:t>
            </w:r>
          </w:p>
          <w:p>
            <w:pPr>
              <w:keepNext w:val="0"/>
              <w:keepLines w:val="0"/>
              <w:suppressLineNumbers w:val="0"/>
              <w:spacing w:before="0" w:beforeAutospacing="0" w:after="0" w:afterAutospacing="0" w:line="300" w:lineRule="exact"/>
              <w:ind w:left="0" w:right="0"/>
              <w:jc w:val="left"/>
              <w:rPr>
                <w:rFonts w:hint="default"/>
                <w:color w:val="auto"/>
                <w:szCs w:val="21"/>
              </w:rPr>
            </w:pPr>
            <w:r>
              <w:rPr>
                <w:rFonts w:hint="default"/>
                <w:color w:val="auto"/>
                <w:sz w:val="18"/>
                <w:szCs w:val="18"/>
              </w:rPr>
              <w:t>注10：建设项目生产工艺中有废水产生，但作为回水利用，不排放到外环境的，按三级 B 评价。</w:t>
            </w:r>
          </w:p>
        </w:tc>
      </w:tr>
    </w:tbl>
    <w:p>
      <w:pPr>
        <w:pStyle w:val="180"/>
        <w:keepNext/>
        <w:keepLines/>
        <w:pageBreakBefore w:val="0"/>
        <w:widowControl w:val="0"/>
        <w:kinsoku/>
        <w:wordWrap/>
        <w:overflowPunct/>
        <w:topLinePunct w:val="0"/>
        <w:autoSpaceDE/>
        <w:autoSpaceDN/>
        <w:bidi w:val="0"/>
        <w:adjustRightInd w:val="0"/>
        <w:snapToGrid/>
        <w:spacing w:before="0" w:beforeLines="50"/>
        <w:textAlignment w:val="baseline"/>
        <w:rPr>
          <w:rFonts w:hint="default" w:ascii="Times New Roman" w:hAnsi="Times New Roman" w:cs="Times New Roman" w:eastAsiaTheme="majorEastAsia"/>
          <w:b/>
          <w:bCs w:val="0"/>
          <w:color w:val="auto"/>
          <w:sz w:val="24"/>
          <w:szCs w:val="24"/>
        </w:rPr>
      </w:pPr>
      <w:bookmarkStart w:id="111" w:name="_Toc13943"/>
      <w:r>
        <w:rPr>
          <w:rFonts w:hint="default" w:ascii="Times New Roman" w:hAnsi="Times New Roman" w:cs="Times New Roman" w:eastAsiaTheme="majorEastAsia"/>
          <w:b/>
          <w:bCs w:val="0"/>
          <w:color w:val="auto"/>
          <w:sz w:val="24"/>
          <w:szCs w:val="24"/>
        </w:rPr>
        <w:t>地下水环境评价等级</w:t>
      </w:r>
      <w:bookmarkEnd w:id="111"/>
    </w:p>
    <w:p>
      <w:pPr>
        <w:pStyle w:val="4"/>
        <w:tabs>
          <w:tab w:val="left" w:pos="938"/>
        </w:tabs>
        <w:snapToGrid w:val="0"/>
        <w:spacing w:line="360" w:lineRule="auto"/>
        <w:ind w:firstLine="480" w:firstLineChars="200"/>
        <w:jc w:val="both"/>
        <w:rPr>
          <w:rFonts w:ascii="Times New Roman"/>
          <w:color w:val="auto"/>
        </w:rPr>
      </w:pPr>
      <w:r>
        <w:rPr>
          <w:rFonts w:ascii="Times New Roman"/>
          <w:color w:val="auto"/>
        </w:rPr>
        <w:t>本项目为畜禽养殖场项目（</w:t>
      </w:r>
      <w:r>
        <w:rPr>
          <w:rFonts w:hint="default" w:ascii="Times New Roman" w:hAnsi="Times New Roman" w:cs="Times New Roman"/>
          <w:color w:val="auto"/>
          <w:sz w:val="24"/>
        </w:rPr>
        <w:t>本项目</w:t>
      </w:r>
      <w:r>
        <w:rPr>
          <w:rFonts w:hint="default" w:ascii="Times New Roman" w:hAnsi="Times New Roman" w:cs="Times New Roman"/>
          <w:color w:val="auto"/>
          <w:sz w:val="24"/>
          <w:szCs w:val="28"/>
        </w:rPr>
        <w:t>存栏</w:t>
      </w:r>
      <w:r>
        <w:rPr>
          <w:rFonts w:hint="eastAsia" w:ascii="Times New Roman" w:cs="Times New Roman"/>
          <w:color w:val="auto"/>
          <w:sz w:val="24"/>
          <w:szCs w:val="28"/>
          <w:lang w:val="en-US" w:eastAsia="zh-CN"/>
        </w:rPr>
        <w:t>9734</w:t>
      </w:r>
      <w:r>
        <w:rPr>
          <w:rFonts w:hint="default" w:ascii="Times New Roman" w:hAnsi="Times New Roman" w:cs="Times New Roman"/>
          <w:color w:val="auto"/>
          <w:sz w:val="24"/>
          <w:szCs w:val="28"/>
        </w:rPr>
        <w:t>头肉牛</w:t>
      </w:r>
      <w:r>
        <w:rPr>
          <w:rFonts w:hint="default" w:ascii="Times New Roman" w:hAnsi="Times New Roman" w:cs="Times New Roman"/>
          <w:color w:val="auto"/>
          <w:sz w:val="24"/>
        </w:rPr>
        <w:t>，折合生猪</w:t>
      </w:r>
      <w:r>
        <w:rPr>
          <w:rFonts w:hint="eastAsia" w:ascii="Times New Roman" w:cs="Times New Roman"/>
          <w:color w:val="auto"/>
          <w:sz w:val="24"/>
          <w:lang w:val="en-US" w:eastAsia="zh-CN"/>
        </w:rPr>
        <w:t>48670</w:t>
      </w:r>
      <w:r>
        <w:rPr>
          <w:rFonts w:hint="default" w:ascii="Times New Roman" w:hAnsi="Times New Roman" w:cs="Times New Roman"/>
          <w:color w:val="auto"/>
          <w:sz w:val="24"/>
        </w:rPr>
        <w:t>头</w:t>
      </w:r>
      <w:r>
        <w:rPr>
          <w:rFonts w:ascii="Times New Roman"/>
          <w:color w:val="auto"/>
        </w:rPr>
        <w:t>），根据《环境影响评价技术导则 地下水环境》（HJ610-2016）附录A，工程为</w:t>
      </w:r>
      <w:r>
        <w:rPr>
          <w:rFonts w:ascii="Times New Roman"/>
          <w:color w:val="auto"/>
        </w:rPr>
        <w:fldChar w:fldCharType="begin"/>
      </w:r>
      <w:r>
        <w:rPr>
          <w:rFonts w:ascii="Times New Roman"/>
          <w:color w:val="auto"/>
        </w:rPr>
        <w:instrText xml:space="preserve">= 3 \* ROMAN</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类建设项目；根据《环境影响评价技术导则 地下水环境》（HJ610-2016）附录A。确定依据见</w:t>
      </w:r>
      <w:r>
        <w:rPr>
          <w:rFonts w:hint="eastAsia" w:ascii="Times New Roman"/>
          <w:color w:val="auto"/>
          <w:lang w:val="en-US" w:eastAsia="zh-CN"/>
        </w:rPr>
        <w:t>下</w:t>
      </w:r>
      <w:r>
        <w:rPr>
          <w:rFonts w:ascii="Times New Roman"/>
          <w:color w:val="auto"/>
        </w:rPr>
        <w:t>表。</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2</w:t>
      </w:r>
      <w:r>
        <w:rPr>
          <w:rFonts w:hint="eastAsia" w:eastAsia="黑体"/>
          <w:color w:val="auto"/>
        </w:rPr>
        <w:t>.5</w:t>
      </w:r>
      <w:r>
        <w:rPr>
          <w:rFonts w:eastAsia="黑体"/>
          <w:color w:val="auto"/>
        </w:rPr>
        <w:t>-</w:t>
      </w:r>
      <w:r>
        <w:rPr>
          <w:rFonts w:hint="eastAsia" w:eastAsia="黑体"/>
          <w:color w:val="auto"/>
          <w:lang w:val="en-US" w:eastAsia="zh-CN"/>
        </w:rPr>
        <w:t>6</w:t>
      </w:r>
      <w:r>
        <w:rPr>
          <w:rFonts w:hint="eastAsia" w:eastAsia="黑体"/>
          <w:color w:val="auto"/>
        </w:rPr>
        <w:t xml:space="preserve">  </w:t>
      </w:r>
      <w:r>
        <w:rPr>
          <w:rFonts w:eastAsia="黑体"/>
          <w:color w:val="auto"/>
        </w:rPr>
        <w:t>地下水环境敏感程度分级表</w:t>
      </w:r>
    </w:p>
    <w:tbl>
      <w:tblPr>
        <w:tblStyle w:val="90"/>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敏感程度</w:t>
            </w:r>
          </w:p>
        </w:tc>
        <w:tc>
          <w:tcPr>
            <w:tcW w:w="7847"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敏感</w:t>
            </w:r>
          </w:p>
        </w:tc>
        <w:tc>
          <w:tcPr>
            <w:tcW w:w="7847"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较敏感</w:t>
            </w:r>
          </w:p>
        </w:tc>
        <w:tc>
          <w:tcPr>
            <w:tcW w:w="7847"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hint="default"/>
                <w:color w:val="auto"/>
                <w:szCs w:val="21"/>
                <w:vertAlign w:val="superscript"/>
              </w:rPr>
              <w:t>a</w:t>
            </w:r>
            <w:r>
              <w:rPr>
                <w:rFonts w:hint="default"/>
                <w:color w:val="auto"/>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不敏感</w:t>
            </w:r>
          </w:p>
        </w:tc>
        <w:tc>
          <w:tcPr>
            <w:tcW w:w="7847"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gridSpan w:val="2"/>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注：a“环境敏感区”是指《建设项目环境影响评价分类管理名录》中所界定的涉及地下水的环境敏感区。</w:t>
            </w:r>
          </w:p>
        </w:tc>
      </w:tr>
    </w:tbl>
    <w:p>
      <w:pPr>
        <w:pStyle w:val="4"/>
        <w:tabs>
          <w:tab w:val="left" w:pos="938"/>
        </w:tabs>
        <w:snapToGrid w:val="0"/>
        <w:spacing w:before="120" w:beforeLines="50" w:line="360" w:lineRule="auto"/>
        <w:ind w:firstLine="480" w:firstLineChars="200"/>
        <w:jc w:val="both"/>
        <w:rPr>
          <w:rFonts w:ascii="Times New Roman"/>
          <w:color w:val="auto"/>
          <w:kern w:val="2"/>
          <w:szCs w:val="24"/>
        </w:rPr>
      </w:pPr>
      <w:r>
        <w:rPr>
          <w:rFonts w:ascii="Times New Roman"/>
          <w:color w:val="auto"/>
          <w:kern w:val="2"/>
          <w:szCs w:val="24"/>
        </w:rPr>
        <w:t>根据现场调查，评价范围内无地下水集中式供水水源地及其它与地下水环境相关的保护区</w:t>
      </w:r>
      <w:r>
        <w:rPr>
          <w:rFonts w:hint="eastAsia" w:ascii="Times New Roman"/>
          <w:color w:val="auto"/>
          <w:kern w:val="2"/>
          <w:szCs w:val="24"/>
          <w:lang w:eastAsia="zh-CN"/>
        </w:rPr>
        <w:t>。</w:t>
      </w:r>
      <w:r>
        <w:rPr>
          <w:rFonts w:hint="eastAsia" w:ascii="Times New Roman"/>
          <w:color w:val="auto"/>
          <w:kern w:val="2"/>
          <w:szCs w:val="24"/>
          <w:lang w:val="en-US" w:eastAsia="zh-CN"/>
        </w:rPr>
        <w:t>周边居民家中已通自来水，但任然有水井</w:t>
      </w:r>
      <w:r>
        <w:rPr>
          <w:rFonts w:hint="eastAsia" w:ascii="Times New Roman"/>
          <w:color w:val="auto"/>
          <w:kern w:val="2"/>
          <w:szCs w:val="24"/>
          <w:lang w:eastAsia="zh-CN"/>
        </w:rPr>
        <w:t>，</w:t>
      </w:r>
      <w:r>
        <w:rPr>
          <w:rFonts w:ascii="Times New Roman"/>
          <w:color w:val="auto"/>
          <w:kern w:val="2"/>
          <w:szCs w:val="24"/>
        </w:rPr>
        <w:t>故评价范围内地下水具有分散式饮用水水源地功能。因此，确定区内地下水环境敏感程度为</w:t>
      </w:r>
      <w:r>
        <w:rPr>
          <w:rFonts w:hint="eastAsia" w:ascii="Times New Roman"/>
          <w:color w:val="auto"/>
          <w:kern w:val="2"/>
          <w:szCs w:val="24"/>
          <w:lang w:eastAsia="zh-CN"/>
        </w:rPr>
        <w:t>“</w:t>
      </w:r>
      <w:r>
        <w:rPr>
          <w:rFonts w:ascii="Times New Roman"/>
          <w:color w:val="auto"/>
          <w:kern w:val="2"/>
          <w:szCs w:val="24"/>
        </w:rPr>
        <w:t>较敏感</w:t>
      </w:r>
      <w:r>
        <w:rPr>
          <w:rFonts w:hint="eastAsia" w:ascii="Times New Roman"/>
          <w:color w:val="auto"/>
          <w:kern w:val="2"/>
          <w:szCs w:val="24"/>
          <w:lang w:eastAsia="zh-CN"/>
        </w:rPr>
        <w:t>”</w:t>
      </w:r>
      <w:r>
        <w:rPr>
          <w:rFonts w:ascii="Times New Roman"/>
          <w:color w:val="auto"/>
          <w:kern w:val="2"/>
          <w:szCs w:val="24"/>
        </w:rPr>
        <w:t>。</w:t>
      </w:r>
    </w:p>
    <w:p>
      <w:pPr>
        <w:pStyle w:val="4"/>
        <w:spacing w:line="360" w:lineRule="auto"/>
        <w:ind w:firstLine="522"/>
        <w:jc w:val="both"/>
        <w:rPr>
          <w:rFonts w:ascii="Times New Roman"/>
          <w:color w:val="auto"/>
        </w:rPr>
      </w:pPr>
      <w:r>
        <w:rPr>
          <w:rFonts w:ascii="Times New Roman"/>
          <w:color w:val="auto"/>
          <w:szCs w:val="24"/>
        </w:rPr>
        <w:t>本项目为</w:t>
      </w:r>
      <w:r>
        <w:rPr>
          <w:rFonts w:ascii="Times New Roman"/>
          <w:color w:val="auto"/>
          <w:szCs w:val="24"/>
        </w:rPr>
        <w:fldChar w:fldCharType="begin"/>
      </w:r>
      <w:r>
        <w:rPr>
          <w:rFonts w:ascii="Times New Roman"/>
          <w:color w:val="auto"/>
          <w:szCs w:val="24"/>
        </w:rPr>
        <w:instrText xml:space="preserve">= 3 \* ROMAN</w:instrText>
      </w:r>
      <w:r>
        <w:rPr>
          <w:rFonts w:ascii="Times New Roman"/>
          <w:color w:val="auto"/>
          <w:szCs w:val="24"/>
        </w:rPr>
        <w:fldChar w:fldCharType="separate"/>
      </w:r>
      <w:r>
        <w:rPr>
          <w:rFonts w:ascii="Times New Roman"/>
          <w:color w:val="auto"/>
          <w:szCs w:val="24"/>
        </w:rPr>
        <w:t>III</w:t>
      </w:r>
      <w:r>
        <w:rPr>
          <w:rFonts w:ascii="Times New Roman"/>
          <w:color w:val="auto"/>
          <w:szCs w:val="24"/>
        </w:rPr>
        <w:fldChar w:fldCharType="end"/>
      </w:r>
      <w:r>
        <w:rPr>
          <w:rFonts w:ascii="Times New Roman"/>
          <w:color w:val="auto"/>
          <w:szCs w:val="24"/>
        </w:rPr>
        <w:t>类建设项目，环境敏感程度为“较敏感”，依据表</w:t>
      </w:r>
      <w:r>
        <w:rPr>
          <w:rFonts w:hint="eastAsia" w:ascii="Times New Roman"/>
          <w:color w:val="auto"/>
          <w:szCs w:val="24"/>
          <w:lang w:val="en-US" w:eastAsia="zh-CN"/>
        </w:rPr>
        <w:t>2</w:t>
      </w:r>
      <w:r>
        <w:rPr>
          <w:rFonts w:hint="eastAsia" w:ascii="Times New Roman"/>
          <w:color w:val="auto"/>
          <w:szCs w:val="24"/>
        </w:rPr>
        <w:t>.5</w:t>
      </w:r>
      <w:r>
        <w:rPr>
          <w:rFonts w:ascii="Times New Roman"/>
          <w:color w:val="auto"/>
          <w:szCs w:val="24"/>
        </w:rPr>
        <w:t>-</w:t>
      </w:r>
      <w:r>
        <w:rPr>
          <w:rFonts w:hint="eastAsia" w:ascii="Times New Roman"/>
          <w:color w:val="auto"/>
          <w:szCs w:val="24"/>
          <w:lang w:val="en-US" w:eastAsia="zh-CN"/>
        </w:rPr>
        <w:t>7</w:t>
      </w:r>
      <w:r>
        <w:rPr>
          <w:rFonts w:ascii="Times New Roman"/>
          <w:color w:val="auto"/>
          <w:szCs w:val="24"/>
        </w:rPr>
        <w:t>，本项目地下水评价等级为三级。</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2</w:t>
      </w:r>
      <w:r>
        <w:rPr>
          <w:rFonts w:hint="eastAsia" w:eastAsia="黑体"/>
          <w:color w:val="auto"/>
        </w:rPr>
        <w:t>.5</w:t>
      </w:r>
      <w:r>
        <w:rPr>
          <w:rFonts w:eastAsia="黑体"/>
          <w:color w:val="auto"/>
        </w:rPr>
        <w:t>-</w:t>
      </w:r>
      <w:r>
        <w:rPr>
          <w:rFonts w:hint="eastAsia" w:eastAsia="黑体"/>
          <w:color w:val="auto"/>
          <w:lang w:val="en-US" w:eastAsia="zh-CN"/>
        </w:rPr>
        <w:t>7</w:t>
      </w:r>
      <w:r>
        <w:rPr>
          <w:rFonts w:hint="eastAsia" w:eastAsia="黑体"/>
          <w:color w:val="auto"/>
        </w:rPr>
        <w:t xml:space="preserve"> </w:t>
      </w:r>
      <w:r>
        <w:rPr>
          <w:rFonts w:eastAsia="黑体"/>
          <w:color w:val="auto"/>
        </w:rPr>
        <w:t xml:space="preserve"> 评价工作等级分级表</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237"/>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keepNext w:val="0"/>
              <w:keepLines w:val="0"/>
              <w:suppressLineNumbers w:val="0"/>
              <w:spacing w:before="0" w:beforeAutospacing="0" w:after="0" w:afterAutospacing="0"/>
              <w:ind w:left="0" w:right="0"/>
              <w:jc w:val="center"/>
              <w:rPr>
                <w:rFonts w:hint="default"/>
                <w:b/>
                <w:color w:val="auto"/>
              </w:rPr>
            </w:pPr>
          </w:p>
        </w:tc>
        <w:tc>
          <w:tcPr>
            <w:tcW w:w="2237" w:type="dxa"/>
            <w:vAlign w:val="center"/>
          </w:tcPr>
          <w:p>
            <w:pPr>
              <w:keepNext w:val="0"/>
              <w:keepLines w:val="0"/>
              <w:suppressLineNumbers w:val="0"/>
              <w:spacing w:before="0" w:beforeAutospacing="0" w:after="0" w:afterAutospacing="0"/>
              <w:ind w:left="0" w:right="0"/>
              <w:jc w:val="center"/>
              <w:rPr>
                <w:rFonts w:hint="default"/>
                <w:b/>
                <w:color w:val="auto"/>
              </w:rPr>
            </w:pPr>
            <w:r>
              <w:rPr>
                <w:rFonts w:hint="default"/>
                <w:b/>
                <w:color w:val="auto"/>
              </w:rPr>
              <w:fldChar w:fldCharType="begin"/>
            </w:r>
            <w:r>
              <w:rPr>
                <w:rFonts w:hint="default"/>
                <w:b/>
                <w:color w:val="auto"/>
              </w:rPr>
              <w:instrText xml:space="preserve">= 1 \* ROMAN</w:instrText>
            </w:r>
            <w:r>
              <w:rPr>
                <w:rFonts w:hint="default"/>
                <w:b/>
                <w:color w:val="auto"/>
              </w:rPr>
              <w:fldChar w:fldCharType="separate"/>
            </w:r>
            <w:r>
              <w:rPr>
                <w:rFonts w:hint="default"/>
                <w:b/>
                <w:color w:val="auto"/>
              </w:rPr>
              <w:t>I</w:t>
            </w:r>
            <w:r>
              <w:rPr>
                <w:rFonts w:hint="default"/>
                <w:b/>
                <w:color w:val="auto"/>
              </w:rPr>
              <w:fldChar w:fldCharType="end"/>
            </w:r>
            <w:r>
              <w:rPr>
                <w:rFonts w:hint="default"/>
                <w:b/>
                <w:color w:val="auto"/>
              </w:rPr>
              <w:t>类项目</w:t>
            </w:r>
          </w:p>
        </w:tc>
        <w:tc>
          <w:tcPr>
            <w:tcW w:w="2237" w:type="dxa"/>
            <w:vAlign w:val="center"/>
          </w:tcPr>
          <w:p>
            <w:pPr>
              <w:keepNext w:val="0"/>
              <w:keepLines w:val="0"/>
              <w:suppressLineNumbers w:val="0"/>
              <w:spacing w:before="0" w:beforeAutospacing="0" w:after="0" w:afterAutospacing="0"/>
              <w:ind w:left="0" w:right="0"/>
              <w:jc w:val="center"/>
              <w:rPr>
                <w:rFonts w:hint="default"/>
                <w:b/>
                <w:color w:val="auto"/>
              </w:rPr>
            </w:pPr>
            <w:r>
              <w:rPr>
                <w:rFonts w:hint="default"/>
                <w:b/>
                <w:color w:val="auto"/>
              </w:rPr>
              <w:fldChar w:fldCharType="begin"/>
            </w:r>
            <w:r>
              <w:rPr>
                <w:rFonts w:hint="default"/>
                <w:b/>
                <w:color w:val="auto"/>
              </w:rPr>
              <w:instrText xml:space="preserve">= 2 \* ROMAN</w:instrText>
            </w:r>
            <w:r>
              <w:rPr>
                <w:rFonts w:hint="default"/>
                <w:b/>
                <w:color w:val="auto"/>
              </w:rPr>
              <w:fldChar w:fldCharType="separate"/>
            </w:r>
            <w:r>
              <w:rPr>
                <w:rFonts w:hint="default"/>
                <w:b/>
                <w:color w:val="auto"/>
              </w:rPr>
              <w:t>II</w:t>
            </w:r>
            <w:r>
              <w:rPr>
                <w:rFonts w:hint="default"/>
                <w:b/>
                <w:color w:val="auto"/>
              </w:rPr>
              <w:fldChar w:fldCharType="end"/>
            </w:r>
            <w:r>
              <w:rPr>
                <w:rFonts w:hint="default"/>
                <w:b/>
                <w:color w:val="auto"/>
              </w:rPr>
              <w:t>类项目</w:t>
            </w:r>
          </w:p>
        </w:tc>
        <w:tc>
          <w:tcPr>
            <w:tcW w:w="2237" w:type="dxa"/>
            <w:vAlign w:val="center"/>
          </w:tcPr>
          <w:p>
            <w:pPr>
              <w:keepNext w:val="0"/>
              <w:keepLines w:val="0"/>
              <w:suppressLineNumbers w:val="0"/>
              <w:spacing w:before="0" w:beforeAutospacing="0" w:after="0" w:afterAutospacing="0"/>
              <w:ind w:left="0" w:right="0"/>
              <w:jc w:val="center"/>
              <w:rPr>
                <w:rFonts w:hint="default"/>
                <w:b/>
                <w:color w:val="auto"/>
              </w:rPr>
            </w:pPr>
            <w:r>
              <w:rPr>
                <w:rFonts w:hint="default"/>
                <w:b/>
                <w:color w:val="auto"/>
              </w:rPr>
              <w:fldChar w:fldCharType="begin"/>
            </w:r>
            <w:r>
              <w:rPr>
                <w:rFonts w:hint="default"/>
                <w:b/>
                <w:color w:val="auto"/>
              </w:rPr>
              <w:instrText xml:space="preserve">= 3 \* ROMAN</w:instrText>
            </w:r>
            <w:r>
              <w:rPr>
                <w:rFonts w:hint="default"/>
                <w:b/>
                <w:color w:val="auto"/>
              </w:rPr>
              <w:fldChar w:fldCharType="separate"/>
            </w:r>
            <w:r>
              <w:rPr>
                <w:rFonts w:hint="default"/>
                <w:b/>
                <w:color w:val="auto"/>
              </w:rPr>
              <w:t>III</w:t>
            </w:r>
            <w:r>
              <w:rPr>
                <w:rFonts w:hint="default"/>
                <w:b/>
                <w:color w:val="auto"/>
              </w:rPr>
              <w:fldChar w:fldCharType="end"/>
            </w:r>
            <w:r>
              <w:rPr>
                <w:rFonts w:hint="default"/>
                <w:b/>
                <w:color w:val="auto"/>
              </w:rP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敏感</w:t>
            </w:r>
          </w:p>
        </w:tc>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一</w:t>
            </w:r>
          </w:p>
        </w:tc>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一</w:t>
            </w:r>
          </w:p>
        </w:tc>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较敏感</w:t>
            </w:r>
          </w:p>
        </w:tc>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一</w:t>
            </w:r>
          </w:p>
        </w:tc>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二</w:t>
            </w:r>
          </w:p>
        </w:tc>
        <w:tc>
          <w:tcPr>
            <w:tcW w:w="2237" w:type="dxa"/>
            <w:vAlign w:val="center"/>
          </w:tcPr>
          <w:p>
            <w:pPr>
              <w:keepNext w:val="0"/>
              <w:keepLines w:val="0"/>
              <w:suppressLineNumbers w:val="0"/>
              <w:spacing w:before="0" w:beforeAutospacing="0" w:after="0" w:afterAutospacing="0"/>
              <w:ind w:left="0" w:right="0"/>
              <w:jc w:val="center"/>
              <w:rPr>
                <w:rFonts w:hint="default"/>
                <w:b/>
                <w:color w:val="auto"/>
              </w:rPr>
            </w:pPr>
            <w:r>
              <w:rPr>
                <w:rFonts w:hint="default"/>
                <w:b/>
                <w:color w:val="auto"/>
                <w:shd w:val="clear" w:fill="D7D7D7" w:themeFill="background1" w:themeFillShade="D8"/>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不敏感</w:t>
            </w:r>
          </w:p>
        </w:tc>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二</w:t>
            </w:r>
          </w:p>
        </w:tc>
        <w:tc>
          <w:tcPr>
            <w:tcW w:w="2237"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三</w:t>
            </w:r>
          </w:p>
        </w:tc>
        <w:tc>
          <w:tcPr>
            <w:tcW w:w="2237" w:type="dxa"/>
            <w:vAlign w:val="center"/>
          </w:tcPr>
          <w:p>
            <w:pPr>
              <w:keepNext w:val="0"/>
              <w:keepLines w:val="0"/>
              <w:suppressLineNumbers w:val="0"/>
              <w:spacing w:before="0" w:beforeAutospacing="0" w:after="0" w:afterAutospacing="0"/>
              <w:ind w:left="0" w:right="0"/>
              <w:jc w:val="center"/>
              <w:rPr>
                <w:rFonts w:hint="default" w:eastAsia="黑体"/>
                <w:color w:val="auto"/>
              </w:rPr>
            </w:pPr>
            <w:r>
              <w:rPr>
                <w:rFonts w:hint="default" w:eastAsia="黑体"/>
                <w:color w:val="auto"/>
              </w:rPr>
              <w:t>三</w:t>
            </w:r>
          </w:p>
        </w:tc>
      </w:tr>
    </w:tbl>
    <w:p>
      <w:pPr>
        <w:pStyle w:val="180"/>
        <w:keepNext/>
        <w:keepLines/>
        <w:pageBreakBefore w:val="0"/>
        <w:widowControl w:val="0"/>
        <w:kinsoku/>
        <w:wordWrap/>
        <w:overflowPunct/>
        <w:topLinePunct w:val="0"/>
        <w:autoSpaceDE/>
        <w:autoSpaceDN/>
        <w:bidi w:val="0"/>
        <w:adjustRightInd w:val="0"/>
        <w:snapToGrid/>
        <w:spacing w:before="0" w:beforeLines="50"/>
        <w:textAlignment w:val="baseline"/>
        <w:rPr>
          <w:rFonts w:hint="default" w:ascii="Times New Roman" w:hAnsi="Times New Roman" w:cs="Times New Roman" w:eastAsiaTheme="majorEastAsia"/>
          <w:b/>
          <w:bCs w:val="0"/>
          <w:color w:val="auto"/>
          <w:sz w:val="24"/>
          <w:szCs w:val="24"/>
        </w:rPr>
      </w:pPr>
      <w:bookmarkStart w:id="112" w:name="_Toc19370"/>
      <w:r>
        <w:rPr>
          <w:rFonts w:hint="default" w:ascii="Times New Roman" w:hAnsi="Times New Roman" w:cs="Times New Roman" w:eastAsiaTheme="majorEastAsia"/>
          <w:b/>
          <w:bCs w:val="0"/>
          <w:color w:val="auto"/>
          <w:sz w:val="24"/>
          <w:szCs w:val="24"/>
        </w:rPr>
        <w:t>声环境评价等级</w:t>
      </w:r>
      <w:bookmarkEnd w:id="112"/>
    </w:p>
    <w:p>
      <w:pPr>
        <w:pStyle w:val="4"/>
        <w:tabs>
          <w:tab w:val="left" w:pos="938"/>
        </w:tabs>
        <w:snapToGrid w:val="0"/>
        <w:spacing w:line="360" w:lineRule="auto"/>
        <w:ind w:firstLine="480" w:firstLineChars="200"/>
        <w:rPr>
          <w:rFonts w:ascii="Times New Roman"/>
          <w:color w:val="auto"/>
          <w:szCs w:val="24"/>
        </w:rPr>
      </w:pPr>
      <w:r>
        <w:rPr>
          <w:rFonts w:ascii="Times New Roman"/>
          <w:color w:val="auto"/>
          <w:szCs w:val="24"/>
        </w:rPr>
        <w:t>声环境评价工作等级划分的基本原则见</w:t>
      </w:r>
      <w:r>
        <w:rPr>
          <w:rFonts w:hint="eastAsia" w:ascii="Times New Roman"/>
          <w:color w:val="auto"/>
          <w:szCs w:val="24"/>
          <w:lang w:val="en-US" w:eastAsia="zh-CN"/>
        </w:rPr>
        <w:t>下</w:t>
      </w:r>
      <w:r>
        <w:rPr>
          <w:rFonts w:ascii="Times New Roman"/>
          <w:color w:val="auto"/>
          <w:szCs w:val="24"/>
        </w:rPr>
        <w:t>表：</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2.</w:t>
      </w:r>
      <w:r>
        <w:rPr>
          <w:rFonts w:hint="eastAsia" w:eastAsia="黑体"/>
          <w:color w:val="auto"/>
        </w:rPr>
        <w:t>5</w:t>
      </w:r>
      <w:r>
        <w:rPr>
          <w:rFonts w:eastAsia="黑体"/>
          <w:color w:val="auto"/>
        </w:rPr>
        <w:t>-</w:t>
      </w:r>
      <w:r>
        <w:rPr>
          <w:rFonts w:hint="eastAsia" w:eastAsia="黑体"/>
          <w:color w:val="auto"/>
          <w:lang w:val="en-US" w:eastAsia="zh-CN"/>
        </w:rPr>
        <w:t>8</w:t>
      </w:r>
      <w:r>
        <w:rPr>
          <w:rFonts w:hint="eastAsia" w:eastAsia="黑体"/>
          <w:color w:val="auto"/>
        </w:rPr>
        <w:t xml:space="preserve">  </w:t>
      </w:r>
      <w:r>
        <w:rPr>
          <w:rFonts w:eastAsia="黑体"/>
          <w:color w:val="auto"/>
        </w:rPr>
        <w:t>声环境评价工作等级划分基本原则</w:t>
      </w:r>
    </w:p>
    <w:tbl>
      <w:tblPr>
        <w:tblStyle w:val="89"/>
        <w:tblW w:w="873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980"/>
        <w:gridCol w:w="77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980" w:type="dxa"/>
            <w:vAlign w:val="center"/>
          </w:tcPr>
          <w:p>
            <w:pPr>
              <w:keepNext w:val="0"/>
              <w:keepLines w:val="0"/>
              <w:suppressLineNumbers w:val="0"/>
              <w:spacing w:before="0" w:beforeAutospacing="0" w:after="0" w:afterAutospacing="0"/>
              <w:ind w:left="0" w:right="0"/>
              <w:jc w:val="center"/>
              <w:rPr>
                <w:rFonts w:hint="default"/>
                <w:b/>
                <w:color w:val="auto"/>
              </w:rPr>
            </w:pPr>
            <w:r>
              <w:rPr>
                <w:rFonts w:hint="default"/>
                <w:b/>
                <w:color w:val="auto"/>
              </w:rPr>
              <w:t>等级分类</w:t>
            </w:r>
          </w:p>
        </w:tc>
        <w:tc>
          <w:tcPr>
            <w:tcW w:w="7758" w:type="dxa"/>
            <w:vAlign w:val="center"/>
          </w:tcPr>
          <w:p>
            <w:pPr>
              <w:keepNext w:val="0"/>
              <w:keepLines w:val="0"/>
              <w:suppressLineNumbers w:val="0"/>
              <w:spacing w:before="0" w:beforeAutospacing="0" w:after="0" w:afterAutospacing="0"/>
              <w:ind w:left="0" w:right="0"/>
              <w:jc w:val="center"/>
              <w:rPr>
                <w:rFonts w:hint="default"/>
                <w:b/>
                <w:color w:val="auto"/>
              </w:rPr>
            </w:pPr>
            <w:r>
              <w:rPr>
                <w:rFonts w:hint="default"/>
                <w:b/>
                <w:color w:val="auto"/>
              </w:rPr>
              <w:t>等级划分基本原则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2" w:hRule="atLeast"/>
          <w:jc w:val="center"/>
        </w:trPr>
        <w:tc>
          <w:tcPr>
            <w:tcW w:w="980"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一级</w:t>
            </w:r>
          </w:p>
        </w:tc>
        <w:tc>
          <w:tcPr>
            <w:tcW w:w="7758"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评价范围内有适用于GB3096规定的0类声环境功能区域，以及对噪声有特别限值要求的保护区等敏感目标，或建设项目建设前后评价范围内敏感目标噪声级增高量达5dB(A)以上[不含5dB(A)]，或受影响人口数量显著增多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69" w:hRule="atLeast"/>
          <w:jc w:val="center"/>
        </w:trPr>
        <w:tc>
          <w:tcPr>
            <w:tcW w:w="980"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二级</w:t>
            </w:r>
          </w:p>
        </w:tc>
        <w:tc>
          <w:tcPr>
            <w:tcW w:w="7758"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建设项目所处的声环境功能区为GB3096规定的1类、2类地区，或建设项目建设前后评价范围内敏感目标噪声级增高量达3～5dB(A)[含5dB(A)]，或受噪声影响人口数量增加较多时。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57" w:hRule="atLeast"/>
          <w:jc w:val="center"/>
        </w:trPr>
        <w:tc>
          <w:tcPr>
            <w:tcW w:w="980"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三级</w:t>
            </w:r>
          </w:p>
        </w:tc>
        <w:tc>
          <w:tcPr>
            <w:tcW w:w="7758"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建设项目所处的声环境功能区为GB3096规定的3类、4类地区，或建设项目建设前后评价范围内敏感目标噪声级增加量在3dB(A)[不含3dB]以下，且受影响人口数量变化不大时。</w:t>
            </w:r>
          </w:p>
        </w:tc>
      </w:tr>
    </w:tbl>
    <w:p>
      <w:pPr>
        <w:pStyle w:val="4"/>
        <w:spacing w:line="360" w:lineRule="auto"/>
        <w:ind w:firstLine="522"/>
        <w:jc w:val="both"/>
        <w:rPr>
          <w:rFonts w:ascii="Times New Roman"/>
          <w:color w:val="auto"/>
          <w:szCs w:val="24"/>
        </w:rPr>
      </w:pPr>
      <w:r>
        <w:rPr>
          <w:rFonts w:ascii="Times New Roman"/>
          <w:color w:val="auto"/>
          <w:szCs w:val="24"/>
        </w:rPr>
        <w:t>项目所在区域为农村地区，属于环境噪声2类声功能区，结合受影响人群程度，建设前后噪声变化＜3dB（A），且受影响人口变化不大，因此，本次声环境评价工作等级为二级。</w:t>
      </w:r>
    </w:p>
    <w:p>
      <w:pPr>
        <w:pStyle w:val="180"/>
        <w:rPr>
          <w:rFonts w:hint="default" w:ascii="Times New Roman" w:hAnsi="Times New Roman" w:cs="Times New Roman" w:eastAsiaTheme="majorEastAsia"/>
          <w:b/>
          <w:bCs w:val="0"/>
          <w:color w:val="auto"/>
          <w:sz w:val="24"/>
          <w:szCs w:val="24"/>
        </w:rPr>
      </w:pPr>
      <w:bookmarkStart w:id="113" w:name="_Toc13227"/>
      <w:r>
        <w:rPr>
          <w:rFonts w:hint="default" w:ascii="Times New Roman" w:hAnsi="Times New Roman" w:cs="Times New Roman" w:eastAsiaTheme="majorEastAsia"/>
          <w:b/>
          <w:bCs w:val="0"/>
          <w:color w:val="auto"/>
          <w:sz w:val="24"/>
          <w:szCs w:val="24"/>
        </w:rPr>
        <w:t>生态环境评价等级</w:t>
      </w:r>
      <w:bookmarkEnd w:id="113"/>
    </w:p>
    <w:p>
      <w:pPr>
        <w:pStyle w:val="4"/>
        <w:spacing w:line="360" w:lineRule="auto"/>
        <w:ind w:firstLine="480"/>
        <w:jc w:val="both"/>
        <w:rPr>
          <w:rFonts w:ascii="Times New Roman"/>
          <w:color w:val="auto"/>
          <w:szCs w:val="24"/>
        </w:rPr>
      </w:pPr>
      <w:r>
        <w:rPr>
          <w:rFonts w:ascii="Times New Roman"/>
          <w:color w:val="auto"/>
          <w:szCs w:val="24"/>
        </w:rPr>
        <w:t>按照《环境影响评价技术导则  生态影响》（HJ 19-2011），特殊生态敏感区指具有极重要的生态服务功能，生态系统极为脆弱或已有较为严重的生态问题，如遭到占用、损失或破坏后所造成的生态影响后果严重且难以预防、生态功能难以恢复和替代的区域，包括自然保护区、世界文化和自然遗产地等。重要生态敏感区是具有相对重要的生态服务功能或生态系统较为脆弱，如遭到占用、损失或破坏后所造成的生态影响后果较严重，但可以通过一定措施加以预防、恢复和替代的区域，包括风景名胜区、森林公园、地质公园、重要湿地、原始天然林、珍稀濒危野生动植物天然集中分布区、重要水生生物的自然产卵场及索饵场、越冬场和洄游通道、天然渔场等。</w:t>
      </w:r>
    </w:p>
    <w:p>
      <w:pPr>
        <w:pStyle w:val="4"/>
        <w:spacing w:line="360" w:lineRule="auto"/>
        <w:ind w:firstLine="480"/>
        <w:jc w:val="both"/>
        <w:rPr>
          <w:rFonts w:ascii="Times New Roman"/>
          <w:color w:val="auto"/>
          <w:szCs w:val="24"/>
        </w:rPr>
      </w:pPr>
      <w:r>
        <w:rPr>
          <w:rFonts w:ascii="Times New Roman"/>
          <w:color w:val="auto"/>
          <w:szCs w:val="24"/>
        </w:rPr>
        <w:t>本工程厂址不占用水域，所在位置也不属于以上区域，为导则中的一般区域。导则中生态影响评价工作等级划分见</w:t>
      </w:r>
      <w:r>
        <w:rPr>
          <w:rFonts w:hint="eastAsia" w:ascii="Times New Roman"/>
          <w:color w:val="auto"/>
          <w:szCs w:val="24"/>
          <w:lang w:val="en-US" w:eastAsia="zh-CN"/>
        </w:rPr>
        <w:t>下</w:t>
      </w:r>
      <w:r>
        <w:rPr>
          <w:rFonts w:ascii="Times New Roman"/>
          <w:color w:val="auto"/>
          <w:szCs w:val="24"/>
        </w:rPr>
        <w:t>表。</w:t>
      </w:r>
    </w:p>
    <w:p>
      <w:pPr>
        <w:ind w:firstLine="840" w:firstLineChars="400"/>
        <w:jc w:val="center"/>
        <w:rPr>
          <w:color w:val="auto"/>
        </w:rPr>
      </w:pPr>
      <w:r>
        <w:rPr>
          <w:rFonts w:eastAsia="黑体"/>
          <w:color w:val="auto"/>
        </w:rPr>
        <w:t>表</w:t>
      </w:r>
      <w:r>
        <w:rPr>
          <w:rFonts w:hint="eastAsia" w:eastAsia="黑体"/>
          <w:color w:val="auto"/>
          <w:lang w:val="en-US" w:eastAsia="zh-CN"/>
        </w:rPr>
        <w:t>2</w:t>
      </w:r>
      <w:r>
        <w:rPr>
          <w:rFonts w:hint="eastAsia" w:eastAsia="黑体"/>
          <w:color w:val="auto"/>
        </w:rPr>
        <w:t>.5</w:t>
      </w:r>
      <w:r>
        <w:rPr>
          <w:rFonts w:eastAsia="黑体"/>
          <w:color w:val="auto"/>
        </w:rPr>
        <w:t>-</w:t>
      </w:r>
      <w:r>
        <w:rPr>
          <w:rFonts w:hint="eastAsia" w:eastAsia="黑体"/>
          <w:color w:val="auto"/>
          <w:lang w:val="en-US" w:eastAsia="zh-CN"/>
        </w:rPr>
        <w:t>9</w:t>
      </w:r>
      <w:r>
        <w:rPr>
          <w:rFonts w:eastAsia="黑体"/>
          <w:color w:val="auto"/>
        </w:rPr>
        <w:t xml:space="preserve">  生态影响评价工作等级划分表</w:t>
      </w:r>
    </w:p>
    <w:tbl>
      <w:tblPr>
        <w:tblStyle w:val="89"/>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831"/>
        <w:gridCol w:w="25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7" w:type="dxa"/>
            <w:vMerge w:val="restart"/>
            <w:vAlign w:val="center"/>
          </w:tcPr>
          <w:p>
            <w:pPr>
              <w:pStyle w:val="4"/>
              <w:keepNext w:val="0"/>
              <w:keepLines w:val="0"/>
              <w:suppressLineNumbers w:val="0"/>
              <w:spacing w:before="0" w:beforeAutospacing="0" w:after="0" w:afterAutospacing="0" w:line="0" w:lineRule="atLeast"/>
              <w:ind w:left="0" w:right="0"/>
              <w:jc w:val="center"/>
              <w:rPr>
                <w:rFonts w:hint="default" w:ascii="Times New Roman"/>
                <w:b/>
                <w:color w:val="auto"/>
                <w:sz w:val="21"/>
                <w:szCs w:val="21"/>
              </w:rPr>
            </w:pPr>
            <w:r>
              <w:rPr>
                <w:rFonts w:hint="default" w:ascii="Times New Roman"/>
                <w:b/>
                <w:color w:val="auto"/>
                <w:sz w:val="21"/>
                <w:szCs w:val="21"/>
              </w:rPr>
              <w:t>影响区域生态敏感性</w:t>
            </w:r>
          </w:p>
        </w:tc>
        <w:tc>
          <w:tcPr>
            <w:tcW w:w="6151" w:type="dxa"/>
            <w:gridSpan w:val="3"/>
            <w:vAlign w:val="center"/>
          </w:tcPr>
          <w:p>
            <w:pPr>
              <w:pStyle w:val="4"/>
              <w:keepNext w:val="0"/>
              <w:keepLines w:val="0"/>
              <w:suppressLineNumbers w:val="0"/>
              <w:spacing w:before="0" w:beforeAutospacing="0" w:after="0" w:afterAutospacing="0" w:line="0" w:lineRule="atLeast"/>
              <w:ind w:left="0" w:right="0"/>
              <w:jc w:val="center"/>
              <w:rPr>
                <w:rFonts w:hint="default" w:ascii="Times New Roman"/>
                <w:b/>
                <w:color w:val="auto"/>
                <w:sz w:val="21"/>
                <w:szCs w:val="21"/>
              </w:rPr>
            </w:pPr>
            <w:r>
              <w:rPr>
                <w:rFonts w:hint="default" w:ascii="Times New Roman"/>
                <w:b/>
                <w:color w:val="auto"/>
                <w:sz w:val="21"/>
                <w:szCs w:val="21"/>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7" w:type="dxa"/>
            <w:vMerge w:val="continue"/>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p>
        </w:tc>
        <w:tc>
          <w:tcPr>
            <w:tcW w:w="1831"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面积≥20km</w:t>
            </w:r>
            <w:r>
              <w:rPr>
                <w:rFonts w:hint="default" w:ascii="Times New Roman"/>
                <w:b/>
                <w:color w:val="auto"/>
                <w:sz w:val="21"/>
                <w:szCs w:val="21"/>
                <w:vertAlign w:val="superscript"/>
              </w:rPr>
              <w:t>2</w:t>
            </w:r>
          </w:p>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或长度≥100km</w:t>
            </w:r>
          </w:p>
        </w:tc>
        <w:tc>
          <w:tcPr>
            <w:tcW w:w="2520"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面积2km</w:t>
            </w:r>
            <w:r>
              <w:rPr>
                <w:rFonts w:hint="default" w:ascii="Times New Roman"/>
                <w:b/>
                <w:color w:val="auto"/>
                <w:sz w:val="21"/>
                <w:szCs w:val="21"/>
                <w:vertAlign w:val="superscript"/>
              </w:rPr>
              <w:t>2</w:t>
            </w:r>
            <w:r>
              <w:rPr>
                <w:rFonts w:hint="default" w:ascii="Times New Roman"/>
                <w:b/>
                <w:color w:val="auto"/>
                <w:sz w:val="21"/>
                <w:szCs w:val="21"/>
              </w:rPr>
              <w:t>～20km</w:t>
            </w:r>
            <w:r>
              <w:rPr>
                <w:rFonts w:hint="default" w:ascii="Times New Roman"/>
                <w:b/>
                <w:color w:val="auto"/>
                <w:sz w:val="21"/>
                <w:szCs w:val="21"/>
                <w:vertAlign w:val="superscript"/>
              </w:rPr>
              <w:t>2</w:t>
            </w:r>
          </w:p>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或长度50km ～100km</w:t>
            </w:r>
          </w:p>
        </w:tc>
        <w:tc>
          <w:tcPr>
            <w:tcW w:w="1800"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面积≤2km</w:t>
            </w:r>
            <w:r>
              <w:rPr>
                <w:rFonts w:hint="default" w:ascii="Times New Roman"/>
                <w:b/>
                <w:color w:val="auto"/>
                <w:sz w:val="21"/>
                <w:szCs w:val="21"/>
                <w:vertAlign w:val="superscript"/>
              </w:rPr>
              <w:t>2</w:t>
            </w:r>
          </w:p>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特殊生态敏感区</w:t>
            </w:r>
          </w:p>
        </w:tc>
        <w:tc>
          <w:tcPr>
            <w:tcW w:w="1831"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一级</w:t>
            </w:r>
          </w:p>
        </w:tc>
        <w:tc>
          <w:tcPr>
            <w:tcW w:w="2520"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一级</w:t>
            </w:r>
          </w:p>
        </w:tc>
        <w:tc>
          <w:tcPr>
            <w:tcW w:w="1800"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重要生态敏感区</w:t>
            </w:r>
          </w:p>
        </w:tc>
        <w:tc>
          <w:tcPr>
            <w:tcW w:w="1831"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一级</w:t>
            </w:r>
          </w:p>
        </w:tc>
        <w:tc>
          <w:tcPr>
            <w:tcW w:w="2520"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二级</w:t>
            </w:r>
          </w:p>
        </w:tc>
        <w:tc>
          <w:tcPr>
            <w:tcW w:w="1800"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一般区域</w:t>
            </w:r>
          </w:p>
        </w:tc>
        <w:tc>
          <w:tcPr>
            <w:tcW w:w="1831"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二级</w:t>
            </w:r>
          </w:p>
        </w:tc>
        <w:tc>
          <w:tcPr>
            <w:tcW w:w="2520"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三级</w:t>
            </w:r>
          </w:p>
        </w:tc>
        <w:tc>
          <w:tcPr>
            <w:tcW w:w="1800"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三级</w:t>
            </w:r>
          </w:p>
        </w:tc>
      </w:tr>
    </w:tbl>
    <w:p>
      <w:pPr>
        <w:pStyle w:val="4"/>
        <w:spacing w:line="360" w:lineRule="auto"/>
        <w:ind w:firstLine="480"/>
        <w:jc w:val="both"/>
        <w:rPr>
          <w:rFonts w:ascii="Times New Roman"/>
          <w:color w:val="auto"/>
          <w:szCs w:val="24"/>
        </w:rPr>
      </w:pPr>
      <w:r>
        <w:rPr>
          <w:rFonts w:ascii="Times New Roman"/>
          <w:color w:val="auto"/>
          <w:szCs w:val="24"/>
        </w:rPr>
        <w:t>本工程占地面积</w:t>
      </w:r>
      <w:r>
        <w:rPr>
          <w:rFonts w:hint="eastAsia" w:ascii="Times New Roman"/>
          <w:color w:val="auto"/>
          <w:lang w:val="en-US" w:eastAsia="zh-CN"/>
        </w:rPr>
        <w:t>246.94</w:t>
      </w:r>
      <w:r>
        <w:rPr>
          <w:rFonts w:ascii="Times New Roman"/>
          <w:color w:val="auto"/>
          <w:szCs w:val="24"/>
        </w:rPr>
        <w:t>亩</w:t>
      </w:r>
      <w:r>
        <w:rPr>
          <w:rFonts w:hint="eastAsia" w:ascii="Times New Roman"/>
          <w:color w:val="auto"/>
          <w:szCs w:val="24"/>
          <w:lang w:val="en-US" w:eastAsia="zh-CN"/>
        </w:rPr>
        <w:t>（164626.67m</w:t>
      </w:r>
      <w:r>
        <w:rPr>
          <w:rFonts w:hint="eastAsia" w:ascii="Times New Roman"/>
          <w:color w:val="auto"/>
          <w:szCs w:val="24"/>
          <w:vertAlign w:val="superscript"/>
          <w:lang w:val="en-US" w:eastAsia="zh-CN"/>
        </w:rPr>
        <w:t>2</w:t>
      </w:r>
      <w:r>
        <w:rPr>
          <w:rFonts w:hint="eastAsia" w:ascii="Times New Roman"/>
          <w:color w:val="auto"/>
          <w:szCs w:val="24"/>
          <w:lang w:val="en-US" w:eastAsia="zh-CN"/>
        </w:rPr>
        <w:t>）</w:t>
      </w:r>
      <w:r>
        <w:rPr>
          <w:rFonts w:ascii="Times New Roman"/>
          <w:color w:val="auto"/>
          <w:szCs w:val="24"/>
        </w:rPr>
        <w:t>，按上述要求，本次生态影响属三级评价。</w:t>
      </w:r>
    </w:p>
    <w:p>
      <w:pPr>
        <w:pStyle w:val="4"/>
        <w:spacing w:line="360" w:lineRule="auto"/>
        <w:ind w:firstLine="480"/>
        <w:jc w:val="both"/>
        <w:rPr>
          <w:rFonts w:ascii="Times New Roman"/>
          <w:color w:val="auto"/>
          <w:szCs w:val="24"/>
        </w:rPr>
      </w:pPr>
      <w:r>
        <w:rPr>
          <w:rFonts w:ascii="Times New Roman"/>
          <w:color w:val="auto"/>
          <w:szCs w:val="24"/>
        </w:rPr>
        <w:t>项目拟建地周围无生态敏感保护目标，植被以林地、农田为主。项目建设对区域生物群落的物种多样性及生物量减少等方面影响不明显。</w:t>
      </w:r>
    </w:p>
    <w:p>
      <w:pPr>
        <w:pStyle w:val="180"/>
        <w:rPr>
          <w:rFonts w:hint="default" w:ascii="Times New Roman" w:hAnsi="Times New Roman" w:cs="Times New Roman" w:eastAsiaTheme="majorEastAsia"/>
          <w:b/>
          <w:bCs w:val="0"/>
          <w:color w:val="auto"/>
          <w:sz w:val="24"/>
          <w:szCs w:val="24"/>
        </w:rPr>
      </w:pPr>
      <w:bookmarkStart w:id="114" w:name="_Toc7117"/>
      <w:r>
        <w:rPr>
          <w:rFonts w:hint="default" w:ascii="Times New Roman" w:hAnsi="Times New Roman" w:cs="Times New Roman" w:eastAsiaTheme="majorEastAsia"/>
          <w:b/>
          <w:bCs w:val="0"/>
          <w:color w:val="auto"/>
          <w:sz w:val="24"/>
          <w:szCs w:val="24"/>
        </w:rPr>
        <w:t>土壤评价等级</w:t>
      </w:r>
      <w:bookmarkEnd w:id="114"/>
    </w:p>
    <w:p>
      <w:pPr>
        <w:pStyle w:val="4"/>
        <w:spacing w:line="360" w:lineRule="auto"/>
        <w:ind w:firstLine="480"/>
        <w:jc w:val="both"/>
        <w:rPr>
          <w:rFonts w:ascii="Times New Roman"/>
          <w:color w:val="auto"/>
          <w:szCs w:val="24"/>
        </w:rPr>
      </w:pPr>
      <w:r>
        <w:rPr>
          <w:rFonts w:ascii="Times New Roman"/>
          <w:color w:val="auto"/>
          <w:szCs w:val="24"/>
        </w:rPr>
        <w:t>按照《环境影响评价技术导则土壤环境（试行）》(HJ964-2018)评价工作等级划分原则与方法，本项目为污染影响型建设项目，本项目占地</w:t>
      </w:r>
      <w:r>
        <w:rPr>
          <w:rFonts w:hint="eastAsia" w:ascii="Times New Roman"/>
          <w:color w:val="auto"/>
          <w:szCs w:val="24"/>
          <w:lang w:val="en-US" w:eastAsia="zh-CN"/>
        </w:rPr>
        <w:t>246.94</w:t>
      </w:r>
      <w:r>
        <w:rPr>
          <w:rFonts w:ascii="Times New Roman"/>
          <w:color w:val="auto"/>
          <w:szCs w:val="24"/>
        </w:rPr>
        <w:t>亩（</w:t>
      </w:r>
      <w:r>
        <w:rPr>
          <w:rFonts w:hint="eastAsia" w:ascii="Times New Roman"/>
          <w:color w:val="auto"/>
          <w:szCs w:val="24"/>
          <w:lang w:val="en-US" w:eastAsia="zh-CN"/>
        </w:rPr>
        <w:t>16.46</w:t>
      </w:r>
      <w:r>
        <w:rPr>
          <w:rFonts w:ascii="Times New Roman"/>
          <w:color w:val="auto"/>
          <w:szCs w:val="24"/>
        </w:rPr>
        <w:t>hm</w:t>
      </w:r>
      <w:r>
        <w:rPr>
          <w:rFonts w:ascii="Times New Roman"/>
          <w:color w:val="auto"/>
          <w:szCs w:val="24"/>
          <w:vertAlign w:val="superscript"/>
        </w:rPr>
        <w:t>2</w:t>
      </w:r>
      <w:r>
        <w:rPr>
          <w:rFonts w:ascii="Times New Roman"/>
          <w:color w:val="auto"/>
          <w:szCs w:val="24"/>
        </w:rPr>
        <w:t>），占地规模为</w:t>
      </w:r>
      <w:r>
        <w:rPr>
          <w:rFonts w:hint="eastAsia" w:ascii="Times New Roman"/>
          <w:color w:val="auto"/>
          <w:szCs w:val="24"/>
          <w:lang w:val="en-US" w:eastAsia="zh-CN"/>
        </w:rPr>
        <w:t>中</w:t>
      </w:r>
      <w:r>
        <w:rPr>
          <w:rFonts w:ascii="Times New Roman"/>
          <w:color w:val="auto"/>
          <w:szCs w:val="24"/>
        </w:rPr>
        <w:t>型，根据附录A，本项目为</w:t>
      </w:r>
      <w:r>
        <w:rPr>
          <w:rFonts w:ascii="Times New Roman"/>
          <w:color w:val="auto"/>
          <w:szCs w:val="24"/>
        </w:rPr>
        <w:fldChar w:fldCharType="begin"/>
      </w:r>
      <w:r>
        <w:rPr>
          <w:rFonts w:ascii="Times New Roman"/>
          <w:color w:val="auto"/>
          <w:szCs w:val="24"/>
        </w:rPr>
        <w:instrText xml:space="preserve">= 3 \* ROMAN</w:instrText>
      </w:r>
      <w:r>
        <w:rPr>
          <w:rFonts w:ascii="Times New Roman"/>
          <w:color w:val="auto"/>
          <w:szCs w:val="24"/>
        </w:rPr>
        <w:fldChar w:fldCharType="separate"/>
      </w:r>
      <w:r>
        <w:rPr>
          <w:rFonts w:ascii="Times New Roman"/>
          <w:color w:val="auto"/>
          <w:szCs w:val="24"/>
        </w:rPr>
        <w:t>III</w:t>
      </w:r>
      <w:r>
        <w:rPr>
          <w:rFonts w:ascii="Times New Roman"/>
          <w:color w:val="auto"/>
          <w:szCs w:val="24"/>
        </w:rPr>
        <w:fldChar w:fldCharType="end"/>
      </w:r>
      <w:r>
        <w:rPr>
          <w:rFonts w:ascii="Times New Roman"/>
          <w:color w:val="auto"/>
          <w:szCs w:val="24"/>
        </w:rPr>
        <w:t>类建设项目。评价等级判别依据见</w:t>
      </w:r>
      <w:r>
        <w:rPr>
          <w:rFonts w:hint="eastAsia" w:ascii="Times New Roman"/>
          <w:color w:val="auto"/>
          <w:szCs w:val="24"/>
          <w:lang w:val="en-US" w:eastAsia="zh-CN"/>
        </w:rPr>
        <w:t>下</w:t>
      </w:r>
      <w:r>
        <w:rPr>
          <w:rFonts w:ascii="Times New Roman"/>
          <w:color w:val="auto"/>
          <w:szCs w:val="24"/>
        </w:rPr>
        <w:t>表。</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2</w:t>
      </w:r>
      <w:r>
        <w:rPr>
          <w:rFonts w:hint="eastAsia" w:eastAsia="黑体"/>
          <w:color w:val="auto"/>
        </w:rPr>
        <w:t>.5</w:t>
      </w:r>
      <w:r>
        <w:rPr>
          <w:rFonts w:eastAsia="黑体"/>
          <w:color w:val="auto"/>
        </w:rPr>
        <w:t>-</w:t>
      </w:r>
      <w:r>
        <w:rPr>
          <w:rFonts w:hint="eastAsia" w:eastAsia="黑体"/>
          <w:color w:val="auto"/>
          <w:lang w:val="en-US" w:eastAsia="zh-CN"/>
        </w:rPr>
        <w:t>10</w:t>
      </w:r>
      <w:r>
        <w:rPr>
          <w:rFonts w:hint="eastAsia" w:eastAsia="黑体"/>
          <w:color w:val="auto"/>
        </w:rPr>
        <w:t xml:space="preserve"> </w:t>
      </w:r>
      <w:r>
        <w:rPr>
          <w:rFonts w:eastAsia="黑体"/>
          <w:color w:val="auto"/>
        </w:rPr>
        <w:t xml:space="preserve"> 污染影响型敏感程度分级表</w:t>
      </w:r>
    </w:p>
    <w:tbl>
      <w:tblPr>
        <w:tblStyle w:val="90"/>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敏感程度</w:t>
            </w:r>
          </w:p>
        </w:tc>
        <w:tc>
          <w:tcPr>
            <w:tcW w:w="7847"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敏感</w:t>
            </w:r>
          </w:p>
        </w:tc>
        <w:tc>
          <w:tcPr>
            <w:tcW w:w="7847"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建设项目周边存在耕地、园地、牧草地、饮用水源地或居民区、学校、医院、疗养院、养老院等土壤环境敏感目标的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较敏感</w:t>
            </w:r>
          </w:p>
        </w:tc>
        <w:tc>
          <w:tcPr>
            <w:tcW w:w="7847"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不敏感</w:t>
            </w:r>
          </w:p>
        </w:tc>
        <w:tc>
          <w:tcPr>
            <w:tcW w:w="7847" w:type="dxa"/>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color w:val="auto"/>
                <w:szCs w:val="21"/>
              </w:rPr>
              <w:t>其他情况</w:t>
            </w:r>
          </w:p>
        </w:tc>
      </w:tr>
    </w:tbl>
    <w:p>
      <w:pPr>
        <w:pStyle w:val="4"/>
        <w:spacing w:line="360" w:lineRule="auto"/>
        <w:ind w:firstLine="480"/>
        <w:jc w:val="both"/>
        <w:rPr>
          <w:rFonts w:ascii="Times New Roman"/>
          <w:color w:val="auto"/>
          <w:szCs w:val="24"/>
        </w:rPr>
      </w:pPr>
      <w:r>
        <w:rPr>
          <w:rFonts w:ascii="Times New Roman"/>
          <w:color w:val="auto"/>
          <w:szCs w:val="24"/>
        </w:rPr>
        <w:t>据现场调查，本项目周边存在耕地，因此，确定区内土壤环境敏感程度为“敏感”。</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2</w:t>
      </w:r>
      <w:r>
        <w:rPr>
          <w:rFonts w:hint="eastAsia" w:eastAsia="黑体"/>
          <w:color w:val="auto"/>
        </w:rPr>
        <w:t>.5</w:t>
      </w:r>
      <w:r>
        <w:rPr>
          <w:rFonts w:eastAsia="黑体"/>
          <w:color w:val="auto"/>
        </w:rPr>
        <w:t>-</w:t>
      </w:r>
      <w:r>
        <w:rPr>
          <w:rFonts w:hint="eastAsia" w:eastAsia="黑体"/>
          <w:color w:val="auto"/>
        </w:rPr>
        <w:t>1</w:t>
      </w:r>
      <w:r>
        <w:rPr>
          <w:rFonts w:hint="eastAsia" w:eastAsia="黑体"/>
          <w:color w:val="auto"/>
          <w:lang w:val="en-US" w:eastAsia="zh-CN"/>
        </w:rPr>
        <w:t>1</w:t>
      </w:r>
      <w:r>
        <w:rPr>
          <w:rFonts w:eastAsia="黑体"/>
          <w:color w:val="auto"/>
        </w:rPr>
        <w:t xml:space="preserve"> </w:t>
      </w:r>
      <w:r>
        <w:rPr>
          <w:rFonts w:hint="eastAsia" w:eastAsia="黑体"/>
          <w:color w:val="auto"/>
        </w:rPr>
        <w:t xml:space="preserve"> </w:t>
      </w:r>
      <w:r>
        <w:rPr>
          <w:rFonts w:eastAsia="黑体"/>
          <w:color w:val="auto"/>
        </w:rPr>
        <w:t>污染影响型评价工作等级划分表</w:t>
      </w:r>
    </w:p>
    <w:p>
      <w:pPr>
        <w:pStyle w:val="4"/>
        <w:spacing w:line="360" w:lineRule="auto"/>
        <w:rPr>
          <w:rFonts w:ascii="Times New Roman"/>
          <w:color w:val="auto"/>
          <w:szCs w:val="24"/>
        </w:rPr>
      </w:pPr>
      <w:r>
        <w:rPr>
          <w:rFonts w:ascii="Times New Roman"/>
          <w:color w:val="auto"/>
        </w:rPr>
        <w:drawing>
          <wp:inline distT="0" distB="0" distL="0" distR="0">
            <wp:extent cx="5486400" cy="1371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cstate="print"/>
                    <a:stretch>
                      <a:fillRect/>
                    </a:stretch>
                  </pic:blipFill>
                  <pic:spPr>
                    <a:xfrm>
                      <a:off x="0" y="0"/>
                      <a:ext cx="5486400" cy="1371600"/>
                    </a:xfrm>
                    <a:prstGeom prst="rect">
                      <a:avLst/>
                    </a:prstGeom>
                  </pic:spPr>
                </pic:pic>
              </a:graphicData>
            </a:graphic>
          </wp:inline>
        </w:drawing>
      </w:r>
    </w:p>
    <w:p>
      <w:pPr>
        <w:pStyle w:val="4"/>
        <w:spacing w:line="360" w:lineRule="auto"/>
        <w:ind w:firstLine="480"/>
        <w:jc w:val="both"/>
        <w:rPr>
          <w:rFonts w:ascii="Times New Roman"/>
          <w:color w:val="auto"/>
          <w:szCs w:val="24"/>
        </w:rPr>
      </w:pPr>
      <w:r>
        <w:rPr>
          <w:rFonts w:ascii="Times New Roman"/>
          <w:color w:val="auto"/>
          <w:szCs w:val="24"/>
        </w:rPr>
        <w:t>本项目为</w:t>
      </w:r>
      <w:r>
        <w:rPr>
          <w:rFonts w:ascii="Times New Roman"/>
          <w:color w:val="auto"/>
          <w:szCs w:val="24"/>
        </w:rPr>
        <w:fldChar w:fldCharType="begin"/>
      </w:r>
      <w:r>
        <w:rPr>
          <w:rFonts w:ascii="Times New Roman"/>
          <w:color w:val="auto"/>
          <w:szCs w:val="24"/>
        </w:rPr>
        <w:instrText xml:space="preserve">= 3 \* ROMAN</w:instrText>
      </w:r>
      <w:r>
        <w:rPr>
          <w:rFonts w:ascii="Times New Roman"/>
          <w:color w:val="auto"/>
          <w:szCs w:val="24"/>
        </w:rPr>
        <w:fldChar w:fldCharType="separate"/>
      </w:r>
      <w:r>
        <w:rPr>
          <w:rFonts w:ascii="Times New Roman"/>
          <w:color w:val="auto"/>
          <w:szCs w:val="24"/>
        </w:rPr>
        <w:t>III</w:t>
      </w:r>
      <w:r>
        <w:rPr>
          <w:rFonts w:ascii="Times New Roman"/>
          <w:color w:val="auto"/>
          <w:szCs w:val="24"/>
        </w:rPr>
        <w:fldChar w:fldCharType="end"/>
      </w:r>
      <w:r>
        <w:rPr>
          <w:rFonts w:ascii="Times New Roman"/>
          <w:color w:val="auto"/>
          <w:szCs w:val="24"/>
        </w:rPr>
        <w:t>类建设项目，占地规模为</w:t>
      </w:r>
      <w:r>
        <w:rPr>
          <w:rFonts w:hint="eastAsia" w:ascii="Times New Roman"/>
          <w:color w:val="auto"/>
          <w:szCs w:val="24"/>
          <w:lang w:val="en-US" w:eastAsia="zh-CN"/>
        </w:rPr>
        <w:t>中</w:t>
      </w:r>
      <w:r>
        <w:rPr>
          <w:rFonts w:ascii="Times New Roman"/>
          <w:color w:val="auto"/>
          <w:szCs w:val="24"/>
        </w:rPr>
        <w:t>型，环境敏感程度为“敏感”，依据表</w:t>
      </w:r>
      <w:r>
        <w:rPr>
          <w:rFonts w:hint="eastAsia" w:ascii="Times New Roman"/>
          <w:color w:val="auto"/>
          <w:szCs w:val="24"/>
          <w:lang w:val="en-US" w:eastAsia="zh-CN"/>
        </w:rPr>
        <w:t>2.5</w:t>
      </w:r>
      <w:r>
        <w:rPr>
          <w:rFonts w:ascii="Times New Roman"/>
          <w:color w:val="auto"/>
          <w:szCs w:val="24"/>
        </w:rPr>
        <w:t>-</w:t>
      </w:r>
      <w:r>
        <w:rPr>
          <w:rFonts w:hint="eastAsia" w:ascii="Times New Roman"/>
          <w:color w:val="auto"/>
          <w:szCs w:val="24"/>
          <w:lang w:val="en-US" w:eastAsia="zh-CN"/>
        </w:rPr>
        <w:t>11</w:t>
      </w:r>
      <w:r>
        <w:rPr>
          <w:rFonts w:ascii="Times New Roman"/>
          <w:color w:val="auto"/>
          <w:szCs w:val="24"/>
        </w:rPr>
        <w:t>，本项目土壤评价等级为三级。</w:t>
      </w:r>
    </w:p>
    <w:p>
      <w:pPr>
        <w:pStyle w:val="180"/>
        <w:rPr>
          <w:rFonts w:hint="default" w:ascii="Times New Roman" w:hAnsi="Times New Roman" w:cs="Times New Roman" w:eastAsiaTheme="majorEastAsia"/>
          <w:b/>
          <w:bCs w:val="0"/>
          <w:color w:val="auto"/>
          <w:sz w:val="24"/>
          <w:szCs w:val="24"/>
        </w:rPr>
      </w:pPr>
      <w:bookmarkStart w:id="115" w:name="_Toc32294"/>
      <w:r>
        <w:rPr>
          <w:rFonts w:hint="default" w:ascii="Times New Roman" w:hAnsi="Times New Roman" w:cs="Times New Roman" w:eastAsiaTheme="majorEastAsia"/>
          <w:b/>
          <w:bCs w:val="0"/>
          <w:color w:val="auto"/>
          <w:sz w:val="24"/>
          <w:szCs w:val="24"/>
        </w:rPr>
        <w:t>环境风险评价等级</w:t>
      </w:r>
      <w:bookmarkEnd w:id="115"/>
    </w:p>
    <w:p>
      <w:pPr>
        <w:pStyle w:val="4"/>
        <w:spacing w:line="360" w:lineRule="auto"/>
        <w:ind w:firstLine="480"/>
        <w:rPr>
          <w:rFonts w:ascii="Times New Roman"/>
          <w:color w:val="auto"/>
          <w:szCs w:val="24"/>
        </w:rPr>
      </w:pPr>
      <w:r>
        <w:rPr>
          <w:rFonts w:ascii="Times New Roman"/>
          <w:color w:val="auto"/>
          <w:szCs w:val="24"/>
        </w:rPr>
        <w:t>根据《建设项目环境风险评价技术导则》（HJ 169－2018），环境风险评价工作等级划分见</w:t>
      </w:r>
      <w:r>
        <w:rPr>
          <w:rFonts w:hint="eastAsia" w:ascii="Times New Roman"/>
          <w:color w:val="auto"/>
          <w:szCs w:val="24"/>
          <w:lang w:val="en-US" w:eastAsia="zh-CN"/>
        </w:rPr>
        <w:t>下</w:t>
      </w:r>
      <w:r>
        <w:rPr>
          <w:rFonts w:ascii="Times New Roman"/>
          <w:color w:val="auto"/>
          <w:szCs w:val="24"/>
        </w:rPr>
        <w:t>表；评价工作等级主要取决于环境风险潜势。</w:t>
      </w:r>
    </w:p>
    <w:p>
      <w:pPr>
        <w:ind w:firstLine="840" w:firstLineChars="400"/>
        <w:jc w:val="center"/>
        <w:rPr>
          <w:color w:val="auto"/>
        </w:rPr>
      </w:pPr>
      <w:r>
        <w:rPr>
          <w:rFonts w:eastAsia="黑体"/>
          <w:color w:val="auto"/>
        </w:rPr>
        <w:t>表</w:t>
      </w:r>
      <w:r>
        <w:rPr>
          <w:rFonts w:hint="eastAsia" w:eastAsia="黑体"/>
          <w:color w:val="auto"/>
          <w:lang w:val="en-US" w:eastAsia="zh-CN"/>
        </w:rPr>
        <w:t>2</w:t>
      </w:r>
      <w:r>
        <w:rPr>
          <w:rFonts w:hint="eastAsia" w:eastAsia="黑体"/>
          <w:color w:val="auto"/>
        </w:rPr>
        <w:t>.5</w:t>
      </w:r>
      <w:r>
        <w:rPr>
          <w:rFonts w:eastAsia="黑体"/>
          <w:color w:val="auto"/>
        </w:rPr>
        <w:t>-</w:t>
      </w:r>
      <w:r>
        <w:rPr>
          <w:rFonts w:hint="eastAsia" w:eastAsia="黑体"/>
          <w:color w:val="auto"/>
        </w:rPr>
        <w:t>1</w:t>
      </w:r>
      <w:r>
        <w:rPr>
          <w:rFonts w:hint="eastAsia" w:eastAsia="黑体"/>
          <w:color w:val="auto"/>
          <w:lang w:val="en-US" w:eastAsia="zh-CN"/>
        </w:rPr>
        <w:t>2</w:t>
      </w:r>
      <w:r>
        <w:rPr>
          <w:rFonts w:eastAsia="黑体"/>
          <w:color w:val="auto"/>
        </w:rPr>
        <w:t xml:space="preserve">  评价工作级别划分</w:t>
      </w:r>
    </w:p>
    <w:tbl>
      <w:tblPr>
        <w:tblStyle w:val="89"/>
        <w:tblW w:w="87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07"/>
        <w:gridCol w:w="1787"/>
        <w:gridCol w:w="1491"/>
        <w:gridCol w:w="1739"/>
        <w:gridCol w:w="19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80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环境风险潜势</w:t>
            </w:r>
          </w:p>
        </w:tc>
        <w:tc>
          <w:tcPr>
            <w:tcW w:w="178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Ⅳ、Ⅳ</w:t>
            </w:r>
            <w:r>
              <w:rPr>
                <w:rFonts w:hint="default" w:ascii="Times New Roman"/>
                <w:b/>
                <w:color w:val="auto"/>
                <w:sz w:val="21"/>
                <w:szCs w:val="21"/>
                <w:vertAlign w:val="superscript"/>
              </w:rPr>
              <w:t>+</w:t>
            </w:r>
          </w:p>
        </w:tc>
        <w:tc>
          <w:tcPr>
            <w:tcW w:w="1491"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Ⅲ</w:t>
            </w:r>
          </w:p>
        </w:tc>
        <w:tc>
          <w:tcPr>
            <w:tcW w:w="1739"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Ⅱ</w:t>
            </w:r>
          </w:p>
        </w:tc>
        <w:tc>
          <w:tcPr>
            <w:tcW w:w="1934"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b/>
                <w:color w:val="auto"/>
                <w:sz w:val="21"/>
                <w:szCs w:val="21"/>
              </w:rPr>
            </w:pPr>
            <w:r>
              <w:rPr>
                <w:rFonts w:hint="default" w:ascii="Times New Roman"/>
                <w:b/>
                <w:color w:val="auto"/>
                <w:sz w:val="21"/>
                <w:szCs w:val="21"/>
              </w:rPr>
              <w:t>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80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评价工作等级</w:t>
            </w:r>
          </w:p>
        </w:tc>
        <w:tc>
          <w:tcPr>
            <w:tcW w:w="1787" w:type="dxa"/>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一</w:t>
            </w:r>
          </w:p>
        </w:tc>
        <w:tc>
          <w:tcPr>
            <w:tcW w:w="1491" w:type="dxa"/>
            <w:tcBorders>
              <w:bottom w:val="single" w:color="auto" w:sz="2" w:space="0"/>
            </w:tcBorders>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二</w:t>
            </w:r>
          </w:p>
        </w:tc>
        <w:tc>
          <w:tcPr>
            <w:tcW w:w="1739" w:type="dxa"/>
            <w:tcBorders>
              <w:bottom w:val="single" w:color="auto" w:sz="2" w:space="0"/>
            </w:tcBorders>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三</w:t>
            </w:r>
          </w:p>
        </w:tc>
        <w:tc>
          <w:tcPr>
            <w:tcW w:w="1934" w:type="dxa"/>
            <w:tcBorders>
              <w:bottom w:val="single" w:color="auto" w:sz="2" w:space="0"/>
            </w:tcBorders>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color w:val="auto"/>
                <w:sz w:val="21"/>
                <w:szCs w:val="21"/>
              </w:rPr>
            </w:pPr>
            <w:r>
              <w:rPr>
                <w:rFonts w:hint="default" w:ascii="Times New Roman"/>
                <w:color w:val="auto"/>
                <w:sz w:val="21"/>
                <w:szCs w:val="21"/>
              </w:rPr>
              <w:t>简单分析</w:t>
            </w:r>
            <w:r>
              <w:rPr>
                <w:rFonts w:hint="default" w:ascii="Times New Roman"/>
                <w:color w:val="auto"/>
                <w:sz w:val="21"/>
                <w:szCs w:val="21"/>
                <w:vertAlign w:val="superscript"/>
              </w:rPr>
              <w: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758" w:type="dxa"/>
            <w:gridSpan w:val="5"/>
            <w:vAlign w:val="center"/>
          </w:tcPr>
          <w:p>
            <w:pPr>
              <w:pStyle w:val="4"/>
              <w:keepNext w:val="0"/>
              <w:keepLines w:val="0"/>
              <w:suppressLineNumbers w:val="0"/>
              <w:spacing w:before="0" w:beforeAutospacing="0" w:after="0" w:afterAutospacing="0" w:line="240" w:lineRule="atLeast"/>
              <w:ind w:left="0" w:right="0"/>
              <w:jc w:val="both"/>
              <w:rPr>
                <w:rFonts w:hint="default" w:ascii="Times New Roman"/>
                <w:color w:val="auto"/>
                <w:sz w:val="21"/>
                <w:szCs w:val="21"/>
              </w:rPr>
            </w:pPr>
            <w:r>
              <w:rPr>
                <w:rFonts w:hint="default" w:ascii="Times New Roman"/>
                <w:color w:val="auto"/>
                <w:sz w:val="21"/>
                <w:szCs w:val="21"/>
                <w:vertAlign w:val="superscript"/>
              </w:rPr>
              <w:t>a</w:t>
            </w:r>
            <w:r>
              <w:rPr>
                <w:rFonts w:hint="default" w:ascii="Times New Roman"/>
                <w:color w:val="auto"/>
                <w:sz w:val="21"/>
                <w:szCs w:val="21"/>
              </w:rPr>
              <w:t xml:space="preserve"> 是相对于详细评价工作内容而言，在描述危险物质、环境影响途径、环境危害后果、风险防范措施等方面给出定性的说明。见附录 A。</w:t>
            </w:r>
          </w:p>
        </w:tc>
      </w:tr>
    </w:tbl>
    <w:p>
      <w:pPr>
        <w:pStyle w:val="4"/>
        <w:spacing w:before="120" w:beforeLines="50" w:line="360" w:lineRule="auto"/>
        <w:ind w:firstLine="482"/>
        <w:rPr>
          <w:rFonts w:ascii="Times New Roman"/>
          <w:color w:val="auto"/>
          <w:szCs w:val="24"/>
        </w:rPr>
      </w:pPr>
      <w:r>
        <w:rPr>
          <w:rFonts w:ascii="Times New Roman"/>
          <w:color w:val="auto"/>
          <w:szCs w:val="24"/>
        </w:rPr>
        <w:t>根据《建设项目环境风险评价技术导则》HJ 169－2018 附录 B 以及《危险化</w:t>
      </w:r>
      <w:r>
        <w:rPr>
          <w:rFonts w:hint="default" w:ascii="Times New Roman" w:hAnsi="Times New Roman" w:cs="Times New Roman"/>
          <w:color w:val="auto"/>
          <w:szCs w:val="24"/>
        </w:rPr>
        <w:t>学品重大危险源辨识》GB 18218－2009本项目</w:t>
      </w:r>
      <w:r>
        <w:rPr>
          <w:rFonts w:hint="default" w:ascii="Times New Roman" w:hAnsi="Times New Roman" w:cs="Times New Roman"/>
          <w:color w:val="auto"/>
        </w:rPr>
        <w:t>Q=</w:t>
      </w:r>
      <w:r>
        <w:rPr>
          <w:rFonts w:hint="default" w:ascii="Times New Roman" w:hAnsi="Times New Roman" w:cs="Times New Roman"/>
          <w:color w:val="auto"/>
          <w:sz w:val="24"/>
        </w:rPr>
        <w:t>0.</w:t>
      </w:r>
      <w:r>
        <w:rPr>
          <w:rFonts w:hint="eastAsia" w:ascii="Times New Roman" w:cs="Times New Roman"/>
          <w:color w:val="auto"/>
          <w:sz w:val="24"/>
          <w:lang w:val="en-US" w:eastAsia="zh-CN"/>
        </w:rPr>
        <w:t>00008</w:t>
      </w:r>
      <w:r>
        <w:rPr>
          <w:rFonts w:hint="default" w:ascii="Times New Roman" w:hAnsi="Times New Roman" w:cs="Times New Roman"/>
          <w:color w:val="auto"/>
          <w:szCs w:val="24"/>
        </w:rPr>
        <w:t>＜1时，该项目风险潜势为</w:t>
      </w:r>
      <w:r>
        <w:rPr>
          <w:rFonts w:hint="default" w:ascii="Times New Roman" w:hAnsi="Times New Roman" w:eastAsia="隶书" w:cs="Times New Roman"/>
          <w:color w:val="auto"/>
          <w:szCs w:val="24"/>
        </w:rPr>
        <w:t>Ⅰ</w:t>
      </w:r>
      <w:r>
        <w:rPr>
          <w:rFonts w:hint="default" w:ascii="Times New Roman" w:hAnsi="Times New Roman" w:cs="Times New Roman"/>
          <w:color w:val="auto"/>
          <w:szCs w:val="24"/>
        </w:rPr>
        <w:t>。</w:t>
      </w:r>
    </w:p>
    <w:p>
      <w:pPr>
        <w:pStyle w:val="4"/>
        <w:spacing w:line="360" w:lineRule="auto"/>
        <w:ind w:firstLine="480"/>
        <w:jc w:val="both"/>
        <w:rPr>
          <w:rFonts w:ascii="Times New Roman"/>
          <w:color w:val="auto"/>
          <w:szCs w:val="24"/>
        </w:rPr>
      </w:pPr>
      <w:r>
        <w:rPr>
          <w:rFonts w:ascii="Times New Roman"/>
          <w:color w:val="auto"/>
          <w:szCs w:val="24"/>
        </w:rPr>
        <w:t>综上，本项目风险潜势为Ⅰ类，风险评价仅需要简单分析。</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116" w:name="_Toc21833"/>
      <w:bookmarkStart w:id="117" w:name="_Toc1786"/>
      <w:bookmarkStart w:id="118" w:name="_Toc24436"/>
      <w:r>
        <w:rPr>
          <w:rFonts w:ascii="Times New Roman" w:hAnsi="Times New Roman" w:cs="Times New Roman" w:eastAsiaTheme="majorEastAsia"/>
          <w:bCs/>
          <w:color w:val="auto"/>
          <w:kern w:val="2"/>
          <w:szCs w:val="32"/>
          <w:lang w:val="en-US" w:eastAsia="zh-CN"/>
        </w:rPr>
        <w:t>产业政策、规划的符合性</w:t>
      </w:r>
      <w:bookmarkEnd w:id="116"/>
      <w:bookmarkEnd w:id="117"/>
      <w:bookmarkEnd w:id="118"/>
    </w:p>
    <w:p>
      <w:pPr>
        <w:pStyle w:val="180"/>
        <w:rPr>
          <w:rFonts w:hint="default" w:ascii="Times New Roman" w:hAnsi="Times New Roman" w:cs="Times New Roman" w:eastAsiaTheme="majorEastAsia"/>
          <w:b/>
          <w:bCs w:val="0"/>
          <w:color w:val="auto"/>
          <w:sz w:val="24"/>
          <w:szCs w:val="24"/>
        </w:rPr>
      </w:pPr>
      <w:bookmarkStart w:id="119" w:name="_Toc10761"/>
      <w:bookmarkStart w:id="120" w:name="_Toc369334573"/>
      <w:bookmarkStart w:id="121" w:name="_Toc369191569"/>
      <w:bookmarkStart w:id="122" w:name="_Toc369334753"/>
      <w:bookmarkStart w:id="123" w:name="_Toc369197734"/>
      <w:bookmarkStart w:id="124" w:name="_Toc369359619"/>
      <w:r>
        <w:rPr>
          <w:rFonts w:hint="default" w:ascii="Times New Roman" w:hAnsi="Times New Roman" w:cs="Times New Roman" w:eastAsiaTheme="majorEastAsia"/>
          <w:b/>
          <w:bCs w:val="0"/>
          <w:color w:val="auto"/>
          <w:sz w:val="24"/>
          <w:szCs w:val="24"/>
        </w:rPr>
        <w:t>建设项目与产业政策的符合性</w:t>
      </w:r>
      <w:bookmarkEnd w:id="119"/>
      <w:bookmarkEnd w:id="120"/>
      <w:bookmarkEnd w:id="121"/>
      <w:bookmarkEnd w:id="122"/>
      <w:bookmarkEnd w:id="123"/>
      <w:bookmarkEnd w:id="124"/>
    </w:p>
    <w:p>
      <w:pPr>
        <w:spacing w:line="360" w:lineRule="auto"/>
        <w:ind w:firstLine="482"/>
        <w:rPr>
          <w:rStyle w:val="1231"/>
          <w:rFonts w:cs="Times New Roman"/>
          <w:color w:val="auto"/>
        </w:rPr>
      </w:pPr>
      <w:r>
        <w:rPr>
          <w:color w:val="auto"/>
          <w:sz w:val="24"/>
        </w:rPr>
        <w:t>本项目</w:t>
      </w:r>
      <w:r>
        <w:rPr>
          <w:color w:val="auto"/>
          <w:sz w:val="24"/>
          <w:szCs w:val="28"/>
        </w:rPr>
        <w:t>存栏</w:t>
      </w:r>
      <w:r>
        <w:rPr>
          <w:rFonts w:hint="eastAsia"/>
          <w:color w:val="auto"/>
          <w:sz w:val="24"/>
          <w:szCs w:val="28"/>
          <w:lang w:val="en-US" w:eastAsia="zh-CN"/>
        </w:rPr>
        <w:t>9734</w:t>
      </w:r>
      <w:r>
        <w:rPr>
          <w:color w:val="auto"/>
          <w:sz w:val="24"/>
          <w:szCs w:val="28"/>
        </w:rPr>
        <w:t>头肉牛</w:t>
      </w:r>
      <w:r>
        <w:rPr>
          <w:color w:val="auto"/>
          <w:sz w:val="24"/>
        </w:rPr>
        <w:t>，折合生猪</w:t>
      </w:r>
      <w:r>
        <w:rPr>
          <w:rFonts w:hint="eastAsia"/>
          <w:color w:val="auto"/>
          <w:sz w:val="24"/>
          <w:lang w:val="en-US" w:eastAsia="zh-CN"/>
        </w:rPr>
        <w:t>48670</w:t>
      </w:r>
      <w:r>
        <w:rPr>
          <w:color w:val="auto"/>
          <w:sz w:val="24"/>
        </w:rPr>
        <w:t>头</w:t>
      </w:r>
      <w:r>
        <w:rPr>
          <w:rStyle w:val="1231"/>
          <w:rFonts w:cs="Times New Roman"/>
          <w:color w:val="auto"/>
        </w:rPr>
        <w:t>，属于畜牧业（A031</w:t>
      </w:r>
      <w:r>
        <w:rPr>
          <w:rStyle w:val="1231"/>
          <w:rFonts w:hint="eastAsia" w:cs="Times New Roman"/>
          <w:color w:val="auto"/>
          <w:lang w:val="en-US" w:eastAsia="zh-CN"/>
        </w:rPr>
        <w:t>1</w:t>
      </w:r>
      <w:r>
        <w:rPr>
          <w:rStyle w:val="1231"/>
          <w:rFonts w:cs="Times New Roman"/>
          <w:color w:val="auto"/>
        </w:rPr>
        <w:t>—</w:t>
      </w:r>
      <w:r>
        <w:rPr>
          <w:rStyle w:val="1231"/>
          <w:rFonts w:hint="eastAsia" w:cs="Times New Roman"/>
          <w:color w:val="auto"/>
          <w:lang w:val="en-US" w:eastAsia="zh-CN"/>
        </w:rPr>
        <w:t>牛</w:t>
      </w:r>
      <w:r>
        <w:rPr>
          <w:rStyle w:val="1231"/>
          <w:rFonts w:cs="Times New Roman"/>
          <w:color w:val="auto"/>
        </w:rPr>
        <w:t>的饲养），</w:t>
      </w:r>
      <w:r>
        <w:rPr>
          <w:color w:val="auto"/>
          <w:sz w:val="24"/>
        </w:rPr>
        <w:t>根据中华人民共和国国家发展和改革委员会令第29号《产业结构调整指导目录(2019年本)》，</w:t>
      </w:r>
      <w:r>
        <w:rPr>
          <w:rStyle w:val="1231"/>
          <w:rFonts w:cs="Times New Roman"/>
          <w:color w:val="auto"/>
        </w:rPr>
        <w:t>本项目属第一类“鼓励类”第一条“农林业”第四小款“畜禽标准化规模养殖技术开发与应用”之列。</w:t>
      </w:r>
    </w:p>
    <w:p>
      <w:pPr>
        <w:spacing w:line="360" w:lineRule="auto"/>
        <w:ind w:firstLine="482"/>
        <w:rPr>
          <w:rStyle w:val="1231"/>
          <w:rFonts w:cs="Times New Roman"/>
          <w:color w:val="auto"/>
          <w:szCs w:val="22"/>
        </w:rPr>
      </w:pPr>
      <w:r>
        <w:rPr>
          <w:color w:val="auto"/>
          <w:sz w:val="24"/>
        </w:rPr>
        <w:t>同时，</w:t>
      </w:r>
      <w:r>
        <w:rPr>
          <w:rFonts w:hint="eastAsia"/>
          <w:color w:val="auto"/>
          <w:sz w:val="24"/>
          <w:lang w:val="en-US" w:eastAsia="zh-CN"/>
        </w:rPr>
        <w:t>恩阳区发展和改革局</w:t>
      </w:r>
      <w:r>
        <w:rPr>
          <w:rStyle w:val="1231"/>
          <w:rFonts w:cs="Times New Roman"/>
          <w:color w:val="auto"/>
          <w:szCs w:val="22"/>
        </w:rPr>
        <w:t>以</w:t>
      </w:r>
      <w:r>
        <w:rPr>
          <w:rFonts w:hint="eastAsia"/>
          <w:color w:val="auto"/>
          <w:sz w:val="24"/>
        </w:rPr>
        <w:t>项目代码【2208-511903-04-01-331960】</w:t>
      </w:r>
      <w:r>
        <w:rPr>
          <w:rStyle w:val="1231"/>
          <w:rFonts w:cs="Times New Roman"/>
          <w:color w:val="auto"/>
          <w:szCs w:val="22"/>
        </w:rPr>
        <w:t>对本项目予以备案（见附件）。</w:t>
      </w:r>
    </w:p>
    <w:p>
      <w:pPr>
        <w:spacing w:line="360" w:lineRule="auto"/>
        <w:ind w:firstLine="482"/>
        <w:rPr>
          <w:b/>
          <w:color w:val="auto"/>
          <w:sz w:val="24"/>
        </w:rPr>
      </w:pPr>
      <w:r>
        <w:rPr>
          <w:b/>
          <w:color w:val="auto"/>
          <w:sz w:val="24"/>
        </w:rPr>
        <w:t>因此，本项目符合国家当前产业政策。</w:t>
      </w:r>
    </w:p>
    <w:p>
      <w:pPr>
        <w:pStyle w:val="180"/>
        <w:rPr>
          <w:rFonts w:hint="default" w:ascii="Times New Roman" w:hAnsi="Times New Roman" w:cs="Times New Roman" w:eastAsiaTheme="majorEastAsia"/>
          <w:b/>
          <w:bCs w:val="0"/>
          <w:color w:val="auto"/>
          <w:sz w:val="24"/>
          <w:szCs w:val="24"/>
        </w:rPr>
      </w:pPr>
      <w:bookmarkStart w:id="125" w:name="_Toc24386"/>
      <w:bookmarkStart w:id="126" w:name="_Toc369191571"/>
      <w:bookmarkStart w:id="127" w:name="_Toc369359620"/>
      <w:bookmarkStart w:id="128" w:name="_Toc369334754"/>
      <w:bookmarkStart w:id="129" w:name="_Toc369334574"/>
      <w:bookmarkStart w:id="130" w:name="_Toc369197736"/>
      <w:r>
        <w:rPr>
          <w:rFonts w:hint="default" w:ascii="Times New Roman" w:hAnsi="Times New Roman" w:cs="Times New Roman" w:eastAsiaTheme="majorEastAsia"/>
          <w:b/>
          <w:bCs w:val="0"/>
          <w:color w:val="auto"/>
          <w:sz w:val="24"/>
          <w:szCs w:val="24"/>
        </w:rPr>
        <w:t>项目选址与相关规划、规范的符合性</w:t>
      </w:r>
      <w:bookmarkEnd w:id="125"/>
    </w:p>
    <w:p>
      <w:pPr>
        <w:spacing w:line="360" w:lineRule="auto"/>
        <w:ind w:firstLine="482"/>
        <w:rPr>
          <w:b/>
          <w:color w:val="auto"/>
          <w:sz w:val="24"/>
        </w:rPr>
      </w:pPr>
      <w:r>
        <w:rPr>
          <w:b/>
          <w:color w:val="auto"/>
          <w:sz w:val="24"/>
        </w:rPr>
        <w:t>（1）与《四川省国民经济和社会发展第十三个五年规划纲要（2016-2020年）》符合性分析</w:t>
      </w:r>
    </w:p>
    <w:p>
      <w:pPr>
        <w:spacing w:line="360" w:lineRule="auto"/>
        <w:ind w:firstLine="482"/>
        <w:rPr>
          <w:color w:val="auto"/>
          <w:sz w:val="24"/>
        </w:rPr>
      </w:pPr>
      <w:r>
        <w:rPr>
          <w:color w:val="auto"/>
          <w:sz w:val="24"/>
        </w:rPr>
        <w:t>《四川省国民经济和社会发展第十三个五年规划纲要（2016-2020年）》明确提出：加快转变农业发展方式，发展多种形式适度规模经营，推动种养加一体、一二三产业融合发展，构建现代农业产业体系、生产体系、经营体系。</w:t>
      </w:r>
      <w:r>
        <w:rPr>
          <w:b/>
          <w:color w:val="auto"/>
          <w:sz w:val="24"/>
        </w:rPr>
        <w:t>优化特色农业区域布局，加快现代农业（林业、畜牧业）重点县建设，</w:t>
      </w:r>
      <w:r>
        <w:rPr>
          <w:color w:val="auto"/>
          <w:sz w:val="24"/>
        </w:rPr>
        <w:t>支持高原农业发展，打造优势特色农业产业带和现代农业示范区。加快建设特色水果、蔬菜、茶叶、木本油料、食用菌、中药材、烟叶、蚕桑、木竹、花卉等集中发展区，</w:t>
      </w:r>
      <w:r>
        <w:rPr>
          <w:b w:val="0"/>
          <w:bCs/>
          <w:color w:val="auto"/>
          <w:sz w:val="24"/>
        </w:rPr>
        <w:t>稳定生猪生产，</w:t>
      </w:r>
      <w:r>
        <w:rPr>
          <w:b/>
          <w:bCs/>
          <w:color w:val="auto"/>
          <w:sz w:val="24"/>
        </w:rPr>
        <w:t>大力发展牛羊养殖</w:t>
      </w:r>
      <w:r>
        <w:rPr>
          <w:color w:val="auto"/>
          <w:sz w:val="24"/>
        </w:rPr>
        <w:t>，积极发展禽、兔、蜂等特色产业，建设四大林业产业区。</w:t>
      </w:r>
    </w:p>
    <w:p>
      <w:pPr>
        <w:spacing w:line="360" w:lineRule="auto"/>
        <w:ind w:firstLine="482"/>
        <w:rPr>
          <w:b/>
          <w:color w:val="auto"/>
          <w:sz w:val="24"/>
        </w:rPr>
      </w:pPr>
      <w:r>
        <w:rPr>
          <w:b/>
          <w:bCs/>
          <w:color w:val="auto"/>
          <w:sz w:val="24"/>
        </w:rPr>
        <w:t>本项目</w:t>
      </w:r>
      <w:r>
        <w:rPr>
          <w:rFonts w:hint="eastAsia"/>
          <w:b/>
          <w:bCs/>
          <w:color w:val="auto"/>
          <w:sz w:val="24"/>
          <w:lang w:val="en-US" w:eastAsia="zh-CN"/>
        </w:rPr>
        <w:t>属于牛的养殖，</w:t>
      </w:r>
      <w:r>
        <w:rPr>
          <w:b/>
          <w:color w:val="auto"/>
          <w:sz w:val="24"/>
        </w:rPr>
        <w:t>项目与《四川省国民经济和社会发展第十三个五年规划纲要（2016-2020年）》是相符的。</w:t>
      </w:r>
    </w:p>
    <w:p>
      <w:pPr>
        <w:spacing w:line="360" w:lineRule="auto"/>
        <w:ind w:firstLine="482"/>
        <w:rPr>
          <w:b/>
          <w:color w:val="auto"/>
          <w:sz w:val="24"/>
        </w:rPr>
      </w:pPr>
      <w:r>
        <w:rPr>
          <w:b/>
          <w:color w:val="auto"/>
          <w:sz w:val="24"/>
        </w:rPr>
        <w:t>（2）与《四川省畜牧业发展“十三五”规划（2016-2020年）》符合性分析</w:t>
      </w:r>
    </w:p>
    <w:p>
      <w:pPr>
        <w:spacing w:line="360" w:lineRule="auto"/>
        <w:ind w:firstLine="482"/>
        <w:rPr>
          <w:color w:val="auto"/>
          <w:sz w:val="24"/>
        </w:rPr>
      </w:pPr>
      <w:r>
        <w:rPr>
          <w:color w:val="auto"/>
          <w:sz w:val="24"/>
        </w:rPr>
        <w:t>《四川省畜牧业“十三五”发展规划》（2016-2020）明确提出十大工作重点：一、积极推动“粮改饲”；</w:t>
      </w:r>
      <w:r>
        <w:rPr>
          <w:b/>
          <w:color w:val="auto"/>
          <w:sz w:val="24"/>
        </w:rPr>
        <w:t>二、粪污的资源化利用及无害化处理问题，争取将粪污变废为宝，实现利用70%以上；</w:t>
      </w:r>
      <w:r>
        <w:rPr>
          <w:color w:val="auto"/>
          <w:sz w:val="24"/>
        </w:rPr>
        <w:t>三、秸秆的饲料化运用。</w:t>
      </w:r>
      <w:r>
        <w:rPr>
          <w:b/>
          <w:color w:val="auto"/>
          <w:sz w:val="24"/>
        </w:rPr>
        <w:t>四、规模养殖。</w:t>
      </w:r>
      <w:r>
        <w:rPr>
          <w:color w:val="auto"/>
          <w:sz w:val="24"/>
        </w:rPr>
        <w:t>这是现代畜业的重要标志，是各项工作的重要抓手。目前蛋鸡和肉鸡的规模化水平最高，牛羊差一些。综合来看，</w:t>
      </w:r>
      <w:r>
        <w:rPr>
          <w:b/>
          <w:color w:val="auto"/>
          <w:sz w:val="24"/>
        </w:rPr>
        <w:t>现在，整个畜牧业规模化率39.6%，十三五期间，使畜牧业规模化率达到 50%以上。</w:t>
      </w:r>
      <w:r>
        <w:rPr>
          <w:color w:val="auto"/>
          <w:sz w:val="24"/>
        </w:rPr>
        <w:t>五、畜禽良种方面工作。六、奶业问题。七、饲料问题。….八、草原生态。十三五在十二五的基础上，继续实施，经费投入增加。九、科技方面。十三五期间，继续加强对科技的投入。十、畜牧发展的精准化。</w:t>
      </w:r>
    </w:p>
    <w:p>
      <w:pPr>
        <w:spacing w:line="360" w:lineRule="auto"/>
        <w:ind w:firstLine="482"/>
        <w:rPr>
          <w:color w:val="auto"/>
          <w:sz w:val="24"/>
        </w:rPr>
      </w:pPr>
      <w:r>
        <w:rPr>
          <w:rFonts w:hint="eastAsia"/>
          <w:color w:val="auto"/>
          <w:sz w:val="24"/>
        </w:rPr>
        <w:t>巴中乾兴产业园区建设投资有限公司</w:t>
      </w:r>
      <w:r>
        <w:rPr>
          <w:color w:val="auto"/>
          <w:sz w:val="24"/>
        </w:rPr>
        <w:t>拟投资</w:t>
      </w:r>
      <w:r>
        <w:rPr>
          <w:rFonts w:hint="eastAsia"/>
          <w:color w:val="auto"/>
          <w:sz w:val="24"/>
          <w:lang w:val="en-US" w:eastAsia="zh-CN"/>
        </w:rPr>
        <w:t>19685.37</w:t>
      </w:r>
      <w:r>
        <w:rPr>
          <w:color w:val="auto"/>
          <w:sz w:val="24"/>
        </w:rPr>
        <w:t>万元，在</w:t>
      </w:r>
      <w:r>
        <w:rPr>
          <w:rFonts w:hint="eastAsia"/>
          <w:color w:val="auto"/>
          <w:sz w:val="24"/>
          <w:lang w:val="en-US" w:eastAsia="zh-CN"/>
        </w:rPr>
        <w:t>恩阳区群乐镇坳盘村2组</w:t>
      </w:r>
      <w:r>
        <w:rPr>
          <w:color w:val="auto"/>
          <w:sz w:val="24"/>
        </w:rPr>
        <w:t>建设</w:t>
      </w:r>
      <w:r>
        <w:rPr>
          <w:rFonts w:hint="eastAsia"/>
          <w:color w:val="auto"/>
          <w:sz w:val="24"/>
          <w:lang w:eastAsia="zh-CN"/>
        </w:rPr>
        <w:t>“恩阳区群乐镇坳盘村巴山肉牛育肥场项目”</w:t>
      </w:r>
      <w:r>
        <w:rPr>
          <w:color w:val="auto"/>
          <w:sz w:val="24"/>
        </w:rPr>
        <w:t>。项目占地</w:t>
      </w:r>
      <w:r>
        <w:rPr>
          <w:rFonts w:hint="eastAsia"/>
          <w:color w:val="auto"/>
          <w:sz w:val="24"/>
          <w:lang w:val="en-US" w:eastAsia="zh-CN"/>
        </w:rPr>
        <w:t>246.94</w:t>
      </w:r>
      <w:r>
        <w:rPr>
          <w:color w:val="auto"/>
          <w:sz w:val="24"/>
        </w:rPr>
        <w:t>亩，建设</w:t>
      </w:r>
      <w:r>
        <w:rPr>
          <w:rFonts w:hint="default" w:ascii="Times New Roman" w:hAnsi="Times New Roman" w:eastAsia="宋体" w:cs="Times New Roman"/>
          <w:color w:val="auto"/>
          <w:kern w:val="0"/>
          <w:sz w:val="24"/>
          <w:szCs w:val="24"/>
          <w:lang w:val="en-US" w:eastAsia="zh-CN" w:bidi="ar"/>
        </w:rPr>
        <w:t>养殖牛舍、综合用房、干草棚、青贮池、隔离区等配套建设及其他附属设施工程</w:t>
      </w:r>
      <w:r>
        <w:rPr>
          <w:color w:val="auto"/>
          <w:sz w:val="24"/>
        </w:rPr>
        <w:t>，对项目产生的污染物按照相关要求进行规范化、无害化、资源化处理；项目的建设将为畜牧业规模化率的提高起到积极的作用。</w:t>
      </w:r>
    </w:p>
    <w:p>
      <w:pPr>
        <w:spacing w:line="360" w:lineRule="auto"/>
        <w:ind w:firstLine="482"/>
        <w:rPr>
          <w:b/>
          <w:color w:val="auto"/>
          <w:sz w:val="24"/>
        </w:rPr>
      </w:pPr>
      <w:r>
        <w:rPr>
          <w:b/>
          <w:color w:val="auto"/>
          <w:sz w:val="24"/>
        </w:rPr>
        <w:t>综上所述，本项目建设与《四川省畜牧业发展“十三五”规划（2016-2020年）》中相关要求一致。</w:t>
      </w:r>
    </w:p>
    <w:p>
      <w:pPr>
        <w:spacing w:line="360" w:lineRule="auto"/>
        <w:ind w:left="598" w:right="126"/>
        <w:rPr>
          <w:rFonts w:ascii="Times New Roman" w:hAnsi="Times New Roman" w:eastAsia="宋体" w:cs="Times New Roman"/>
          <w:color w:val="auto"/>
          <w:sz w:val="24"/>
          <w:szCs w:val="24"/>
          <w:lang w:eastAsia="zh-CN"/>
        </w:rPr>
      </w:pPr>
      <w:r>
        <w:rPr>
          <w:b/>
          <w:color w:val="auto"/>
          <w:sz w:val="24"/>
        </w:rPr>
        <w:t>（3）</w:t>
      </w:r>
      <w:r>
        <w:rPr>
          <w:rFonts w:hint="eastAsia" w:ascii="Times New Roman" w:hAnsi="Times New Roman" w:eastAsia="宋体" w:cs="Times New Roman"/>
          <w:b/>
          <w:bCs/>
          <w:color w:val="auto"/>
          <w:sz w:val="24"/>
          <w:szCs w:val="24"/>
          <w:lang w:eastAsia="zh-CN"/>
        </w:rPr>
        <w:t>与《四川省“十四五”生态环境保护规划》</w:t>
      </w:r>
      <w:r>
        <w:rPr>
          <w:rFonts w:hint="eastAsia" w:cs="Times New Roman"/>
          <w:b/>
          <w:bCs/>
          <w:color w:val="auto"/>
          <w:sz w:val="24"/>
          <w:szCs w:val="24"/>
          <w:lang w:val="en-US" w:eastAsia="zh-CN"/>
        </w:rPr>
        <w:t>的</w:t>
      </w:r>
      <w:r>
        <w:rPr>
          <w:rFonts w:hint="eastAsia" w:ascii="Times New Roman" w:hAnsi="Times New Roman" w:eastAsia="宋体" w:cs="Times New Roman"/>
          <w:b/>
          <w:bCs/>
          <w:color w:val="auto"/>
          <w:sz w:val="24"/>
          <w:szCs w:val="24"/>
          <w:lang w:eastAsia="zh-CN"/>
        </w:rPr>
        <w:t>符合性分析</w:t>
      </w:r>
    </w:p>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bCs/>
          <w:color w:val="auto"/>
          <w:sz w:val="24"/>
          <w:highlight w:val="none"/>
          <w:lang w:val="en-US" w:eastAsia="zh-CN"/>
        </w:rPr>
        <w:t>本项目与</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四川省“十四五”生态环境保护规划</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eastAsia="zh-CN"/>
        </w:rPr>
        <w:t>（川府发【</w:t>
      </w:r>
      <w:r>
        <w:rPr>
          <w:rFonts w:hint="eastAsia" w:ascii="Times New Roman" w:hAnsi="Times New Roman" w:cs="Times New Roman"/>
          <w:bCs/>
          <w:color w:val="auto"/>
          <w:sz w:val="24"/>
          <w:highlight w:val="none"/>
          <w:lang w:val="en-US" w:eastAsia="zh-CN"/>
        </w:rPr>
        <w:t>2022】2号）的</w:t>
      </w:r>
      <w:r>
        <w:rPr>
          <w:rFonts w:ascii="Times New Roman" w:hAnsi="Times New Roman" w:cs="Times New Roman"/>
          <w:bCs/>
          <w:color w:val="auto"/>
          <w:sz w:val="24"/>
          <w:highlight w:val="none"/>
        </w:rPr>
        <w:t>符合性分析见下表</w:t>
      </w:r>
      <w:r>
        <w:rPr>
          <w:rFonts w:hint="eastAsia" w:ascii="Times New Roman" w:hAnsi="Times New Roman" w:cs="Times New Roman"/>
          <w:color w:val="auto"/>
          <w:sz w:val="24"/>
          <w:szCs w:val="24"/>
          <w:lang w:eastAsia="zh-CN"/>
        </w:rPr>
        <w:t>。</w:t>
      </w:r>
    </w:p>
    <w:p>
      <w:pPr>
        <w:ind w:firstLine="840" w:firstLineChars="400"/>
        <w:jc w:val="center"/>
        <w:rPr>
          <w:rFonts w:hint="eastAsia" w:ascii="Times New Roman" w:hAnsi="Times New Roman" w:eastAsia="黑体" w:cs="Times New Roman"/>
          <w:color w:val="auto"/>
        </w:rPr>
      </w:pPr>
      <w:r>
        <w:rPr>
          <w:rFonts w:hint="eastAsia" w:ascii="Times New Roman" w:hAnsi="Times New Roman" w:eastAsia="黑体" w:cs="Times New Roman"/>
          <w:color w:val="auto"/>
          <w:lang w:val="en-US" w:eastAsia="zh-CN"/>
        </w:rPr>
        <w:t xml:space="preserve">表2.6-1 </w:t>
      </w:r>
      <w:r>
        <w:rPr>
          <w:rFonts w:hint="eastAsia" w:ascii="Times New Roman" w:hAnsi="Times New Roman" w:eastAsia="黑体" w:cs="Times New Roman"/>
          <w:color w:val="auto"/>
        </w:rPr>
        <w:t>与</w:t>
      </w:r>
      <w:r>
        <w:rPr>
          <w:rFonts w:hint="eastAsia" w:ascii="Times New Roman" w:hAnsi="Times New Roman" w:eastAsia="黑体" w:cs="Times New Roman"/>
          <w:color w:val="auto"/>
          <w:lang w:eastAsia="zh-CN"/>
        </w:rPr>
        <w:t>《</w:t>
      </w:r>
      <w:r>
        <w:rPr>
          <w:rFonts w:hint="eastAsia" w:ascii="Times New Roman" w:hAnsi="Times New Roman" w:eastAsia="黑体" w:cs="Times New Roman"/>
          <w:color w:val="auto"/>
        </w:rPr>
        <w:t>四川省“十四五”生态</w:t>
      </w:r>
      <w:r>
        <w:rPr>
          <w:rFonts w:hint="eastAsia" w:ascii="Times New Roman" w:hAnsi="Times New Roman" w:eastAsia="黑体" w:cs="Times New Roman"/>
          <w:color w:val="auto"/>
          <w:lang w:eastAsia="zh-CN"/>
        </w:rPr>
        <w:t>环境</w:t>
      </w:r>
      <w:r>
        <w:rPr>
          <w:rFonts w:hint="eastAsia" w:ascii="Times New Roman" w:hAnsi="Times New Roman" w:eastAsia="黑体" w:cs="Times New Roman"/>
          <w:color w:val="auto"/>
        </w:rPr>
        <w:t>保护规划》</w:t>
      </w:r>
      <w:r>
        <w:rPr>
          <w:rFonts w:hint="eastAsia" w:ascii="Times New Roman" w:hAnsi="Times New Roman" w:eastAsia="黑体" w:cs="Times New Roman"/>
          <w:color w:val="auto"/>
          <w:lang w:val="en-US" w:eastAsia="zh-CN"/>
        </w:rPr>
        <w:t>的</w:t>
      </w:r>
      <w:r>
        <w:rPr>
          <w:rFonts w:hint="eastAsia" w:ascii="Times New Roman" w:hAnsi="Times New Roman" w:eastAsia="黑体" w:cs="Times New Roman"/>
          <w:color w:val="auto"/>
        </w:rPr>
        <w:t>符合性分析</w:t>
      </w:r>
    </w:p>
    <w:tbl>
      <w:tblPr>
        <w:tblStyle w:val="89"/>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5"/>
        <w:gridCol w:w="3037"/>
        <w:gridCol w:w="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5"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《四川省“十</w:t>
            </w:r>
            <w:r>
              <w:rPr>
                <w:rFonts w:hint="eastAsia" w:ascii="Times New Roman" w:hAnsi="Times New Roman" w:cs="Times New Roman"/>
                <w:bCs/>
                <w:color w:val="auto"/>
                <w:highlight w:val="none"/>
                <w:lang w:val="en-US" w:eastAsia="zh-CN"/>
              </w:rPr>
              <w:t>四</w:t>
            </w:r>
            <w:r>
              <w:rPr>
                <w:rFonts w:hint="eastAsia" w:ascii="Times New Roman" w:hAnsi="Times New Roman" w:cs="Times New Roman"/>
                <w:bCs/>
                <w:color w:val="auto"/>
                <w:highlight w:val="none"/>
              </w:rPr>
              <w:t>五”生态保护与建设规划》</w:t>
            </w:r>
          </w:p>
        </w:tc>
        <w:tc>
          <w:tcPr>
            <w:tcW w:w="3037"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5"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加强养殖业氨排放治理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加大低蛋白饲料品种的研发与推广</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推广封闭式粪便存储和处理系统</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鼓励高效含氨气体处理技术的研发及运用。</w:t>
            </w:r>
          </w:p>
        </w:tc>
        <w:tc>
          <w:tcPr>
            <w:tcW w:w="3037"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bCs/>
                <w:color w:val="auto"/>
                <w:highlight w:val="none"/>
                <w:lang w:eastAsia="zh-CN"/>
              </w:rPr>
            </w:pPr>
            <w:r>
              <w:rPr>
                <w:rFonts w:hint="eastAsia" w:ascii="宋体" w:hAnsi="宋体" w:eastAsia="宋体" w:cs="宋体"/>
                <w:bCs/>
                <w:color w:val="auto"/>
                <w:highlight w:val="none"/>
              </w:rPr>
              <w:t>本项目采取生态循环的模式以及工程处理措施，以废弃物资源化利用为途径，</w:t>
            </w:r>
            <w:r>
              <w:rPr>
                <w:rFonts w:hint="eastAsia" w:ascii="Times New Roman" w:hAnsi="Times New Roman"/>
                <w:color w:val="auto"/>
                <w:sz w:val="21"/>
                <w:highlight w:val="none"/>
                <w:lang w:val="en-US" w:eastAsia="zh-CN"/>
              </w:rPr>
              <w:t>项目</w:t>
            </w:r>
            <w:r>
              <w:rPr>
                <w:rFonts w:hint="eastAsia"/>
                <w:color w:val="auto"/>
                <w:sz w:val="21"/>
                <w:highlight w:val="none"/>
                <w:lang w:val="en-US" w:eastAsia="zh-CN"/>
              </w:rPr>
              <w:t>将粪污通过发酵床处理后</w:t>
            </w:r>
            <w:r>
              <w:rPr>
                <w:rFonts w:hint="eastAsia" w:ascii="宋体" w:hAnsi="宋体" w:eastAsia="宋体" w:cs="宋体"/>
                <w:bCs/>
                <w:color w:val="auto"/>
                <w:highlight w:val="none"/>
                <w:lang w:val="en-US" w:eastAsia="zh-CN"/>
              </w:rPr>
              <w:t>，</w:t>
            </w:r>
            <w:r>
              <w:rPr>
                <w:rFonts w:hint="default" w:ascii="Times New Roman" w:hAnsi="Times New Roman"/>
                <w:color w:val="auto"/>
                <w:sz w:val="21"/>
                <w:highlight w:val="none"/>
              </w:rPr>
              <w:t>由车辆清运至</w:t>
            </w:r>
            <w:r>
              <w:rPr>
                <w:rFonts w:hint="eastAsia" w:ascii="Times New Roman" w:hAnsi="Times New Roman" w:cs="Times New Roman"/>
                <w:bCs/>
                <w:color w:val="auto"/>
                <w:highlight w:val="none"/>
                <w:lang w:val="en-US" w:eastAsia="zh-CN"/>
              </w:rPr>
              <w:t>四川优地康生物科技有限公司</w:t>
            </w:r>
            <w:r>
              <w:rPr>
                <w:rFonts w:hint="default" w:ascii="Times New Roman" w:hAnsi="Times New Roman"/>
                <w:color w:val="auto"/>
                <w:sz w:val="21"/>
                <w:highlight w:val="none"/>
              </w:rPr>
              <w:t>用作生产有机肥原料使用</w:t>
            </w:r>
            <w:r>
              <w:rPr>
                <w:rFonts w:hint="eastAsia" w:ascii="Times New Roman" w:hAnsi="Times New Roman"/>
                <w:color w:val="auto"/>
                <w:sz w:val="21"/>
                <w:highlight w:val="none"/>
                <w:lang w:eastAsia="zh-CN"/>
              </w:rPr>
              <w:t>，</w:t>
            </w:r>
            <w:r>
              <w:rPr>
                <w:rFonts w:hint="eastAsia" w:ascii="宋体" w:hAnsi="宋体" w:eastAsia="宋体" w:cs="宋体"/>
                <w:bCs/>
                <w:color w:val="auto"/>
                <w:highlight w:val="none"/>
              </w:rPr>
              <w:t>做到畜禽粪污无害化</w:t>
            </w:r>
            <w:r>
              <w:rPr>
                <w:rFonts w:hint="eastAsia" w:ascii="宋体" w:hAnsi="宋体" w:eastAsia="宋体" w:cs="宋体"/>
                <w:bCs/>
                <w:color w:val="auto"/>
                <w:highlight w:val="none"/>
                <w:lang w:eastAsia="zh-CN"/>
              </w:rPr>
              <w:t>。</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5"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加强养殖污染综合防治</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推进畜禽养殖粪污资源综合利用</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开展畜牧业绿色示范县(市、区)创建。到2025年</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规模化畜禽养殖场(小区)粪污处理设施配套率达到95%</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畜禽粪污综合利用率达到80%以上。</w:t>
            </w:r>
          </w:p>
        </w:tc>
        <w:tc>
          <w:tcPr>
            <w:tcW w:w="3037"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eastAsiaTheme="minorEastAsia"/>
                <w:bCs/>
                <w:color w:val="auto"/>
                <w:highlight w:val="none"/>
                <w:lang w:eastAsia="zh-CN"/>
              </w:rPr>
            </w:pPr>
            <w:r>
              <w:rPr>
                <w:rFonts w:hint="eastAsia" w:ascii="Times New Roman" w:hAnsi="Times New Roman" w:cs="Times New Roman"/>
                <w:bCs/>
                <w:color w:val="auto"/>
                <w:highlight w:val="none"/>
              </w:rPr>
              <w:t>本项目废弃物处理比例为100%，畜禽粪便运输至</w:t>
            </w:r>
            <w:r>
              <w:rPr>
                <w:rFonts w:hint="eastAsia" w:ascii="Times New Roman" w:hAnsi="Times New Roman" w:cs="Times New Roman"/>
                <w:bCs/>
                <w:color w:val="auto"/>
                <w:highlight w:val="none"/>
                <w:lang w:val="en-US" w:eastAsia="zh-CN"/>
              </w:rPr>
              <w:t>四川优地康生物科技有限公司</w:t>
            </w:r>
            <w:r>
              <w:rPr>
                <w:rFonts w:hint="eastAsia" w:ascii="Times New Roman" w:hAnsi="Times New Roman" w:cs="Times New Roman"/>
                <w:bCs/>
                <w:color w:val="auto"/>
                <w:highlight w:val="none"/>
              </w:rPr>
              <w:t>用作生产有机肥原料使用</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bl>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bCs/>
          <w:color w:val="auto"/>
          <w:sz w:val="24"/>
          <w:highlight w:val="none"/>
        </w:rPr>
        <w:t>本项目属标准化规模养殖，本项目运行过程中坚持粪便综合利用，做到</w:t>
      </w:r>
      <w:r>
        <w:rPr>
          <w:rFonts w:hint="eastAsia" w:ascii="Times New Roman" w:hAnsi="Times New Roman" w:cs="Times New Roman"/>
          <w:bCs/>
          <w:color w:val="auto"/>
          <w:sz w:val="24"/>
          <w:highlight w:val="none"/>
          <w:lang w:eastAsia="zh-CN"/>
        </w:rPr>
        <w:t>肉牛</w:t>
      </w:r>
      <w:r>
        <w:rPr>
          <w:rFonts w:hint="eastAsia" w:ascii="Times New Roman" w:hAnsi="Times New Roman" w:cs="Times New Roman"/>
          <w:bCs/>
          <w:color w:val="auto"/>
          <w:sz w:val="24"/>
          <w:highlight w:val="none"/>
        </w:rPr>
        <w:t>生产与环境保护协调发展，项目与</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四川省“十四五”生态环境保护规划</w:t>
      </w:r>
      <w:r>
        <w:rPr>
          <w:rFonts w:ascii="Times New Roman" w:hAnsi="Times New Roman" w:cs="Times New Roman"/>
          <w:bCs/>
          <w:color w:val="auto"/>
          <w:sz w:val="24"/>
          <w:highlight w:val="none"/>
        </w:rPr>
        <w:t>》相符</w:t>
      </w:r>
      <w:r>
        <w:rPr>
          <w:rFonts w:hint="eastAsia" w:ascii="Times New Roman" w:hAnsi="Times New Roman" w:cs="Times New Roman"/>
          <w:color w:val="auto"/>
          <w:sz w:val="24"/>
          <w:szCs w:val="24"/>
          <w:lang w:eastAsia="zh-CN"/>
        </w:rPr>
        <w:t>。</w:t>
      </w:r>
    </w:p>
    <w:p>
      <w:pPr>
        <w:spacing w:line="360" w:lineRule="auto"/>
        <w:ind w:firstLine="480" w:firstLineChars="200"/>
        <w:rPr>
          <w:rFonts w:cs="Times New Roman" w:asciiTheme="minorEastAsia" w:hAnsiTheme="minorEastAsia"/>
          <w:b/>
          <w:bCs/>
          <w:color w:val="auto"/>
          <w:sz w:val="24"/>
          <w:szCs w:val="24"/>
          <w:lang w:eastAsia="zh-CN"/>
        </w:rPr>
      </w:pPr>
      <w:r>
        <w:rPr>
          <w:rFonts w:hint="eastAsia" w:ascii="Times New Roman" w:hAnsi="Times New Roman" w:eastAsia="Times New Roman" w:cs="Times New Roman"/>
          <w:b/>
          <w:bCs/>
          <w:color w:val="auto"/>
          <w:sz w:val="24"/>
          <w:szCs w:val="24"/>
          <w:lang w:eastAsia="zh-CN"/>
        </w:rPr>
        <w:t>（</w:t>
      </w:r>
      <w:r>
        <w:rPr>
          <w:rFonts w:hint="eastAsia" w:ascii="Times New Roman" w:hAnsi="Times New Roman" w:eastAsia="Times New Roman" w:cs="Times New Roman"/>
          <w:b/>
          <w:bCs/>
          <w:color w:val="auto"/>
          <w:sz w:val="24"/>
          <w:szCs w:val="24"/>
          <w:lang w:val="en-US" w:eastAsia="zh-CN"/>
        </w:rPr>
        <w:t>4</w:t>
      </w:r>
      <w:r>
        <w:rPr>
          <w:rFonts w:hint="eastAsia" w:ascii="Times New Roman" w:hAnsi="Times New Roman" w:eastAsia="Times New Roman" w:cs="Times New Roman"/>
          <w:b/>
          <w:bCs/>
          <w:color w:val="auto"/>
          <w:sz w:val="24"/>
          <w:szCs w:val="24"/>
          <w:lang w:eastAsia="zh-CN"/>
        </w:rPr>
        <w:t>）</w:t>
      </w:r>
      <w:r>
        <w:rPr>
          <w:rFonts w:hint="eastAsia" w:cs="Times New Roman" w:asciiTheme="minorEastAsia" w:hAnsiTheme="minorEastAsia"/>
          <w:b/>
          <w:bCs/>
          <w:color w:val="auto"/>
          <w:sz w:val="24"/>
          <w:szCs w:val="24"/>
          <w:lang w:eastAsia="zh-CN"/>
        </w:rPr>
        <w:t>与《巴中市“十四五”生态环境保护规划》</w:t>
      </w:r>
      <w:r>
        <w:rPr>
          <w:rFonts w:hint="eastAsia" w:cs="Times New Roman" w:asciiTheme="minorEastAsia" w:hAnsiTheme="minorEastAsia"/>
          <w:b/>
          <w:bCs/>
          <w:color w:val="auto"/>
          <w:sz w:val="24"/>
          <w:szCs w:val="24"/>
          <w:lang w:val="en-US" w:eastAsia="zh-CN"/>
        </w:rPr>
        <w:t>的</w:t>
      </w:r>
      <w:r>
        <w:rPr>
          <w:rFonts w:hint="eastAsia" w:cs="Times New Roman" w:asciiTheme="minorEastAsia" w:hAnsiTheme="minorEastAsia"/>
          <w:b/>
          <w:bCs/>
          <w:color w:val="auto"/>
          <w:sz w:val="24"/>
          <w:szCs w:val="24"/>
          <w:lang w:eastAsia="zh-CN"/>
        </w:rPr>
        <w:t>符合性</w:t>
      </w:r>
      <w:r>
        <w:rPr>
          <w:rFonts w:hint="eastAsia" w:cs="Times New Roman" w:asciiTheme="minorEastAsia" w:hAnsiTheme="minorEastAsia"/>
          <w:b/>
          <w:bCs/>
          <w:color w:val="auto"/>
          <w:sz w:val="24"/>
          <w:szCs w:val="24"/>
          <w:lang w:val="en-US" w:eastAsia="zh-CN"/>
        </w:rPr>
        <w:t>分析</w:t>
      </w:r>
    </w:p>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bCs/>
          <w:color w:val="auto"/>
          <w:sz w:val="24"/>
          <w:highlight w:val="none"/>
          <w:lang w:val="en-US" w:eastAsia="zh-CN"/>
        </w:rPr>
        <w:t>本项目与</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巴中市“十四五”生态环境保护规划</w:t>
      </w:r>
      <w:r>
        <w:rPr>
          <w:rFonts w:hint="eastAsia" w:ascii="Times New Roman" w:hAnsi="Times New Roman" w:cs="Times New Roman"/>
          <w:bCs/>
          <w:color w:val="auto"/>
          <w:sz w:val="24"/>
          <w:highlight w:val="none"/>
          <w:lang w:eastAsia="zh-CN"/>
        </w:rPr>
        <w:t>》（巴府发【</w:t>
      </w:r>
      <w:r>
        <w:rPr>
          <w:rFonts w:hint="eastAsia" w:ascii="Times New Roman" w:hAnsi="Times New Roman" w:cs="Times New Roman"/>
          <w:bCs/>
          <w:color w:val="auto"/>
          <w:sz w:val="24"/>
          <w:highlight w:val="none"/>
          <w:lang w:val="en-US" w:eastAsia="zh-CN"/>
        </w:rPr>
        <w:t>2021】19号）的</w:t>
      </w:r>
      <w:r>
        <w:rPr>
          <w:rFonts w:ascii="Times New Roman" w:hAnsi="Times New Roman" w:cs="Times New Roman"/>
          <w:bCs/>
          <w:color w:val="auto"/>
          <w:sz w:val="24"/>
          <w:highlight w:val="none"/>
        </w:rPr>
        <w:t>符合性分析见下表</w:t>
      </w:r>
      <w:r>
        <w:rPr>
          <w:rFonts w:hint="eastAsia" w:ascii="Times New Roman" w:hAnsi="Times New Roman" w:cs="Times New Roman"/>
          <w:color w:val="auto"/>
          <w:sz w:val="24"/>
          <w:szCs w:val="24"/>
          <w:lang w:eastAsia="zh-CN"/>
        </w:rPr>
        <w:t>。</w:t>
      </w:r>
    </w:p>
    <w:p>
      <w:pPr>
        <w:numPr>
          <w:ilvl w:val="0"/>
          <w:numId w:val="0"/>
        </w:numPr>
        <w:tabs>
          <w:tab w:val="left" w:pos="0"/>
        </w:tabs>
        <w:ind w:left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黑体" w:cs="Times New Roman"/>
          <w:color w:val="auto"/>
          <w:lang w:val="en-US" w:eastAsia="zh-CN"/>
        </w:rPr>
        <w:t xml:space="preserve">表2.6-2 </w:t>
      </w:r>
      <w:r>
        <w:rPr>
          <w:rFonts w:hint="eastAsia" w:ascii="Times New Roman" w:hAnsi="Times New Roman" w:eastAsia="黑体" w:cs="Times New Roman"/>
          <w:color w:val="auto"/>
        </w:rPr>
        <w:t>与</w:t>
      </w:r>
      <w:r>
        <w:rPr>
          <w:rFonts w:hint="eastAsia" w:ascii="Times New Roman" w:hAnsi="Times New Roman" w:eastAsia="黑体" w:cs="Times New Roman"/>
          <w:color w:val="auto"/>
          <w:lang w:eastAsia="zh-CN"/>
        </w:rPr>
        <w:t>《巴中市“十四五”生态环境保护规划》</w:t>
      </w:r>
      <w:r>
        <w:rPr>
          <w:rFonts w:hint="eastAsia" w:ascii="Times New Roman" w:hAnsi="Times New Roman" w:eastAsia="黑体" w:cs="Times New Roman"/>
          <w:color w:val="auto"/>
          <w:lang w:val="en-US" w:eastAsia="zh-CN"/>
        </w:rPr>
        <w:t>的</w:t>
      </w:r>
      <w:r>
        <w:rPr>
          <w:rFonts w:hint="eastAsia" w:ascii="Times New Roman" w:hAnsi="Times New Roman" w:eastAsia="黑体" w:cs="Times New Roman"/>
          <w:color w:val="auto"/>
        </w:rPr>
        <w:t>符合性分析</w:t>
      </w:r>
    </w:p>
    <w:tbl>
      <w:tblPr>
        <w:tblStyle w:val="89"/>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2269"/>
        <w:gridCol w:w="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《巴中市“十四五”生态环境保护规划》</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加强养殖业氨排放治理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加大低蛋白饲料品种的研发与推广</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推广封闭式粪便存储和处理系统</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鼓励高效含氨气体处理技术的研发及运用。</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highlight w:val="none"/>
                <w:lang w:val="en-US" w:eastAsia="zh-CN"/>
              </w:rPr>
            </w:pPr>
            <w:r>
              <w:rPr>
                <w:rFonts w:hint="eastAsia" w:ascii="宋体" w:hAnsi="宋体" w:eastAsia="宋体" w:cs="宋体"/>
                <w:bCs/>
                <w:color w:val="auto"/>
                <w:highlight w:val="none"/>
              </w:rPr>
              <w:t>本项目采取生态循环的模式以及工程处理措施，以废弃物资源化利用为途径，</w:t>
            </w:r>
            <w:r>
              <w:rPr>
                <w:rFonts w:hint="eastAsia" w:ascii="Times New Roman" w:hAnsi="Times New Roman"/>
                <w:color w:val="auto"/>
                <w:sz w:val="21"/>
                <w:highlight w:val="none"/>
                <w:lang w:val="en-US" w:eastAsia="zh-CN"/>
              </w:rPr>
              <w:t>项目</w:t>
            </w:r>
            <w:r>
              <w:rPr>
                <w:rFonts w:hint="eastAsia"/>
                <w:color w:val="auto"/>
                <w:sz w:val="21"/>
                <w:highlight w:val="none"/>
                <w:lang w:val="en-US" w:eastAsia="zh-CN"/>
              </w:rPr>
              <w:t>将粪污通过发酵床处理后</w:t>
            </w:r>
            <w:r>
              <w:rPr>
                <w:rFonts w:hint="eastAsia" w:ascii="宋体" w:hAnsi="宋体" w:eastAsia="宋体" w:cs="宋体"/>
                <w:bCs/>
                <w:color w:val="auto"/>
                <w:highlight w:val="none"/>
                <w:lang w:val="en-US" w:eastAsia="zh-CN"/>
              </w:rPr>
              <w:t>，</w:t>
            </w:r>
            <w:r>
              <w:rPr>
                <w:rFonts w:hint="default" w:ascii="Times New Roman" w:hAnsi="Times New Roman"/>
                <w:color w:val="auto"/>
                <w:sz w:val="21"/>
                <w:highlight w:val="none"/>
              </w:rPr>
              <w:t>由车辆清运至</w:t>
            </w:r>
            <w:r>
              <w:rPr>
                <w:rFonts w:hint="eastAsia" w:ascii="Times New Roman" w:hAnsi="Times New Roman" w:cs="Times New Roman"/>
                <w:bCs/>
                <w:color w:val="auto"/>
                <w:highlight w:val="none"/>
                <w:lang w:val="en-US" w:eastAsia="zh-CN"/>
              </w:rPr>
              <w:t>四川优地康生物科技有限公司</w:t>
            </w:r>
            <w:r>
              <w:rPr>
                <w:rFonts w:hint="default" w:ascii="Times New Roman" w:hAnsi="Times New Roman"/>
                <w:color w:val="auto"/>
                <w:sz w:val="21"/>
                <w:highlight w:val="none"/>
              </w:rPr>
              <w:t>用作生产有机肥原料使用</w:t>
            </w:r>
            <w:r>
              <w:rPr>
                <w:rFonts w:hint="eastAsia" w:ascii="Times New Roman" w:hAnsi="Times New Roman"/>
                <w:color w:val="auto"/>
                <w:sz w:val="21"/>
                <w:highlight w:val="none"/>
                <w:lang w:eastAsia="zh-CN"/>
              </w:rPr>
              <w:t>，</w:t>
            </w:r>
            <w:r>
              <w:rPr>
                <w:rFonts w:hint="eastAsia" w:ascii="宋体" w:hAnsi="宋体" w:eastAsia="宋体" w:cs="宋体"/>
                <w:bCs/>
                <w:color w:val="auto"/>
                <w:highlight w:val="none"/>
              </w:rPr>
              <w:t>做到畜禽粪污无害化</w:t>
            </w:r>
            <w:r>
              <w:rPr>
                <w:rFonts w:hint="eastAsia" w:ascii="宋体" w:hAnsi="宋体" w:eastAsia="宋体" w:cs="宋体"/>
                <w:bCs/>
                <w:color w:val="auto"/>
                <w:highlight w:val="none"/>
                <w:lang w:eastAsia="zh-CN"/>
              </w:rPr>
              <w:t>。</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全覆盖实施病死畜禽集中无害化处置工程，持续推动畜禽粪污资源化利用，综合利用率达到95%以上，规模以上畜禽养殖场粪污处理设施装备配套率达到100%。</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cs="Times New Roman" w:eastAsiaTheme="minorEastAsia"/>
                <w:bCs/>
                <w:color w:val="auto"/>
                <w:highlight w:val="none"/>
                <w:lang w:eastAsia="zh-CN"/>
              </w:rPr>
            </w:pPr>
            <w:r>
              <w:rPr>
                <w:rFonts w:hint="eastAsia" w:ascii="Times New Roman" w:hAnsi="Times New Roman" w:cs="Times New Roman"/>
                <w:bCs/>
                <w:color w:val="auto"/>
                <w:highlight w:val="none"/>
                <w:lang w:val="en-US" w:eastAsia="zh-CN"/>
              </w:rPr>
              <w:t>本项目病死牛经高温无害化处理</w:t>
            </w:r>
            <w:r>
              <w:rPr>
                <w:rFonts w:hint="eastAsia" w:ascii="Times New Roman" w:hAnsi="Times New Roman" w:cs="Times New Roman"/>
                <w:bCs/>
                <w:color w:val="auto"/>
                <w:highlight w:val="none"/>
                <w:lang w:eastAsia="zh-CN"/>
              </w:rPr>
              <w:t>；</w:t>
            </w:r>
            <w:r>
              <w:rPr>
                <w:rFonts w:hint="eastAsia" w:ascii="Times New Roman" w:hAnsi="Times New Roman" w:cs="Times New Roman"/>
                <w:bCs/>
                <w:color w:val="auto"/>
                <w:highlight w:val="none"/>
              </w:rPr>
              <w:t>本项目废弃物处理比例为100%，畜禽粪便运输至</w:t>
            </w:r>
            <w:r>
              <w:rPr>
                <w:rFonts w:hint="eastAsia" w:ascii="Times New Roman" w:hAnsi="Times New Roman" w:cs="Times New Roman"/>
                <w:bCs/>
                <w:color w:val="auto"/>
                <w:highlight w:val="none"/>
                <w:lang w:val="en-US" w:eastAsia="zh-CN"/>
              </w:rPr>
              <w:t>四川优地康生物科技有限公司</w:t>
            </w:r>
            <w:r>
              <w:rPr>
                <w:rFonts w:hint="eastAsia" w:ascii="Times New Roman" w:hAnsi="Times New Roman" w:cs="Times New Roman"/>
                <w:bCs/>
                <w:color w:val="auto"/>
                <w:highlight w:val="none"/>
              </w:rPr>
              <w:t>用作生产有机肥原料使用</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bl>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bCs/>
          <w:color w:val="auto"/>
          <w:sz w:val="24"/>
          <w:highlight w:val="none"/>
        </w:rPr>
        <w:t>本项目属标准化规模养殖，本项目运行过程中坚持粪便综合利用</w:t>
      </w:r>
      <w:r>
        <w:rPr>
          <w:rFonts w:hint="eastAsia" w:ascii="Times New Roman" w:hAnsi="Times New Roman" w:cs="Times New Roman"/>
          <w:bCs/>
          <w:color w:val="auto"/>
          <w:sz w:val="24"/>
          <w:highlight w:val="none"/>
          <w:lang w:val="en-US" w:eastAsia="zh-CN"/>
        </w:rPr>
        <w:t>及病死牛的无害化处理</w:t>
      </w:r>
      <w:r>
        <w:rPr>
          <w:rFonts w:hint="eastAsia" w:ascii="Times New Roman" w:hAnsi="Times New Roman" w:cs="Times New Roman"/>
          <w:bCs/>
          <w:color w:val="auto"/>
          <w:sz w:val="24"/>
          <w:highlight w:val="none"/>
        </w:rPr>
        <w:t>，做到</w:t>
      </w:r>
      <w:r>
        <w:rPr>
          <w:rFonts w:hint="eastAsia" w:ascii="Times New Roman" w:hAnsi="Times New Roman" w:cs="Times New Roman"/>
          <w:bCs/>
          <w:color w:val="auto"/>
          <w:sz w:val="24"/>
          <w:highlight w:val="none"/>
          <w:lang w:eastAsia="zh-CN"/>
        </w:rPr>
        <w:t>肉牛</w:t>
      </w:r>
      <w:r>
        <w:rPr>
          <w:rFonts w:hint="eastAsia" w:ascii="Times New Roman" w:hAnsi="Times New Roman" w:cs="Times New Roman"/>
          <w:bCs/>
          <w:color w:val="auto"/>
          <w:sz w:val="24"/>
          <w:highlight w:val="none"/>
        </w:rPr>
        <w:t>生产与环境保护协调发展，项目与</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巴中市“十四五”生态环境保护规划</w:t>
      </w:r>
      <w:r>
        <w:rPr>
          <w:rFonts w:hint="eastAsia" w:ascii="Times New Roman" w:hAnsi="Times New Roman" w:cs="Times New Roman"/>
          <w:bCs/>
          <w:color w:val="auto"/>
          <w:sz w:val="24"/>
          <w:highlight w:val="none"/>
          <w:lang w:eastAsia="zh-CN"/>
        </w:rPr>
        <w:t>》</w:t>
      </w:r>
      <w:r>
        <w:rPr>
          <w:rFonts w:ascii="Times New Roman" w:hAnsi="Times New Roman" w:cs="Times New Roman"/>
          <w:bCs/>
          <w:color w:val="auto"/>
          <w:sz w:val="24"/>
          <w:highlight w:val="none"/>
        </w:rPr>
        <w:t>相符</w:t>
      </w:r>
      <w:r>
        <w:rPr>
          <w:rFonts w:hint="eastAsia" w:ascii="Times New Roman" w:hAnsi="Times New Roman" w:cs="Times New Roman"/>
          <w:color w:val="auto"/>
          <w:sz w:val="24"/>
          <w:szCs w:val="24"/>
          <w:lang w:eastAsia="zh-CN"/>
        </w:rPr>
        <w:t>。</w:t>
      </w:r>
    </w:p>
    <w:p>
      <w:pPr>
        <w:spacing w:line="360" w:lineRule="auto"/>
        <w:ind w:firstLine="480" w:firstLineChars="200"/>
        <w:rPr>
          <w:rFonts w:cs="Times New Roman" w:asciiTheme="minorEastAsia" w:hAnsiTheme="minorEastAsia"/>
          <w:b/>
          <w:bCs/>
          <w:color w:val="auto"/>
          <w:sz w:val="24"/>
          <w:szCs w:val="24"/>
          <w:lang w:eastAsia="zh-CN"/>
        </w:rPr>
      </w:pPr>
      <w:r>
        <w:rPr>
          <w:rFonts w:hint="eastAsia" w:ascii="Times New Roman" w:hAnsi="Times New Roman" w:eastAsia="Times New Roman" w:cs="Times New Roman"/>
          <w:b/>
          <w:bCs/>
          <w:color w:val="auto"/>
          <w:sz w:val="24"/>
          <w:szCs w:val="24"/>
          <w:lang w:eastAsia="zh-CN"/>
        </w:rPr>
        <w:t>（</w:t>
      </w:r>
      <w:r>
        <w:rPr>
          <w:rFonts w:hint="eastAsia" w:ascii="Times New Roman" w:hAnsi="Times New Roman" w:eastAsia="Times New Roman" w:cs="Times New Roman"/>
          <w:b/>
          <w:bCs/>
          <w:color w:val="auto"/>
          <w:sz w:val="24"/>
          <w:szCs w:val="24"/>
          <w:lang w:val="en-US" w:eastAsia="zh-CN"/>
        </w:rPr>
        <w:t>5</w:t>
      </w:r>
      <w:r>
        <w:rPr>
          <w:rFonts w:hint="eastAsia" w:ascii="Times New Roman" w:hAnsi="Times New Roman" w:eastAsia="Times New Roman" w:cs="Times New Roman"/>
          <w:b/>
          <w:bCs/>
          <w:color w:val="auto"/>
          <w:sz w:val="24"/>
          <w:szCs w:val="24"/>
          <w:lang w:eastAsia="zh-CN"/>
        </w:rPr>
        <w:t>）</w:t>
      </w:r>
      <w:r>
        <w:rPr>
          <w:rFonts w:hint="eastAsia" w:cs="Times New Roman" w:asciiTheme="minorEastAsia" w:hAnsiTheme="minorEastAsia"/>
          <w:b/>
          <w:bCs/>
          <w:color w:val="auto"/>
          <w:sz w:val="24"/>
          <w:szCs w:val="24"/>
          <w:lang w:eastAsia="zh-CN"/>
        </w:rPr>
        <w:t>与《巴中市“十四五”推进农业农村现代化规划》</w:t>
      </w:r>
      <w:r>
        <w:rPr>
          <w:rFonts w:hint="eastAsia" w:cs="Times New Roman" w:asciiTheme="minorEastAsia" w:hAnsiTheme="minorEastAsia"/>
          <w:b/>
          <w:bCs/>
          <w:color w:val="auto"/>
          <w:sz w:val="24"/>
          <w:szCs w:val="24"/>
          <w:lang w:val="en-US" w:eastAsia="zh-CN"/>
        </w:rPr>
        <w:t>的</w:t>
      </w:r>
      <w:r>
        <w:rPr>
          <w:rFonts w:hint="eastAsia" w:cs="Times New Roman" w:asciiTheme="minorEastAsia" w:hAnsiTheme="minorEastAsia"/>
          <w:b/>
          <w:bCs/>
          <w:color w:val="auto"/>
          <w:sz w:val="24"/>
          <w:szCs w:val="24"/>
          <w:lang w:eastAsia="zh-CN"/>
        </w:rPr>
        <w:t>符合性</w:t>
      </w:r>
      <w:r>
        <w:rPr>
          <w:rFonts w:hint="eastAsia" w:cs="Times New Roman" w:asciiTheme="minorEastAsia" w:hAnsiTheme="minorEastAsia"/>
          <w:b/>
          <w:bCs/>
          <w:color w:val="auto"/>
          <w:sz w:val="24"/>
          <w:szCs w:val="24"/>
          <w:lang w:val="en-US" w:eastAsia="zh-CN"/>
        </w:rPr>
        <w:t>分析</w:t>
      </w:r>
    </w:p>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bCs/>
          <w:color w:val="auto"/>
          <w:sz w:val="24"/>
          <w:highlight w:val="none"/>
          <w:lang w:val="en-US" w:eastAsia="zh-CN"/>
        </w:rPr>
        <w:t>本项目与</w:t>
      </w:r>
      <w:r>
        <w:rPr>
          <w:rFonts w:hint="eastAsia" w:ascii="Times New Roman" w:hAnsi="Times New Roman" w:cs="Times New Roman"/>
          <w:bCs/>
          <w:color w:val="auto"/>
          <w:sz w:val="24"/>
          <w:highlight w:val="none"/>
        </w:rPr>
        <w:t>《巴中市“十四五”推进农业农村现代化规划》</w:t>
      </w:r>
      <w:r>
        <w:rPr>
          <w:rFonts w:hint="eastAsia" w:ascii="Times New Roman" w:hAnsi="Times New Roman" w:cs="Times New Roman"/>
          <w:bCs/>
          <w:color w:val="auto"/>
          <w:sz w:val="24"/>
          <w:highlight w:val="none"/>
          <w:lang w:eastAsia="zh-CN"/>
        </w:rPr>
        <w:t>（巴府发【</w:t>
      </w:r>
      <w:r>
        <w:rPr>
          <w:rFonts w:hint="eastAsia" w:ascii="Times New Roman" w:hAnsi="Times New Roman" w:cs="Times New Roman"/>
          <w:bCs/>
          <w:color w:val="auto"/>
          <w:sz w:val="24"/>
          <w:highlight w:val="none"/>
          <w:lang w:val="en-US" w:eastAsia="zh-CN"/>
        </w:rPr>
        <w:t>2021】13号）的</w:t>
      </w:r>
      <w:r>
        <w:rPr>
          <w:rFonts w:ascii="Times New Roman" w:hAnsi="Times New Roman" w:cs="Times New Roman"/>
          <w:bCs/>
          <w:color w:val="auto"/>
          <w:sz w:val="24"/>
          <w:highlight w:val="none"/>
        </w:rPr>
        <w:t>符合性分析见下表</w:t>
      </w:r>
      <w:r>
        <w:rPr>
          <w:rFonts w:hint="eastAsia" w:ascii="Times New Roman" w:hAnsi="Times New Roman" w:cs="Times New Roman"/>
          <w:color w:val="auto"/>
          <w:sz w:val="24"/>
          <w:szCs w:val="24"/>
          <w:lang w:eastAsia="zh-CN"/>
        </w:rPr>
        <w:t>。</w:t>
      </w:r>
    </w:p>
    <w:p>
      <w:pPr>
        <w:jc w:val="center"/>
        <w:rPr>
          <w:rFonts w:hint="eastAsia" w:ascii="Times New Roman" w:hAnsi="Times New Roman" w:eastAsia="黑体" w:cs="Times New Roman"/>
          <w:color w:val="auto"/>
        </w:rPr>
      </w:pPr>
      <w:r>
        <w:rPr>
          <w:rFonts w:hint="eastAsia" w:ascii="Times New Roman" w:hAnsi="Times New Roman" w:eastAsia="黑体" w:cs="Times New Roman"/>
          <w:color w:val="auto"/>
          <w:lang w:val="en-US" w:eastAsia="zh-CN"/>
        </w:rPr>
        <w:t xml:space="preserve">表2.6-3 </w:t>
      </w:r>
      <w:r>
        <w:rPr>
          <w:rFonts w:hint="eastAsia" w:ascii="Times New Roman" w:hAnsi="Times New Roman" w:eastAsia="黑体" w:cs="Times New Roman"/>
          <w:color w:val="auto"/>
        </w:rPr>
        <w:t>与</w:t>
      </w:r>
      <w:r>
        <w:rPr>
          <w:rFonts w:hint="eastAsia" w:ascii="Times New Roman" w:hAnsi="Times New Roman" w:eastAsia="黑体" w:cs="Times New Roman"/>
          <w:color w:val="auto"/>
          <w:lang w:eastAsia="zh-CN"/>
        </w:rPr>
        <w:t>《巴中市“十四五”推进农业农村现代化规划》</w:t>
      </w:r>
      <w:r>
        <w:rPr>
          <w:rFonts w:hint="eastAsia" w:ascii="Times New Roman" w:hAnsi="Times New Roman" w:eastAsia="黑体" w:cs="Times New Roman"/>
          <w:color w:val="auto"/>
          <w:lang w:val="en-US" w:eastAsia="zh-CN"/>
        </w:rPr>
        <w:t>的</w:t>
      </w:r>
      <w:r>
        <w:rPr>
          <w:rFonts w:hint="eastAsia" w:ascii="Times New Roman" w:hAnsi="Times New Roman" w:eastAsia="黑体" w:cs="Times New Roman"/>
          <w:color w:val="auto"/>
        </w:rPr>
        <w:t>符合性分析</w:t>
      </w:r>
    </w:p>
    <w:tbl>
      <w:tblPr>
        <w:tblStyle w:val="89"/>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353"/>
        <w:gridCol w:w="2269"/>
        <w:gridCol w:w="9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《巴中市“十四五” 推进农业农村现代化规划》</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实施山地肉牛集群项目和牛羊扩群增量行动，新（改、扩）建畜禽规模养殖场785个、水产健康养殖场25个，提升优质牧草供给能力和牛羊屠宰加工能力，提升“巴山牛”“南江黄羊”品牌影响力。</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bCs/>
                <w:color w:val="auto"/>
                <w:highlight w:val="none"/>
                <w:lang w:eastAsia="zh-CN"/>
              </w:rPr>
            </w:pPr>
            <w:r>
              <w:rPr>
                <w:rFonts w:hint="eastAsia" w:ascii="宋体" w:hAnsi="宋体" w:eastAsia="宋体" w:cs="宋体"/>
                <w:bCs/>
                <w:color w:val="auto"/>
                <w:highlight w:val="none"/>
              </w:rPr>
              <w:t>本项目</w:t>
            </w:r>
            <w:r>
              <w:rPr>
                <w:rFonts w:hint="eastAsia" w:ascii="宋体" w:hAnsi="宋体" w:eastAsia="宋体" w:cs="宋体"/>
                <w:bCs/>
                <w:color w:val="auto"/>
                <w:highlight w:val="none"/>
                <w:lang w:eastAsia="zh-CN"/>
              </w:rPr>
              <w:t>属于</w:t>
            </w:r>
            <w:r>
              <w:rPr>
                <w:rFonts w:hint="default" w:ascii="Times New Roman" w:hAnsi="Times New Roman" w:eastAsia="宋体" w:cs="Times New Roman"/>
                <w:color w:val="auto"/>
                <w:sz w:val="21"/>
                <w:szCs w:val="21"/>
                <w:highlight w:val="none"/>
              </w:rPr>
              <w:t>“巴山牛”肉牛</w:t>
            </w:r>
            <w:r>
              <w:rPr>
                <w:rFonts w:hint="eastAsia" w:ascii="Times New Roman" w:hAnsi="Times New Roman" w:cs="Times New Roman"/>
                <w:color w:val="auto"/>
                <w:sz w:val="21"/>
                <w:szCs w:val="21"/>
                <w:highlight w:val="none"/>
                <w:lang w:val="en-US" w:eastAsia="zh-CN"/>
              </w:rPr>
              <w:t>育</w:t>
            </w:r>
            <w:r>
              <w:rPr>
                <w:rFonts w:hint="eastAsia" w:cs="Times New Roman"/>
                <w:color w:val="auto"/>
                <w:sz w:val="21"/>
                <w:szCs w:val="21"/>
                <w:highlight w:val="none"/>
                <w:lang w:val="en-US" w:eastAsia="zh-CN"/>
              </w:rPr>
              <w:t>育</w:t>
            </w:r>
            <w:r>
              <w:rPr>
                <w:rFonts w:hint="default" w:ascii="Times New Roman" w:hAnsi="Times New Roman" w:eastAsia="宋体" w:cs="Times New Roman"/>
                <w:color w:val="auto"/>
                <w:sz w:val="21"/>
                <w:szCs w:val="21"/>
                <w:highlight w:val="none"/>
              </w:rPr>
              <w:t>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bl>
    <w:p>
      <w:pPr>
        <w:spacing w:line="360" w:lineRule="auto"/>
        <w:ind w:firstLine="480" w:firstLineChars="200"/>
        <w:rPr>
          <w:rFonts w:ascii="Times New Roman" w:hAnsi="Times New Roman" w:cs="Times New Roman"/>
          <w:color w:val="auto"/>
          <w:sz w:val="24"/>
          <w:szCs w:val="24"/>
          <w:lang w:eastAsia="zh-CN"/>
        </w:rPr>
      </w:pPr>
      <w:r>
        <w:rPr>
          <w:rFonts w:hint="eastAsia" w:ascii="Times New Roman" w:hAnsi="Times New Roman" w:cs="Times New Roman"/>
          <w:bCs/>
          <w:color w:val="auto"/>
          <w:sz w:val="24"/>
          <w:highlight w:val="none"/>
        </w:rPr>
        <w:t>本项目属标准化规模养殖，</w:t>
      </w:r>
      <w:r>
        <w:rPr>
          <w:rFonts w:hint="eastAsia" w:ascii="Times New Roman" w:hAnsi="Times New Roman" w:cs="Times New Roman"/>
          <w:bCs/>
          <w:color w:val="auto"/>
          <w:sz w:val="24"/>
          <w:highlight w:val="none"/>
          <w:lang w:val="en-US" w:eastAsia="zh-CN"/>
        </w:rPr>
        <w:t>扩大“巴山牛”的养殖</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rPr>
        <w:t>做到</w:t>
      </w:r>
      <w:r>
        <w:rPr>
          <w:rFonts w:hint="eastAsia" w:ascii="Times New Roman" w:hAnsi="Times New Roman" w:cs="Times New Roman"/>
          <w:bCs/>
          <w:color w:val="auto"/>
          <w:sz w:val="24"/>
          <w:highlight w:val="none"/>
          <w:lang w:eastAsia="zh-CN"/>
        </w:rPr>
        <w:t>肉牛</w:t>
      </w:r>
      <w:r>
        <w:rPr>
          <w:rFonts w:hint="eastAsia" w:ascii="Times New Roman" w:hAnsi="Times New Roman" w:cs="Times New Roman"/>
          <w:bCs/>
          <w:color w:val="auto"/>
          <w:sz w:val="24"/>
          <w:highlight w:val="none"/>
        </w:rPr>
        <w:t>生产与环境保护协调发展，项目与《巴中市“十四五”推进农业农村现代化规划》</w:t>
      </w:r>
      <w:r>
        <w:rPr>
          <w:rFonts w:ascii="Times New Roman" w:hAnsi="Times New Roman" w:cs="Times New Roman"/>
          <w:bCs/>
          <w:color w:val="auto"/>
          <w:sz w:val="24"/>
          <w:highlight w:val="none"/>
        </w:rPr>
        <w:t>相符</w:t>
      </w:r>
      <w:r>
        <w:rPr>
          <w:rFonts w:hint="eastAsia" w:ascii="Times New Roman" w:hAnsi="Times New Roman" w:cs="Times New Roman"/>
          <w:color w:val="auto"/>
          <w:sz w:val="24"/>
          <w:szCs w:val="24"/>
          <w:lang w:eastAsia="zh-CN"/>
        </w:rPr>
        <w:t>。</w:t>
      </w:r>
    </w:p>
    <w:p>
      <w:pPr>
        <w:spacing w:line="360" w:lineRule="auto"/>
        <w:ind w:firstLine="482"/>
        <w:rPr>
          <w:color w:val="auto"/>
          <w:sz w:val="24"/>
        </w:rPr>
      </w:pPr>
      <w:r>
        <w:rPr>
          <w:rFonts w:hint="eastAsia"/>
          <w:b/>
          <w:color w:val="auto"/>
          <w:sz w:val="24"/>
        </w:rPr>
        <w:t>（</w:t>
      </w:r>
      <w:r>
        <w:rPr>
          <w:rFonts w:hint="eastAsia"/>
          <w:b/>
          <w:color w:val="auto"/>
          <w:sz w:val="24"/>
          <w:lang w:val="en-US" w:eastAsia="zh-CN"/>
        </w:rPr>
        <w:t>6</w:t>
      </w:r>
      <w:r>
        <w:rPr>
          <w:rFonts w:hint="eastAsia"/>
          <w:b/>
          <w:color w:val="auto"/>
          <w:sz w:val="24"/>
        </w:rPr>
        <w:t>）</w:t>
      </w:r>
      <w:r>
        <w:rPr>
          <w:b/>
          <w:color w:val="auto"/>
          <w:sz w:val="24"/>
        </w:rPr>
        <w:t>与</w:t>
      </w:r>
      <w:r>
        <w:rPr>
          <w:rFonts w:hint="eastAsia"/>
          <w:b/>
          <w:color w:val="auto"/>
          <w:sz w:val="24"/>
        </w:rPr>
        <w:t>《</w:t>
      </w:r>
      <w:r>
        <w:rPr>
          <w:rFonts w:hint="eastAsia"/>
          <w:b/>
          <w:color w:val="auto"/>
          <w:sz w:val="24"/>
          <w:lang w:val="en-US" w:eastAsia="zh-CN"/>
        </w:rPr>
        <w:t>巴中市畜禽养殖区域划分规定</w:t>
      </w:r>
      <w:r>
        <w:rPr>
          <w:rFonts w:hint="eastAsia"/>
          <w:b/>
          <w:color w:val="auto"/>
          <w:sz w:val="24"/>
        </w:rPr>
        <w:t>》符合性分析</w:t>
      </w:r>
      <w:r>
        <w:rPr>
          <w:color w:val="auto"/>
          <w:sz w:val="24"/>
        </w:rPr>
        <w:t>：</w:t>
      </w:r>
    </w:p>
    <w:p>
      <w:pPr>
        <w:ind w:firstLine="840" w:firstLineChars="400"/>
        <w:jc w:val="center"/>
        <w:rPr>
          <w:color w:val="auto"/>
        </w:rPr>
      </w:pPr>
      <w:r>
        <w:rPr>
          <w:rFonts w:eastAsia="黑体"/>
          <w:color w:val="auto"/>
        </w:rPr>
        <w:t>表</w:t>
      </w:r>
      <w:r>
        <w:rPr>
          <w:rFonts w:hint="eastAsia" w:eastAsia="黑体"/>
          <w:color w:val="auto"/>
          <w:lang w:val="en-US" w:eastAsia="zh-CN"/>
        </w:rPr>
        <w:t>2</w:t>
      </w:r>
      <w:r>
        <w:rPr>
          <w:rFonts w:hint="eastAsia" w:eastAsia="黑体"/>
          <w:color w:val="auto"/>
        </w:rPr>
        <w:t>.6</w:t>
      </w:r>
      <w:r>
        <w:rPr>
          <w:rFonts w:eastAsia="黑体"/>
          <w:color w:val="auto"/>
        </w:rPr>
        <w:t>-</w:t>
      </w:r>
      <w:r>
        <w:rPr>
          <w:rFonts w:hint="eastAsia" w:eastAsia="黑体"/>
          <w:color w:val="auto"/>
          <w:lang w:val="en-US" w:eastAsia="zh-CN"/>
        </w:rPr>
        <w:t>4</w:t>
      </w:r>
      <w:r>
        <w:rPr>
          <w:rFonts w:hint="eastAsia" w:eastAsia="黑体"/>
          <w:color w:val="auto"/>
        </w:rPr>
        <w:t xml:space="preserve"> </w:t>
      </w:r>
      <w:r>
        <w:rPr>
          <w:rFonts w:eastAsia="黑体"/>
          <w:color w:val="auto"/>
        </w:rPr>
        <w:t xml:space="preserve"> 与</w:t>
      </w:r>
      <w:r>
        <w:rPr>
          <w:rFonts w:hint="eastAsia" w:eastAsia="黑体"/>
          <w:color w:val="auto"/>
        </w:rPr>
        <w:t>巴中市畜禽养殖区域划分规定</w:t>
      </w:r>
      <w:r>
        <w:rPr>
          <w:rFonts w:eastAsia="黑体"/>
          <w:color w:val="auto"/>
        </w:rPr>
        <w:t>对比分析表</w:t>
      </w:r>
    </w:p>
    <w:tbl>
      <w:tblPr>
        <w:tblStyle w:val="89"/>
        <w:tblW w:w="942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89"/>
        <w:gridCol w:w="567"/>
        <w:gridCol w:w="5950"/>
        <w:gridCol w:w="1988"/>
        <w:gridCol w:w="4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8" w:hRule="atLeast"/>
          <w:jc w:val="center"/>
        </w:trPr>
        <w:tc>
          <w:tcPr>
            <w:tcW w:w="489" w:type="dxa"/>
            <w:vAlign w:val="center"/>
          </w:tcPr>
          <w:p>
            <w:pPr>
              <w:keepNext w:val="0"/>
              <w:keepLines w:val="0"/>
              <w:suppressLineNumbers w:val="0"/>
              <w:adjustRightInd w:val="0"/>
              <w:spacing w:before="0" w:beforeAutospacing="0" w:after="0" w:afterAutospacing="0"/>
              <w:ind w:left="0" w:right="0"/>
              <w:jc w:val="center"/>
              <w:rPr>
                <w:rFonts w:hint="default"/>
                <w:b/>
                <w:bCs/>
                <w:color w:val="auto"/>
                <w:szCs w:val="21"/>
              </w:rPr>
            </w:pPr>
            <w:r>
              <w:rPr>
                <w:rFonts w:hint="default"/>
                <w:b/>
                <w:bCs/>
                <w:color w:val="auto"/>
              </w:rPr>
              <w:t>序号</w:t>
            </w:r>
          </w:p>
        </w:tc>
        <w:tc>
          <w:tcPr>
            <w:tcW w:w="6517" w:type="dxa"/>
            <w:gridSpan w:val="2"/>
            <w:vAlign w:val="center"/>
          </w:tcPr>
          <w:p>
            <w:pPr>
              <w:keepNext w:val="0"/>
              <w:keepLines w:val="0"/>
              <w:suppressLineNumbers w:val="0"/>
              <w:adjustRightInd w:val="0"/>
              <w:spacing w:before="0" w:beforeAutospacing="0" w:after="0" w:afterAutospacing="0"/>
              <w:ind w:left="0" w:right="0"/>
              <w:jc w:val="center"/>
              <w:rPr>
                <w:rFonts w:hint="default"/>
                <w:b/>
                <w:bCs/>
                <w:color w:val="auto"/>
                <w:szCs w:val="21"/>
              </w:rPr>
            </w:pPr>
            <w:r>
              <w:rPr>
                <w:rFonts w:hint="default"/>
                <w:b/>
                <w:bCs/>
                <w:color w:val="auto"/>
              </w:rPr>
              <w:t>禁养区</w:t>
            </w:r>
          </w:p>
        </w:tc>
        <w:tc>
          <w:tcPr>
            <w:tcW w:w="1988" w:type="dxa"/>
            <w:vAlign w:val="center"/>
          </w:tcPr>
          <w:p>
            <w:pPr>
              <w:keepNext w:val="0"/>
              <w:keepLines w:val="0"/>
              <w:suppressLineNumbers w:val="0"/>
              <w:adjustRightInd w:val="0"/>
              <w:spacing w:before="0" w:beforeAutospacing="0" w:after="0" w:afterAutospacing="0"/>
              <w:ind w:left="0" w:right="0"/>
              <w:jc w:val="center"/>
              <w:rPr>
                <w:rFonts w:hint="default"/>
                <w:b/>
                <w:bCs/>
                <w:color w:val="auto"/>
                <w:szCs w:val="21"/>
              </w:rPr>
            </w:pPr>
            <w:r>
              <w:rPr>
                <w:rFonts w:hint="default"/>
                <w:b/>
                <w:bCs/>
                <w:color w:val="auto"/>
              </w:rPr>
              <w:t>本项目情况</w:t>
            </w:r>
          </w:p>
        </w:tc>
        <w:tc>
          <w:tcPr>
            <w:tcW w:w="431" w:type="dxa"/>
            <w:vAlign w:val="center"/>
          </w:tcPr>
          <w:p>
            <w:pPr>
              <w:keepNext w:val="0"/>
              <w:keepLines w:val="0"/>
              <w:suppressLineNumbers w:val="0"/>
              <w:adjustRightInd w:val="0"/>
              <w:spacing w:before="0" w:beforeAutospacing="0" w:after="0" w:afterAutospacing="0"/>
              <w:ind w:left="0" w:right="0"/>
              <w:jc w:val="center"/>
              <w:rPr>
                <w:rFonts w:hint="default"/>
                <w:b/>
                <w:bCs/>
                <w:color w:val="auto"/>
                <w:szCs w:val="21"/>
              </w:rPr>
            </w:pPr>
            <w:r>
              <w:rPr>
                <w:rFonts w:hint="default"/>
                <w:b/>
                <w:bCs/>
                <w:color w:val="auto"/>
              </w:rPr>
              <w:t>结论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89" w:type="dxa"/>
            <w:vAlign w:val="center"/>
          </w:tcPr>
          <w:p>
            <w:pPr>
              <w:keepNext w:val="0"/>
              <w:keepLines w:val="0"/>
              <w:suppressLineNumbers w:val="0"/>
              <w:adjustRightInd w:val="0"/>
              <w:spacing w:before="0" w:beforeAutospacing="0" w:after="0" w:afterAutospacing="0"/>
              <w:ind w:left="0" w:right="0"/>
              <w:jc w:val="center"/>
              <w:rPr>
                <w:rFonts w:hint="default"/>
                <w:color w:val="auto"/>
                <w:szCs w:val="21"/>
              </w:rPr>
            </w:pPr>
            <w:r>
              <w:rPr>
                <w:rFonts w:hint="default"/>
                <w:color w:val="auto"/>
              </w:rPr>
              <w:t>1</w:t>
            </w:r>
          </w:p>
        </w:tc>
        <w:tc>
          <w:tcPr>
            <w:tcW w:w="567" w:type="dxa"/>
            <w:vAlign w:val="center"/>
          </w:tcPr>
          <w:p>
            <w:pPr>
              <w:keepNext w:val="0"/>
              <w:keepLines w:val="0"/>
              <w:suppressLineNumbers w:val="0"/>
              <w:adjustRightInd w:val="0"/>
              <w:spacing w:before="0" w:beforeAutospacing="0" w:after="0" w:afterAutospacing="0"/>
              <w:ind w:left="0" w:right="0"/>
              <w:jc w:val="center"/>
              <w:rPr>
                <w:rFonts w:hint="default"/>
                <w:color w:val="auto"/>
                <w:szCs w:val="21"/>
              </w:rPr>
            </w:pPr>
            <w:r>
              <w:rPr>
                <w:rFonts w:hint="default"/>
                <w:color w:val="auto"/>
              </w:rPr>
              <w:t>禁养区</w:t>
            </w:r>
          </w:p>
        </w:tc>
        <w:tc>
          <w:tcPr>
            <w:tcW w:w="5950" w:type="dxa"/>
            <w:vAlign w:val="center"/>
          </w:tcPr>
          <w:p>
            <w:pPr>
              <w:keepNext w:val="0"/>
              <w:keepLines w:val="0"/>
              <w:numPr>
                <w:ilvl w:val="0"/>
                <w:numId w:val="15"/>
              </w:numPr>
              <w:suppressLineNumbers w:val="0"/>
              <w:spacing w:before="0" w:beforeAutospacing="0" w:after="0" w:afterAutospacing="0"/>
              <w:ind w:left="0" w:right="0"/>
              <w:rPr>
                <w:rFonts w:hint="eastAsia"/>
                <w:b w:val="0"/>
                <w:bCs/>
                <w:color w:val="auto"/>
                <w:szCs w:val="21"/>
                <w:lang w:eastAsia="zh-CN"/>
              </w:rPr>
            </w:pPr>
            <w:r>
              <w:rPr>
                <w:rFonts w:hint="eastAsia"/>
                <w:b w:val="0"/>
                <w:bCs/>
                <w:color w:val="auto"/>
                <w:szCs w:val="21"/>
              </w:rPr>
              <w:t>城镇规划区：巴城、恩阳区、巴中经济开发区、南江县、通江县、平昌县城市规划区范围内；各乡（镇）、街道场镇规划区范围内</w:t>
            </w:r>
            <w:r>
              <w:rPr>
                <w:rFonts w:hint="eastAsia"/>
                <w:b w:val="0"/>
                <w:bCs/>
                <w:color w:val="auto"/>
                <w:szCs w:val="21"/>
                <w:lang w:eastAsia="zh-CN"/>
              </w:rPr>
              <w:t>。</w:t>
            </w:r>
          </w:p>
          <w:p>
            <w:pPr>
              <w:keepNext w:val="0"/>
              <w:keepLines w:val="0"/>
              <w:numPr>
                <w:ilvl w:val="0"/>
                <w:numId w:val="15"/>
              </w:numPr>
              <w:suppressLineNumbers w:val="0"/>
              <w:spacing w:before="0" w:beforeAutospacing="0" w:after="0" w:afterAutospacing="0"/>
              <w:ind w:left="0" w:leftChars="0" w:right="0" w:firstLine="0" w:firstLineChars="0"/>
              <w:rPr>
                <w:rFonts w:hint="default"/>
                <w:b w:val="0"/>
                <w:bCs/>
                <w:color w:val="auto"/>
                <w:szCs w:val="21"/>
              </w:rPr>
            </w:pPr>
            <w:r>
              <w:rPr>
                <w:rFonts w:hint="eastAsia"/>
                <w:b w:val="0"/>
                <w:bCs/>
                <w:color w:val="auto"/>
                <w:szCs w:val="21"/>
              </w:rPr>
              <w:t>饮用水水源地保护区：巴中市境内市、县（区）城市生活饮用水水源地（含备用水源地）保护区；各乡（镇）生活饮用水水源地保护区</w:t>
            </w:r>
            <w:r>
              <w:rPr>
                <w:rFonts w:hint="default"/>
                <w:b w:val="0"/>
                <w:bCs/>
                <w:color w:val="auto"/>
                <w:szCs w:val="21"/>
              </w:rPr>
              <w:t>。</w:t>
            </w:r>
          </w:p>
          <w:p>
            <w:pPr>
              <w:keepNext w:val="0"/>
              <w:keepLines w:val="0"/>
              <w:numPr>
                <w:ilvl w:val="0"/>
                <w:numId w:val="0"/>
              </w:numPr>
              <w:suppressLineNumbers w:val="0"/>
              <w:spacing w:before="0" w:beforeAutospacing="0" w:after="0" w:afterAutospacing="0"/>
              <w:ind w:left="0" w:leftChars="0" w:right="0"/>
              <w:rPr>
                <w:rFonts w:hint="eastAsia"/>
                <w:b w:val="0"/>
                <w:bCs/>
                <w:color w:val="auto"/>
                <w:szCs w:val="21"/>
                <w:lang w:eastAsia="zh-CN"/>
              </w:rPr>
            </w:pPr>
            <w:r>
              <w:rPr>
                <w:rFonts w:hint="eastAsia"/>
                <w:b w:val="0"/>
                <w:bCs/>
                <w:color w:val="auto"/>
                <w:szCs w:val="21"/>
                <w:lang w:val="en-US" w:eastAsia="zh-CN"/>
              </w:rPr>
              <w:t>3、</w:t>
            </w:r>
            <w:r>
              <w:rPr>
                <w:rFonts w:hint="eastAsia"/>
                <w:b w:val="0"/>
                <w:bCs/>
                <w:color w:val="auto"/>
                <w:szCs w:val="21"/>
              </w:rPr>
              <w:t>地表水体功能区：巴中市范围内大、中、小型水库正常蓄水线外延纵深500米范围内；主要河流常年水位线外延纵深300米范围内</w:t>
            </w:r>
            <w:r>
              <w:rPr>
                <w:rFonts w:hint="eastAsia"/>
                <w:b w:val="0"/>
                <w:bCs/>
                <w:color w:val="auto"/>
                <w:szCs w:val="21"/>
                <w:lang w:eastAsia="zh-CN"/>
              </w:rPr>
              <w:t>。</w:t>
            </w:r>
          </w:p>
          <w:p>
            <w:pPr>
              <w:keepNext w:val="0"/>
              <w:keepLines w:val="0"/>
              <w:numPr>
                <w:ilvl w:val="0"/>
                <w:numId w:val="16"/>
              </w:numPr>
              <w:suppressLineNumbers w:val="0"/>
              <w:spacing w:before="0" w:beforeAutospacing="0" w:after="0" w:afterAutospacing="0"/>
              <w:ind w:left="0" w:right="0"/>
              <w:rPr>
                <w:rFonts w:hint="eastAsia"/>
                <w:b w:val="0"/>
                <w:bCs/>
                <w:color w:val="auto"/>
                <w:szCs w:val="21"/>
                <w:lang w:eastAsia="zh-CN"/>
              </w:rPr>
            </w:pPr>
            <w:r>
              <w:rPr>
                <w:rFonts w:hint="eastAsia"/>
                <w:b w:val="0"/>
                <w:bCs/>
                <w:color w:val="auto"/>
                <w:szCs w:val="21"/>
              </w:rPr>
              <w:t>国道、省道、县（区）道、高速公路和铁路交通干线两侧纵深300米范围内</w:t>
            </w:r>
            <w:r>
              <w:rPr>
                <w:rFonts w:hint="eastAsia"/>
                <w:b w:val="0"/>
                <w:bCs/>
                <w:color w:val="auto"/>
                <w:szCs w:val="21"/>
                <w:lang w:eastAsia="zh-CN"/>
              </w:rPr>
              <w:t>。</w:t>
            </w:r>
          </w:p>
          <w:p>
            <w:pPr>
              <w:keepNext w:val="0"/>
              <w:keepLines w:val="0"/>
              <w:numPr>
                <w:ilvl w:val="0"/>
                <w:numId w:val="0"/>
              </w:numPr>
              <w:suppressLineNumbers w:val="0"/>
              <w:spacing w:before="0" w:beforeAutospacing="0" w:after="0" w:afterAutospacing="0"/>
              <w:ind w:left="0" w:right="0"/>
              <w:rPr>
                <w:rFonts w:hint="eastAsia" w:eastAsia="宋体"/>
                <w:b w:val="0"/>
                <w:bCs/>
                <w:color w:val="auto"/>
                <w:szCs w:val="21"/>
                <w:lang w:eastAsia="zh-CN"/>
              </w:rPr>
            </w:pPr>
            <w:r>
              <w:rPr>
                <w:rFonts w:hint="eastAsia"/>
                <w:b w:val="0"/>
                <w:bCs/>
                <w:color w:val="auto"/>
                <w:szCs w:val="21"/>
                <w:lang w:val="en-US" w:eastAsia="zh-CN"/>
              </w:rPr>
              <w:t>5.</w:t>
            </w:r>
            <w:r>
              <w:rPr>
                <w:rFonts w:hint="eastAsia"/>
                <w:b w:val="0"/>
                <w:bCs/>
                <w:color w:val="auto"/>
                <w:szCs w:val="21"/>
              </w:rPr>
              <w:t>各级各类自然保护区、风景名胜区、森林公园、地质公园、重点文物保护单位、基本农田保护区划定区域内</w:t>
            </w:r>
            <w:r>
              <w:rPr>
                <w:rFonts w:hint="eastAsia"/>
                <w:b w:val="0"/>
                <w:bCs/>
                <w:color w:val="auto"/>
                <w:szCs w:val="21"/>
                <w:lang w:eastAsia="zh-CN"/>
              </w:rPr>
              <w:t>。</w:t>
            </w:r>
          </w:p>
          <w:p>
            <w:pPr>
              <w:keepNext w:val="0"/>
              <w:keepLines w:val="0"/>
              <w:numPr>
                <w:ilvl w:val="0"/>
                <w:numId w:val="0"/>
              </w:numPr>
              <w:suppressLineNumbers w:val="0"/>
              <w:spacing w:before="0" w:beforeAutospacing="0" w:after="0" w:afterAutospacing="0"/>
              <w:ind w:left="0" w:right="0"/>
              <w:rPr>
                <w:rFonts w:hint="default"/>
                <w:color w:val="auto"/>
                <w:szCs w:val="21"/>
              </w:rPr>
            </w:pPr>
            <w:r>
              <w:rPr>
                <w:rFonts w:hint="eastAsia"/>
                <w:b w:val="0"/>
                <w:bCs/>
                <w:color w:val="auto"/>
                <w:szCs w:val="21"/>
                <w:lang w:val="en-US" w:eastAsia="zh-CN"/>
              </w:rPr>
              <w:t>6.其他区域：法律、法规、规章规定需要特殊保护的区域。</w:t>
            </w:r>
          </w:p>
        </w:tc>
        <w:tc>
          <w:tcPr>
            <w:tcW w:w="1988" w:type="dxa"/>
            <w:vAlign w:val="center"/>
          </w:tcPr>
          <w:p>
            <w:pPr>
              <w:keepNext w:val="0"/>
              <w:keepLines w:val="0"/>
              <w:suppressLineNumbers w:val="0"/>
              <w:adjustRightInd w:val="0"/>
              <w:spacing w:before="0" w:beforeAutospacing="0" w:after="0" w:afterAutospacing="0"/>
              <w:ind w:left="0" w:right="0"/>
              <w:rPr>
                <w:rFonts w:hint="eastAsia" w:eastAsia="宋体"/>
                <w:color w:val="auto"/>
                <w:szCs w:val="21"/>
                <w:lang w:eastAsia="zh-CN"/>
              </w:rPr>
            </w:pPr>
            <w:r>
              <w:rPr>
                <w:rFonts w:hint="default"/>
                <w:color w:val="auto"/>
              </w:rPr>
              <w:t>本项目不在</w:t>
            </w:r>
            <w:r>
              <w:rPr>
                <w:rFonts w:hint="eastAsia"/>
                <w:b w:val="0"/>
                <w:bCs/>
                <w:color w:val="auto"/>
                <w:szCs w:val="21"/>
              </w:rPr>
              <w:t>城镇规划区</w:t>
            </w:r>
            <w:r>
              <w:rPr>
                <w:rFonts w:hint="eastAsia"/>
                <w:b w:val="0"/>
                <w:bCs/>
                <w:color w:val="auto"/>
                <w:szCs w:val="21"/>
                <w:lang w:eastAsia="zh-CN"/>
              </w:rPr>
              <w:t>、</w:t>
            </w:r>
            <w:r>
              <w:rPr>
                <w:rFonts w:hint="eastAsia"/>
                <w:b w:val="0"/>
                <w:bCs/>
                <w:color w:val="auto"/>
                <w:szCs w:val="21"/>
              </w:rPr>
              <w:t>饮用水水源地保护区</w:t>
            </w:r>
            <w:r>
              <w:rPr>
                <w:rFonts w:hint="eastAsia"/>
                <w:b w:val="0"/>
                <w:bCs/>
                <w:color w:val="auto"/>
                <w:szCs w:val="21"/>
                <w:lang w:eastAsia="zh-CN"/>
              </w:rPr>
              <w:t>、</w:t>
            </w:r>
            <w:r>
              <w:rPr>
                <w:rFonts w:hint="eastAsia"/>
                <w:b w:val="0"/>
                <w:bCs/>
                <w:color w:val="auto"/>
                <w:szCs w:val="21"/>
              </w:rPr>
              <w:t>地表水体功能区</w:t>
            </w:r>
            <w:r>
              <w:rPr>
                <w:rFonts w:hint="eastAsia"/>
                <w:b w:val="0"/>
                <w:bCs/>
                <w:color w:val="auto"/>
                <w:szCs w:val="21"/>
                <w:lang w:eastAsia="zh-CN"/>
              </w:rPr>
              <w:t>、</w:t>
            </w:r>
            <w:r>
              <w:rPr>
                <w:rFonts w:hint="eastAsia"/>
                <w:b w:val="0"/>
                <w:bCs/>
                <w:color w:val="auto"/>
                <w:szCs w:val="21"/>
              </w:rPr>
              <w:t>国道、省道、各级各类自然保护区、风景名胜区、森林公园、地质公园、重点文物保护单位、基本农田保护区划定区域内</w:t>
            </w:r>
            <w:r>
              <w:rPr>
                <w:rFonts w:hint="eastAsia"/>
                <w:b w:val="0"/>
                <w:bCs/>
                <w:color w:val="auto"/>
                <w:szCs w:val="21"/>
                <w:lang w:eastAsia="zh-CN"/>
              </w:rPr>
              <w:t>、</w:t>
            </w:r>
            <w:r>
              <w:rPr>
                <w:rFonts w:hint="eastAsia"/>
                <w:b w:val="0"/>
                <w:bCs/>
                <w:color w:val="auto"/>
                <w:szCs w:val="21"/>
              </w:rPr>
              <w:t>县（区）道、高速公路和铁路交通干线两侧纵深300米范围内</w:t>
            </w:r>
          </w:p>
        </w:tc>
        <w:tc>
          <w:tcPr>
            <w:tcW w:w="431" w:type="dxa"/>
            <w:vAlign w:val="center"/>
          </w:tcPr>
          <w:p>
            <w:pPr>
              <w:keepNext w:val="0"/>
              <w:keepLines w:val="0"/>
              <w:suppressLineNumbers w:val="0"/>
              <w:adjustRightInd w:val="0"/>
              <w:spacing w:before="0" w:beforeAutospacing="0" w:after="0" w:afterAutospacing="0"/>
              <w:ind w:left="0" w:right="0"/>
              <w:rPr>
                <w:rFonts w:hint="default"/>
                <w:b/>
                <w:color w:val="auto"/>
                <w:szCs w:val="21"/>
              </w:rPr>
            </w:pPr>
            <w:r>
              <w:rPr>
                <w:rFonts w:hint="default"/>
                <w:b/>
                <w:color w:val="auto"/>
              </w:rPr>
              <w:t>符合</w:t>
            </w:r>
          </w:p>
        </w:tc>
      </w:tr>
    </w:tbl>
    <w:p>
      <w:pPr>
        <w:spacing w:line="360" w:lineRule="auto"/>
        <w:ind w:firstLine="482"/>
        <w:rPr>
          <w:color w:val="auto"/>
          <w:sz w:val="24"/>
        </w:rPr>
      </w:pPr>
      <w:r>
        <w:rPr>
          <w:rFonts w:hint="eastAsia"/>
          <w:color w:val="auto"/>
          <w:sz w:val="24"/>
        </w:rPr>
        <w:t>根据文件本项目选址不在禁养区</w:t>
      </w:r>
      <w:r>
        <w:rPr>
          <w:rFonts w:hint="eastAsia"/>
          <w:color w:val="auto"/>
          <w:sz w:val="24"/>
          <w:lang w:eastAsia="zh-CN"/>
        </w:rPr>
        <w:t>、</w:t>
      </w:r>
      <w:r>
        <w:rPr>
          <w:rFonts w:hint="eastAsia"/>
          <w:color w:val="auto"/>
          <w:sz w:val="24"/>
          <w:lang w:val="en-US" w:eastAsia="zh-CN"/>
        </w:rPr>
        <w:t>限养区</w:t>
      </w:r>
      <w:r>
        <w:rPr>
          <w:rFonts w:hint="eastAsia"/>
          <w:color w:val="auto"/>
          <w:sz w:val="24"/>
        </w:rPr>
        <w:t>内。</w:t>
      </w:r>
    </w:p>
    <w:p>
      <w:pPr>
        <w:spacing w:line="360" w:lineRule="auto"/>
        <w:ind w:firstLine="482"/>
        <w:rPr>
          <w:color w:val="auto"/>
          <w:sz w:val="24"/>
        </w:rPr>
      </w:pPr>
      <w:r>
        <w:rPr>
          <w:color w:val="auto"/>
          <w:sz w:val="24"/>
        </w:rPr>
        <w:t>综上所述，本项目</w:t>
      </w:r>
      <w:r>
        <w:rPr>
          <w:rFonts w:hint="eastAsia"/>
          <w:color w:val="auto"/>
          <w:sz w:val="24"/>
          <w:lang w:val="en-US" w:eastAsia="zh-CN"/>
        </w:rPr>
        <w:t>不</w:t>
      </w:r>
      <w:r>
        <w:rPr>
          <w:rFonts w:hint="eastAsia"/>
          <w:color w:val="auto"/>
          <w:sz w:val="24"/>
        </w:rPr>
        <w:t>在《巴中市畜禽养殖区域划分规定》区域内，符合要求</w:t>
      </w:r>
      <w:r>
        <w:rPr>
          <w:color w:val="auto"/>
          <w:sz w:val="24"/>
        </w:rPr>
        <w:t>。</w:t>
      </w:r>
    </w:p>
    <w:p>
      <w:pPr>
        <w:spacing w:line="360" w:lineRule="auto"/>
        <w:ind w:firstLine="482"/>
        <w:rPr>
          <w:b/>
          <w:color w:val="auto"/>
          <w:sz w:val="24"/>
        </w:rPr>
      </w:pPr>
      <w:r>
        <w:rPr>
          <w:b/>
          <w:color w:val="auto"/>
          <w:sz w:val="24"/>
        </w:rPr>
        <w:t>（</w:t>
      </w:r>
      <w:r>
        <w:rPr>
          <w:rFonts w:hint="eastAsia"/>
          <w:b/>
          <w:color w:val="auto"/>
          <w:sz w:val="24"/>
          <w:lang w:val="en-US" w:eastAsia="zh-CN"/>
        </w:rPr>
        <w:t>7</w:t>
      </w:r>
      <w:r>
        <w:rPr>
          <w:b/>
          <w:color w:val="auto"/>
          <w:sz w:val="24"/>
        </w:rPr>
        <w:t>）项目与《畜禽养殖业污染治理工程技术规范》（HJ497-2009）符合性分析</w:t>
      </w:r>
    </w:p>
    <w:p>
      <w:pPr>
        <w:spacing w:line="360" w:lineRule="auto"/>
        <w:ind w:firstLine="482"/>
        <w:rPr>
          <w:color w:val="auto"/>
          <w:sz w:val="24"/>
        </w:rPr>
      </w:pPr>
      <w:r>
        <w:rPr>
          <w:color w:val="auto"/>
          <w:sz w:val="24"/>
        </w:rPr>
        <w:t>项目与《畜禽养殖业污染治理工程技术规范》（HJ497－2009）的符合性分析见表</w:t>
      </w:r>
      <w:r>
        <w:rPr>
          <w:rFonts w:hint="eastAsia"/>
          <w:color w:val="auto"/>
          <w:sz w:val="24"/>
          <w:lang w:val="en-US" w:eastAsia="zh-CN"/>
        </w:rPr>
        <w:t>2</w:t>
      </w:r>
      <w:r>
        <w:rPr>
          <w:rFonts w:hint="eastAsia"/>
          <w:color w:val="auto"/>
          <w:sz w:val="24"/>
        </w:rPr>
        <w:t>.6</w:t>
      </w:r>
      <w:r>
        <w:rPr>
          <w:color w:val="auto"/>
          <w:sz w:val="24"/>
        </w:rPr>
        <w:t>-</w:t>
      </w:r>
      <w:r>
        <w:rPr>
          <w:rFonts w:hint="eastAsia"/>
          <w:color w:val="auto"/>
          <w:sz w:val="24"/>
          <w:lang w:val="en-US" w:eastAsia="zh-CN"/>
        </w:rPr>
        <w:t>5</w:t>
      </w:r>
      <w:r>
        <w:rPr>
          <w:color w:val="auto"/>
          <w:sz w:val="24"/>
        </w:rPr>
        <w:t>。</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2</w:t>
      </w:r>
      <w:r>
        <w:rPr>
          <w:rFonts w:hint="eastAsia" w:eastAsia="黑体"/>
          <w:color w:val="auto"/>
        </w:rPr>
        <w:t>.6</w:t>
      </w:r>
      <w:r>
        <w:rPr>
          <w:rFonts w:eastAsia="黑体"/>
          <w:color w:val="auto"/>
        </w:rPr>
        <w:t>-</w:t>
      </w:r>
      <w:r>
        <w:rPr>
          <w:rFonts w:hint="eastAsia" w:eastAsia="黑体"/>
          <w:color w:val="auto"/>
          <w:lang w:val="en-US" w:eastAsia="zh-CN"/>
        </w:rPr>
        <w:t>5</w:t>
      </w:r>
      <w:r>
        <w:rPr>
          <w:rFonts w:hint="eastAsia" w:eastAsia="黑体"/>
          <w:color w:val="auto"/>
        </w:rPr>
        <w:t xml:space="preserve"> </w:t>
      </w:r>
      <w:r>
        <w:rPr>
          <w:rFonts w:eastAsia="黑体"/>
          <w:color w:val="auto"/>
        </w:rPr>
        <w:t xml:space="preserve"> 与《畜禽养殖业污染治理工程技术规范》（HJ497－2009）符合性分析对照表</w:t>
      </w:r>
    </w:p>
    <w:tbl>
      <w:tblPr>
        <w:tblStyle w:val="89"/>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4395"/>
        <w:gridCol w:w="2921"/>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1" w:type="dxa"/>
            <w:gridSpan w:val="2"/>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《畜禽养殖业污染治理工程技术规范》的要求</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选址要求</w:t>
            </w: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畜禽养殖业污染治理工程应与养殖场生产区、居民区等建筑保持一定的卫生防护距离，设置在畜禽养殖场的生产区、生活区主导风向的下风向或侧风向处</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本项目污染治理工程设置在生产区、生活区主导风向的</w:t>
            </w:r>
            <w:r>
              <w:rPr>
                <w:rFonts w:hint="eastAsia"/>
                <w:snapToGrid w:val="0"/>
                <w:color w:val="auto"/>
                <w:szCs w:val="21"/>
              </w:rPr>
              <w:t>侧</w:t>
            </w:r>
            <w:r>
              <w:rPr>
                <w:rFonts w:hint="default"/>
                <w:snapToGrid w:val="0"/>
                <w:color w:val="auto"/>
                <w:szCs w:val="21"/>
              </w:rPr>
              <w:t>风向，并</w:t>
            </w:r>
            <w:r>
              <w:rPr>
                <w:rFonts w:hint="eastAsia"/>
                <w:snapToGrid w:val="0"/>
                <w:color w:val="auto"/>
                <w:szCs w:val="21"/>
              </w:rPr>
              <w:t>设置</w:t>
            </w:r>
            <w:r>
              <w:rPr>
                <w:rFonts w:hint="default"/>
                <w:snapToGrid w:val="0"/>
                <w:color w:val="auto"/>
                <w:szCs w:val="21"/>
              </w:rPr>
              <w:t>了一定的卫生防护距离</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畜禽养殖业污染治理工程的位置应有利于排放、资源化利用和运输，并留有扩建的余地，方便施工、运行和维护</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本项目污染治理工程位置利于运输，留有扩建余地</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Merge w:val="restart"/>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粪污收集</w:t>
            </w: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新建、改建、扩建的畜禽养殖场宜采用干清粪工艺。现采用水冲粪、水泡粪清粪工艺的养殖场，应逐步改为干清粪工艺</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采用干清粪工艺</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畜禽粪污应日产日清</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eastAsia"/>
                <w:snapToGrid w:val="0"/>
                <w:color w:val="auto"/>
                <w:szCs w:val="21"/>
                <w:lang w:val="en-US" w:eastAsia="zh-CN"/>
              </w:rPr>
              <w:t>牛</w:t>
            </w:r>
            <w:r>
              <w:rPr>
                <w:rFonts w:hint="default"/>
                <w:snapToGrid w:val="0"/>
                <w:color w:val="auto"/>
                <w:szCs w:val="21"/>
              </w:rPr>
              <w:t>粪日产日清</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畜禽养殖场应建立排水系统，并实现雨污分流</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实行雨污分流，建立污水收集</w:t>
            </w:r>
            <w:r>
              <w:rPr>
                <w:rFonts w:hint="eastAsia"/>
                <w:snapToGrid w:val="0"/>
                <w:color w:val="auto"/>
                <w:szCs w:val="21"/>
              </w:rPr>
              <w:t>处理</w:t>
            </w:r>
            <w:r>
              <w:rPr>
                <w:rFonts w:hint="default"/>
                <w:snapToGrid w:val="0"/>
                <w:color w:val="auto"/>
                <w:szCs w:val="21"/>
              </w:rPr>
              <w:t>系统</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76" w:type="dxa"/>
            <w:vMerge w:val="restart"/>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粪污储存</w:t>
            </w: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粪污无害化处理后用于还田利用的，畜禽粪污处理厂（站）应设置专门的储存池</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ascii="Times New Roman" w:hAnsi="Times New Roman" w:cs="Times New Roman"/>
                <w:snapToGrid w:val="0"/>
                <w:color w:val="auto"/>
                <w:szCs w:val="21"/>
              </w:rPr>
              <w:t>本项目设置</w:t>
            </w:r>
            <w:r>
              <w:rPr>
                <w:rFonts w:hint="eastAsia" w:cs="Times New Roman"/>
                <w:snapToGrid w:val="0"/>
                <w:color w:val="auto"/>
                <w:szCs w:val="21"/>
                <w:lang w:val="en-US" w:eastAsia="zh-CN"/>
              </w:rPr>
              <w:t>有发酵床</w:t>
            </w:r>
            <w:r>
              <w:rPr>
                <w:rFonts w:hint="default" w:ascii="Times New Roman" w:hAnsi="Times New Roman" w:cs="Times New Roman"/>
                <w:snapToGrid w:val="0"/>
                <w:color w:val="auto"/>
                <w:szCs w:val="21"/>
              </w:rPr>
              <w:t>有专门的</w:t>
            </w:r>
            <w:r>
              <w:rPr>
                <w:rFonts w:hint="eastAsia" w:cs="Times New Roman"/>
                <w:snapToGrid w:val="0"/>
                <w:color w:val="auto"/>
                <w:szCs w:val="21"/>
                <w:lang w:val="en-US" w:eastAsia="zh-CN"/>
              </w:rPr>
              <w:t>粪污暂存池</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储存池的总有效容积应根据贮存期确定。种养结合的养殖场，贮存池的贮存期不得低于当地农作物生产用肥的最大间隔时间和冬季封冻期或雨季最长降雨期，一般不得小于30d的排放总量。</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eastAsia" w:cs="Times New Roman"/>
                <w:snapToGrid w:val="0"/>
                <w:color w:val="auto"/>
                <w:szCs w:val="21"/>
                <w:lang w:val="en-US" w:eastAsia="zh-CN"/>
              </w:rPr>
              <w:t>本项目粪污经发酵床处理后不外排，因此不用设置</w:t>
            </w:r>
            <w:r>
              <w:rPr>
                <w:rFonts w:hint="default" w:ascii="Times New Roman" w:hAnsi="Times New Roman" w:cs="Times New Roman"/>
                <w:snapToGrid w:val="0"/>
                <w:color w:val="auto"/>
                <w:szCs w:val="21"/>
              </w:rPr>
              <w:t>30d的排放总量</w:t>
            </w:r>
            <w:r>
              <w:rPr>
                <w:rFonts w:hint="eastAsia" w:cs="Times New Roman"/>
                <w:snapToGrid w:val="0"/>
                <w:color w:val="auto"/>
                <w:szCs w:val="21"/>
                <w:lang w:val="en-US" w:eastAsia="zh-CN"/>
              </w:rPr>
              <w:t>的储存池</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贮存池的结构应符合GB50069的有关规定，具有防渗漏功能，不得污染地下水</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所有</w:t>
            </w:r>
            <w:r>
              <w:rPr>
                <w:rFonts w:hint="eastAsia"/>
                <w:snapToGrid w:val="0"/>
                <w:color w:val="auto"/>
                <w:szCs w:val="21"/>
              </w:rPr>
              <w:t>粪污池</w:t>
            </w:r>
            <w:r>
              <w:rPr>
                <w:rFonts w:hint="default"/>
                <w:snapToGrid w:val="0"/>
                <w:color w:val="auto"/>
                <w:szCs w:val="21"/>
              </w:rPr>
              <w:t>按规范硬化、防渗</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贮存池应配备防止降雨（水）进入的措施</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eastAsia"/>
                <w:snapToGrid w:val="0"/>
                <w:color w:val="auto"/>
                <w:szCs w:val="21"/>
                <w:lang w:val="en-US" w:eastAsia="zh-CN"/>
              </w:rPr>
              <w:t>雨</w:t>
            </w:r>
            <w:r>
              <w:rPr>
                <w:rFonts w:hint="default"/>
                <w:snapToGrid w:val="0"/>
                <w:color w:val="auto"/>
                <w:szCs w:val="21"/>
              </w:rPr>
              <w:t>水收集池均采用加盖设计，防止雨水进入</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76"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粪污处理工艺选择</w:t>
            </w: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养殖规模在存栏2000头及以下的应尽可能采用6.2.2模式Ⅰ或6.2.3模式Ⅱ处理工艺；存栏10000头及以上的，宜采用6.2.4模式Ⅲ处理工艺。能源需求不高且沼液无法进行土地消纳，废水必须经处理后达标排放或回用的，应采用模式Ⅲ处理工艺。废水进入厌氧反应器之前应先进行固液（干湿）分离，然后再对固体粪渣和废水分别进行处理。</w:t>
            </w:r>
          </w:p>
        </w:tc>
        <w:tc>
          <w:tcPr>
            <w:tcW w:w="2921"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color w:val="auto"/>
                <w:sz w:val="21"/>
                <w:szCs w:val="21"/>
              </w:rPr>
              <w:t>本项目</w:t>
            </w:r>
            <w:r>
              <w:rPr>
                <w:rFonts w:hint="default"/>
                <w:color w:val="auto"/>
                <w:sz w:val="21"/>
                <w:szCs w:val="22"/>
              </w:rPr>
              <w:t>存栏</w:t>
            </w:r>
            <w:r>
              <w:rPr>
                <w:rFonts w:hint="eastAsia"/>
                <w:color w:val="auto"/>
                <w:sz w:val="21"/>
                <w:szCs w:val="22"/>
                <w:lang w:val="en-US" w:eastAsia="zh-CN"/>
              </w:rPr>
              <w:t>9734</w:t>
            </w:r>
            <w:r>
              <w:rPr>
                <w:rFonts w:hint="default"/>
                <w:color w:val="auto"/>
                <w:sz w:val="21"/>
                <w:szCs w:val="22"/>
              </w:rPr>
              <w:t>头肉牛</w:t>
            </w:r>
            <w:r>
              <w:rPr>
                <w:rFonts w:hint="default"/>
                <w:color w:val="auto"/>
                <w:sz w:val="21"/>
                <w:szCs w:val="21"/>
              </w:rPr>
              <w:t>，折合生猪</w:t>
            </w:r>
            <w:r>
              <w:rPr>
                <w:rFonts w:hint="eastAsia"/>
                <w:color w:val="auto"/>
                <w:sz w:val="21"/>
                <w:szCs w:val="21"/>
                <w:lang w:val="en-US" w:eastAsia="zh-CN"/>
              </w:rPr>
              <w:t>48670</w:t>
            </w:r>
            <w:r>
              <w:rPr>
                <w:rFonts w:hint="default"/>
                <w:color w:val="auto"/>
                <w:sz w:val="21"/>
                <w:szCs w:val="21"/>
              </w:rPr>
              <w:t>头</w:t>
            </w:r>
            <w:r>
              <w:rPr>
                <w:rFonts w:hint="default"/>
                <w:snapToGrid w:val="0"/>
                <w:color w:val="auto"/>
                <w:szCs w:val="21"/>
              </w:rPr>
              <w:t>，</w:t>
            </w:r>
            <w:r>
              <w:rPr>
                <w:rFonts w:hint="default" w:ascii="Times New Roman" w:hAnsi="Times New Roman" w:cs="Times New Roman"/>
                <w:snapToGrid w:val="0"/>
                <w:color w:val="auto"/>
                <w:szCs w:val="21"/>
              </w:rPr>
              <w:t>采用</w:t>
            </w:r>
            <w:r>
              <w:rPr>
                <w:rFonts w:hint="eastAsia" w:cs="Times New Roman"/>
                <w:snapToGrid w:val="0"/>
                <w:color w:val="auto"/>
                <w:szCs w:val="21"/>
                <w:lang w:val="en-US" w:eastAsia="zh-CN"/>
              </w:rPr>
              <w:t>发酵床处理粪污，不外排</w:t>
            </w:r>
            <w:r>
              <w:rPr>
                <w:rFonts w:hint="eastAsia"/>
                <w:snapToGrid w:val="0"/>
                <w:color w:val="auto"/>
                <w:szCs w:val="21"/>
                <w:lang w:val="en-US" w:eastAsia="zh-CN"/>
              </w:rPr>
              <w:t>。</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76"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病死畜禽尸体处理与处置</w:t>
            </w:r>
          </w:p>
        </w:tc>
        <w:tc>
          <w:tcPr>
            <w:tcW w:w="4395" w:type="dxa"/>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病死畜禽尸体应及时处理，不得随意丢弃，不得出售或作为饲料再利用。畜禽尸体的处理与处置应符合HJ/T 81-2001第9章的规定</w:t>
            </w:r>
          </w:p>
        </w:tc>
        <w:tc>
          <w:tcPr>
            <w:tcW w:w="2921" w:type="dxa"/>
            <w:vAlign w:val="center"/>
          </w:tcPr>
          <w:p>
            <w:pPr>
              <w:keepNext w:val="0"/>
              <w:keepLines w:val="0"/>
              <w:suppressLineNumbers w:val="0"/>
              <w:spacing w:before="0" w:beforeAutospacing="0" w:after="0" w:afterAutospacing="0"/>
              <w:ind w:left="0" w:right="0"/>
              <w:jc w:val="center"/>
              <w:rPr>
                <w:rFonts w:hint="default"/>
                <w:color w:val="auto"/>
                <w:kern w:val="0"/>
                <w:szCs w:val="21"/>
                <w:lang w:val="en-US"/>
              </w:rPr>
            </w:pPr>
            <w:r>
              <w:rPr>
                <w:rFonts w:hint="eastAsia"/>
                <w:color w:val="auto"/>
                <w:kern w:val="0"/>
                <w:szCs w:val="21"/>
                <w:lang w:val="en-US" w:eastAsia="zh-CN"/>
              </w:rPr>
              <w:t>经高温无害化处理后，外售有机肥厂</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76" w:type="dxa"/>
            <w:vMerge w:val="restart"/>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恶臭控制</w:t>
            </w: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养殖场区应通过控制饲养密度、加强舍内通风、采用节水型饮水器、及时清粪、绿化等措施抑制或减少臭气的产生</w:t>
            </w:r>
          </w:p>
        </w:tc>
        <w:tc>
          <w:tcPr>
            <w:tcW w:w="2921" w:type="dxa"/>
            <w:vMerge w:val="restart"/>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本项目粪污处理各工艺单元设计为密闭形式，</w:t>
            </w:r>
            <w:r>
              <w:rPr>
                <w:rFonts w:hint="eastAsia"/>
                <w:snapToGrid w:val="0"/>
                <w:color w:val="auto"/>
                <w:szCs w:val="21"/>
                <w:lang w:val="en-US" w:eastAsia="zh-CN"/>
              </w:rPr>
              <w:t>牛</w:t>
            </w:r>
            <w:r>
              <w:rPr>
                <w:rFonts w:hint="default"/>
                <w:snapToGrid w:val="0"/>
                <w:color w:val="auto"/>
                <w:szCs w:val="21"/>
              </w:rPr>
              <w:t>舍采用机械通风、加强管理、日产日清、定期消毒，采用秸秆作吸附剂，安装除臭设施等措施除臭</w:t>
            </w: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粪污处理各工艺单元宜设计为密闭形式，减少恶臭对周围环境的污染</w:t>
            </w:r>
          </w:p>
        </w:tc>
        <w:tc>
          <w:tcPr>
            <w:tcW w:w="2921"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可采用物理除臭方式，向粪便或舍内投（铺）放吸附剂减少臭气的散发，宜采用的吸附剂有沸石、锯末、膨润土以及秸秆、泥炭等含纤维素和木质素较多的材料。</w:t>
            </w:r>
          </w:p>
        </w:tc>
        <w:tc>
          <w:tcPr>
            <w:tcW w:w="2921"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可采用化学除臭方式，向养殖场区和粪污处理厂（站）投加或喷洒化学除臭剂消除或减少臭气的产生。宜采用的化学氧化剂有高锰酸钾、重铬酸钾、双氧水、次氯酸钾、臭氧等</w:t>
            </w:r>
          </w:p>
        </w:tc>
        <w:tc>
          <w:tcPr>
            <w:tcW w:w="2921"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76"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4395"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可采用生物除臭方式，如生物过滤法和生物洗涤法等</w:t>
            </w:r>
          </w:p>
        </w:tc>
        <w:tc>
          <w:tcPr>
            <w:tcW w:w="2921" w:type="dxa"/>
            <w:vMerge w:val="continue"/>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p>
        </w:tc>
        <w:tc>
          <w:tcPr>
            <w:tcW w:w="79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bl>
    <w:p>
      <w:pPr>
        <w:spacing w:line="360" w:lineRule="auto"/>
        <w:ind w:firstLine="482"/>
        <w:rPr>
          <w:color w:val="auto"/>
          <w:sz w:val="24"/>
        </w:rPr>
      </w:pPr>
      <w:r>
        <w:rPr>
          <w:color w:val="auto"/>
          <w:sz w:val="24"/>
        </w:rPr>
        <w:t>由表</w:t>
      </w:r>
      <w:r>
        <w:rPr>
          <w:rFonts w:hint="eastAsia"/>
          <w:color w:val="auto"/>
          <w:sz w:val="24"/>
          <w:lang w:val="en-US" w:eastAsia="zh-CN"/>
        </w:rPr>
        <w:t>2.6</w:t>
      </w:r>
      <w:r>
        <w:rPr>
          <w:color w:val="auto"/>
          <w:sz w:val="24"/>
        </w:rPr>
        <w:t>-</w:t>
      </w:r>
      <w:r>
        <w:rPr>
          <w:rFonts w:hint="eastAsia"/>
          <w:color w:val="auto"/>
          <w:sz w:val="24"/>
          <w:lang w:val="en-US" w:eastAsia="zh-CN"/>
        </w:rPr>
        <w:t>5</w:t>
      </w:r>
      <w:r>
        <w:rPr>
          <w:color w:val="auto"/>
          <w:sz w:val="24"/>
        </w:rPr>
        <w:t>可知，项目满足《畜禽养殖业污染治理工程技术规范》（HJ497－2009）要求。</w:t>
      </w:r>
    </w:p>
    <w:p>
      <w:pPr>
        <w:spacing w:line="360" w:lineRule="auto"/>
        <w:ind w:firstLine="482"/>
        <w:rPr>
          <w:b/>
          <w:color w:val="auto"/>
          <w:sz w:val="24"/>
        </w:rPr>
      </w:pPr>
      <w:r>
        <w:rPr>
          <w:b/>
          <w:color w:val="auto"/>
          <w:sz w:val="24"/>
        </w:rPr>
        <w:t>（</w:t>
      </w:r>
      <w:r>
        <w:rPr>
          <w:rFonts w:hint="eastAsia"/>
          <w:b/>
          <w:color w:val="auto"/>
          <w:sz w:val="24"/>
          <w:lang w:val="en-US" w:eastAsia="zh-CN"/>
        </w:rPr>
        <w:t>8</w:t>
      </w:r>
      <w:r>
        <w:rPr>
          <w:b/>
          <w:color w:val="auto"/>
          <w:sz w:val="24"/>
        </w:rPr>
        <w:t>）项目与《农产品安全质量—无公害畜禽肉产地环境要求》（GB/T18407.3—2001）符合性分析</w:t>
      </w:r>
    </w:p>
    <w:p>
      <w:pPr>
        <w:spacing w:line="360" w:lineRule="auto"/>
        <w:ind w:firstLine="482"/>
        <w:rPr>
          <w:color w:val="auto"/>
          <w:sz w:val="24"/>
        </w:rPr>
      </w:pPr>
      <w:r>
        <w:rPr>
          <w:color w:val="auto"/>
          <w:sz w:val="24"/>
        </w:rPr>
        <w:t>项目与《农产品安全质量—无公害畜禽肉产地环境要求》（GB/T18407.3—2001）的符合性分析见表</w:t>
      </w:r>
      <w:r>
        <w:rPr>
          <w:rFonts w:hint="eastAsia"/>
          <w:color w:val="auto"/>
          <w:sz w:val="24"/>
          <w:lang w:val="en-US" w:eastAsia="zh-CN"/>
        </w:rPr>
        <w:t>2</w:t>
      </w:r>
      <w:r>
        <w:rPr>
          <w:rFonts w:hint="eastAsia"/>
          <w:color w:val="auto"/>
          <w:sz w:val="24"/>
        </w:rPr>
        <w:t>.6</w:t>
      </w:r>
      <w:r>
        <w:rPr>
          <w:color w:val="auto"/>
          <w:sz w:val="24"/>
        </w:rPr>
        <w:t>-</w:t>
      </w:r>
      <w:r>
        <w:rPr>
          <w:rFonts w:hint="eastAsia"/>
          <w:color w:val="auto"/>
          <w:sz w:val="24"/>
          <w:lang w:val="en-US" w:eastAsia="zh-CN"/>
        </w:rPr>
        <w:t>6</w:t>
      </w:r>
      <w:r>
        <w:rPr>
          <w:color w:val="auto"/>
          <w:sz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.6</w:t>
      </w:r>
      <w:r>
        <w:rPr>
          <w:rFonts w:ascii="Times New Roman" w:eastAsia="黑体"/>
          <w:color w:val="auto"/>
          <w:sz w:val="21"/>
        </w:rPr>
        <w:t>-</w:t>
      </w:r>
      <w:r>
        <w:rPr>
          <w:rFonts w:hint="eastAsia" w:ascii="Times New Roman" w:eastAsia="黑体"/>
          <w:color w:val="auto"/>
          <w:sz w:val="21"/>
          <w:lang w:val="en-US" w:eastAsia="zh-CN"/>
        </w:rPr>
        <w:t>6</w:t>
      </w:r>
      <w:r>
        <w:rPr>
          <w:rFonts w:hint="eastAsia" w:ascii="Times New Roman" w:eastAsia="黑体"/>
          <w:color w:val="auto"/>
          <w:sz w:val="21"/>
        </w:rPr>
        <w:t xml:space="preserve"> </w:t>
      </w:r>
      <w:r>
        <w:rPr>
          <w:rFonts w:ascii="Times New Roman" w:eastAsia="黑体"/>
          <w:color w:val="auto"/>
          <w:sz w:val="21"/>
        </w:rPr>
        <w:t xml:space="preserve"> 与《农产品安全质量—无公害畜禽肉产地环境要求》符合性分析对照表</w:t>
      </w:r>
    </w:p>
    <w:tbl>
      <w:tblPr>
        <w:tblStyle w:val="89"/>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1"/>
        <w:gridCol w:w="2921"/>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《农产品安全质量—无公害畜禽肉产地环境要求》的内容</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本项目</w:t>
            </w:r>
          </w:p>
        </w:tc>
        <w:tc>
          <w:tcPr>
            <w:tcW w:w="792"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畜禽养殖地必须选择在生态环境良好、无或不直接受工业“三废”及农业、城镇生活、医疗废弃物污染的生产区域。选址应参照国家相关标准的规定，避开水源保护区、风景名胜区、人口密集区等环境敏感地区，符合环境保护、兽医防疫要求。</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本项目周围为农村环境，生态环境良好，且周边无水源保护区、风景名胜区、人口密集区等环境敏感区</w:t>
            </w:r>
          </w:p>
        </w:tc>
        <w:tc>
          <w:tcPr>
            <w:tcW w:w="792"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与水源有关的地方病高发区，不能作为无公害畜禽肉类产品生产、加工地。</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项目用地不属于地方病高发区</w:t>
            </w:r>
          </w:p>
        </w:tc>
        <w:tc>
          <w:tcPr>
            <w:tcW w:w="792"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养殖地应设置防止渗漏、径流、飞扬且具一定容量的专用储存设施和场所，设有粪尿污水处理设施，畜禽粪便处理后应符合GB7959和GB14554的规定，畜禽病害肉尸及其产品无害化处理应符合GB16548的有关规定，排放㈩的生产和加工废水应符合GB8978的有关规定。</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本项目污染治理设施均按规范进行设计</w:t>
            </w:r>
          </w:p>
        </w:tc>
        <w:tc>
          <w:tcPr>
            <w:tcW w:w="792"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饲养和加工场地应设有与生产相适应的消毒设施、更衣室、兽医室等，并配备工作所需的仪器设备，肉类加工厂卫生应符合GB12694的有关规定</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项目设置了相应的消毒室、更衣室、兽医室等</w:t>
            </w:r>
          </w:p>
        </w:tc>
        <w:tc>
          <w:tcPr>
            <w:tcW w:w="792"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bl>
    <w:p>
      <w:pPr>
        <w:spacing w:line="360" w:lineRule="auto"/>
        <w:ind w:firstLine="482"/>
        <w:rPr>
          <w:color w:val="auto"/>
          <w:sz w:val="24"/>
        </w:rPr>
      </w:pPr>
      <w:r>
        <w:rPr>
          <w:color w:val="auto"/>
          <w:sz w:val="24"/>
        </w:rPr>
        <w:t>由表</w:t>
      </w:r>
      <w:r>
        <w:rPr>
          <w:rFonts w:hint="eastAsia"/>
          <w:color w:val="auto"/>
          <w:sz w:val="24"/>
          <w:lang w:val="en-US" w:eastAsia="zh-CN"/>
        </w:rPr>
        <w:t>2</w:t>
      </w:r>
      <w:r>
        <w:rPr>
          <w:rFonts w:hint="eastAsia"/>
          <w:color w:val="auto"/>
          <w:sz w:val="24"/>
        </w:rPr>
        <w:t>.6</w:t>
      </w:r>
      <w:r>
        <w:rPr>
          <w:color w:val="auto"/>
          <w:sz w:val="24"/>
        </w:rPr>
        <w:t>-</w:t>
      </w:r>
      <w:r>
        <w:rPr>
          <w:rFonts w:hint="eastAsia"/>
          <w:color w:val="auto"/>
          <w:sz w:val="24"/>
          <w:lang w:val="en-US" w:eastAsia="zh-CN"/>
        </w:rPr>
        <w:t>6</w:t>
      </w:r>
      <w:r>
        <w:rPr>
          <w:color w:val="auto"/>
          <w:sz w:val="24"/>
        </w:rPr>
        <w:t>可知，项目满足《农产品安全质量—无公害畜禽肉产地环境要求》（GB/T18407.3—2001）要求。</w:t>
      </w:r>
    </w:p>
    <w:p>
      <w:pPr>
        <w:spacing w:line="360" w:lineRule="auto"/>
        <w:ind w:firstLine="482"/>
        <w:rPr>
          <w:b/>
          <w:color w:val="auto"/>
          <w:sz w:val="24"/>
        </w:rPr>
      </w:pPr>
      <w:r>
        <w:rPr>
          <w:b/>
          <w:color w:val="auto"/>
          <w:sz w:val="24"/>
        </w:rPr>
        <w:t>（</w:t>
      </w:r>
      <w:r>
        <w:rPr>
          <w:rFonts w:hint="eastAsia"/>
          <w:b/>
          <w:color w:val="auto"/>
          <w:sz w:val="24"/>
          <w:lang w:val="en-US" w:eastAsia="zh-CN"/>
        </w:rPr>
        <w:t>9</w:t>
      </w:r>
      <w:r>
        <w:rPr>
          <w:b/>
          <w:color w:val="auto"/>
          <w:sz w:val="24"/>
        </w:rPr>
        <w:t>）项目与《畜禽养殖业污染防治技术规范》（HJ/T81-2001）符合性分析</w:t>
      </w:r>
    </w:p>
    <w:p>
      <w:pPr>
        <w:spacing w:line="360" w:lineRule="auto"/>
        <w:ind w:firstLine="482"/>
        <w:rPr>
          <w:color w:val="auto"/>
          <w:sz w:val="24"/>
        </w:rPr>
      </w:pPr>
      <w:r>
        <w:rPr>
          <w:color w:val="auto"/>
          <w:sz w:val="24"/>
        </w:rPr>
        <w:t>项目与《畜禽养殖业污染防治技术规范》（HJ/T81-2001）的符合性分析见表</w:t>
      </w:r>
      <w:r>
        <w:rPr>
          <w:rFonts w:hint="eastAsia"/>
          <w:color w:val="auto"/>
          <w:sz w:val="24"/>
          <w:lang w:val="en-US" w:eastAsia="zh-CN"/>
        </w:rPr>
        <w:t>2</w:t>
      </w:r>
      <w:r>
        <w:rPr>
          <w:rFonts w:hint="eastAsia"/>
          <w:color w:val="auto"/>
          <w:sz w:val="24"/>
        </w:rPr>
        <w:t>.6</w:t>
      </w:r>
      <w:r>
        <w:rPr>
          <w:color w:val="auto"/>
          <w:sz w:val="24"/>
        </w:rPr>
        <w:t>-</w:t>
      </w:r>
      <w:r>
        <w:rPr>
          <w:rFonts w:hint="eastAsia"/>
          <w:color w:val="auto"/>
          <w:sz w:val="24"/>
          <w:lang w:val="en-US" w:eastAsia="zh-CN"/>
        </w:rPr>
        <w:t>7</w:t>
      </w:r>
      <w:r>
        <w:rPr>
          <w:color w:val="auto"/>
          <w:sz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.6</w:t>
      </w:r>
      <w:r>
        <w:rPr>
          <w:rFonts w:ascii="Times New Roman" w:eastAsia="黑体"/>
          <w:color w:val="auto"/>
          <w:sz w:val="21"/>
        </w:rPr>
        <w:t>-</w:t>
      </w:r>
      <w:r>
        <w:rPr>
          <w:rFonts w:hint="eastAsia" w:ascii="Times New Roman" w:eastAsia="黑体"/>
          <w:color w:val="auto"/>
          <w:sz w:val="21"/>
          <w:lang w:val="en-US" w:eastAsia="zh-CN"/>
        </w:rPr>
        <w:t>7</w:t>
      </w:r>
      <w:r>
        <w:rPr>
          <w:rFonts w:hint="eastAsia" w:ascii="Times New Roman" w:eastAsia="黑体"/>
          <w:color w:val="auto"/>
          <w:sz w:val="21"/>
        </w:rPr>
        <w:t xml:space="preserve"> </w:t>
      </w:r>
      <w:r>
        <w:rPr>
          <w:rFonts w:ascii="Times New Roman" w:eastAsia="黑体"/>
          <w:color w:val="auto"/>
          <w:sz w:val="21"/>
        </w:rPr>
        <w:t xml:space="preserve"> 与《畜禽养殖业污染防治技术规范》符合性分析对照表</w:t>
      </w:r>
    </w:p>
    <w:tbl>
      <w:tblPr>
        <w:tblStyle w:val="89"/>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689"/>
        <w:gridCol w:w="2921"/>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2" w:type="dxa"/>
            <w:gridSpan w:val="2"/>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《畜禽养殖业污染防治技术规范》的要求</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本项目</w:t>
            </w:r>
          </w:p>
        </w:tc>
        <w:tc>
          <w:tcPr>
            <w:tcW w:w="78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restart"/>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选址要求</w:t>
            </w:r>
          </w:p>
        </w:tc>
        <w:tc>
          <w:tcPr>
            <w:tcW w:w="4689"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畜禽养殖场应避开以下禁建区域：生活饮用水水源保护区、风景名胜区、自然保护区的核心区及缓冲区；城市和城镇居民区，包括文教科研区、医疗区、商业区、工业区、游览区等人口集中地区；县级人民政府依法划定的禁养区域；国家或地方法律、法规规定需特殊保护的其他区域。</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本项目位于</w:t>
            </w:r>
            <w:r>
              <w:rPr>
                <w:rFonts w:hint="eastAsia"/>
                <w:color w:val="auto"/>
                <w:lang w:val="en-US" w:eastAsia="zh-CN"/>
              </w:rPr>
              <w:t>巴中市</w:t>
            </w:r>
            <w:r>
              <w:rPr>
                <w:rFonts w:hint="default"/>
                <w:color w:val="auto"/>
              </w:rPr>
              <w:t>，本项目不在禁建区域内</w:t>
            </w:r>
          </w:p>
        </w:tc>
        <w:tc>
          <w:tcPr>
            <w:tcW w:w="78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continue"/>
            <w:vAlign w:val="center"/>
          </w:tcPr>
          <w:p>
            <w:pPr>
              <w:keepNext w:val="0"/>
              <w:keepLines w:val="0"/>
              <w:suppressLineNumbers w:val="0"/>
              <w:spacing w:before="0" w:beforeAutospacing="0" w:after="0" w:afterAutospacing="0"/>
              <w:ind w:left="-42" w:leftChars="-20" w:right="-42" w:rightChars="-20"/>
              <w:rPr>
                <w:rFonts w:hint="default"/>
                <w:color w:val="auto"/>
              </w:rPr>
            </w:pPr>
          </w:p>
        </w:tc>
        <w:tc>
          <w:tcPr>
            <w:tcW w:w="4689"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新建改建、扩建的畜禽养殖场选址应避开规定的禁建区域，在禁建区域附近建设的，应设在上述禁建区域常年主导风向的下风向或侧风向处，场界与禁建区域边界的最小距离不得小于500m。</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本项目位于</w:t>
            </w:r>
            <w:r>
              <w:rPr>
                <w:rFonts w:hint="eastAsia"/>
                <w:color w:val="auto"/>
                <w:lang w:val="en-US" w:eastAsia="zh-CN"/>
              </w:rPr>
              <w:t>巴中市</w:t>
            </w:r>
            <w:r>
              <w:rPr>
                <w:rFonts w:hint="default"/>
                <w:color w:val="auto"/>
              </w:rPr>
              <w:t>，根据</w:t>
            </w:r>
            <w:r>
              <w:rPr>
                <w:rFonts w:hint="eastAsia"/>
                <w:color w:val="auto"/>
                <w:lang w:val="en-US" w:eastAsia="zh-CN"/>
              </w:rPr>
              <w:t>巴中市</w:t>
            </w:r>
            <w:r>
              <w:rPr>
                <w:rFonts w:hint="default"/>
                <w:color w:val="auto"/>
              </w:rPr>
              <w:t>畜禽养殖禁养区划，本项目不在禁建区域范围内</w:t>
            </w:r>
          </w:p>
        </w:tc>
        <w:tc>
          <w:tcPr>
            <w:tcW w:w="78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restart"/>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场区布局与清粪工艺</w:t>
            </w:r>
          </w:p>
        </w:tc>
        <w:tc>
          <w:tcPr>
            <w:tcW w:w="4689"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新建、改建、扩建的畜禽养殖场应实现生产区、生活管理区的隔离，粪便污水处理设施和畜禽尸体焚烧炉应设在养殖场的生产区、生活管理区的常年主导风向的下风向或侧风向。</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本项目生产区、生活管理区进行了分区</w:t>
            </w:r>
          </w:p>
        </w:tc>
        <w:tc>
          <w:tcPr>
            <w:tcW w:w="78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continue"/>
            <w:vAlign w:val="center"/>
          </w:tcPr>
          <w:p>
            <w:pPr>
              <w:keepNext w:val="0"/>
              <w:keepLines w:val="0"/>
              <w:suppressLineNumbers w:val="0"/>
              <w:spacing w:before="0" w:beforeAutospacing="0" w:after="0" w:afterAutospacing="0"/>
              <w:ind w:left="-42" w:leftChars="-20" w:right="-42" w:rightChars="-20"/>
              <w:rPr>
                <w:rFonts w:hint="default"/>
                <w:color w:val="auto"/>
              </w:rPr>
            </w:pPr>
          </w:p>
        </w:tc>
        <w:tc>
          <w:tcPr>
            <w:tcW w:w="4689"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养殖场的排水系统应实行雨水和污水收集输送系统分离，在厂区内外设置的污水收集输送系统，不得采取明沟布设。</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本工程排水实行雨污分离</w:t>
            </w:r>
          </w:p>
        </w:tc>
        <w:tc>
          <w:tcPr>
            <w:tcW w:w="78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continue"/>
            <w:vAlign w:val="center"/>
          </w:tcPr>
          <w:p>
            <w:pPr>
              <w:keepNext w:val="0"/>
              <w:keepLines w:val="0"/>
              <w:suppressLineNumbers w:val="0"/>
              <w:spacing w:before="0" w:beforeAutospacing="0" w:after="0" w:afterAutospacing="0"/>
              <w:ind w:left="-42" w:leftChars="-20" w:right="-42" w:rightChars="-20"/>
              <w:rPr>
                <w:rFonts w:hint="default"/>
                <w:color w:val="auto"/>
              </w:rPr>
            </w:pPr>
          </w:p>
        </w:tc>
        <w:tc>
          <w:tcPr>
            <w:tcW w:w="4689"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新建、改建、扩建的畜禽养殖场应采取干清粪工艺，采取有效措施将粪及时、单独清出，不可与尿、污水混合排出，并将产生的粪渣及时运至贮存或处理场所，实现日产日清。采用水冲粪、水泡粪湿法清粪工艺的养殖场，要逐步改为干清粪工艺。</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本项目采用干清粪工艺</w:t>
            </w:r>
          </w:p>
        </w:tc>
        <w:tc>
          <w:tcPr>
            <w:tcW w:w="78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restart"/>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畜禽粪便的贮存</w:t>
            </w:r>
          </w:p>
        </w:tc>
        <w:tc>
          <w:tcPr>
            <w:tcW w:w="4689"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畜禽养殖场产生的畜禽粪便应设置专门的贮存设施，其恶臭及污染物排放应符合《畜禽养殖业污染物排放标准》。</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畜禽粪便设置了专门的贮存设施，恶臭及污染物经处理后满足排放要求</w:t>
            </w:r>
          </w:p>
        </w:tc>
        <w:tc>
          <w:tcPr>
            <w:tcW w:w="78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continue"/>
            <w:vAlign w:val="center"/>
          </w:tcPr>
          <w:p>
            <w:pPr>
              <w:keepNext w:val="0"/>
              <w:keepLines w:val="0"/>
              <w:suppressLineNumbers w:val="0"/>
              <w:spacing w:before="0" w:beforeAutospacing="0" w:after="0" w:afterAutospacing="0"/>
              <w:ind w:left="-42" w:leftChars="-20" w:right="-42" w:rightChars="-20"/>
              <w:rPr>
                <w:rFonts w:hint="default"/>
                <w:color w:val="auto"/>
              </w:rPr>
            </w:pPr>
          </w:p>
        </w:tc>
        <w:tc>
          <w:tcPr>
            <w:tcW w:w="4689"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贮存设施应采取有效的防渗处理工艺，防止畜禽粪便污染地下水。</w:t>
            </w:r>
          </w:p>
        </w:tc>
        <w:tc>
          <w:tcPr>
            <w:tcW w:w="292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贮存设施采取了重点防渗</w:t>
            </w:r>
          </w:p>
        </w:tc>
        <w:tc>
          <w:tcPr>
            <w:tcW w:w="781" w:type="dxa"/>
            <w:vAlign w:val="center"/>
          </w:tcPr>
          <w:p>
            <w:pPr>
              <w:keepNext w:val="0"/>
              <w:keepLines w:val="0"/>
              <w:suppressLineNumbers w:val="0"/>
              <w:spacing w:before="0" w:beforeAutospacing="0" w:after="0" w:afterAutospacing="0"/>
              <w:ind w:left="-42" w:leftChars="-20" w:right="-42" w:rightChars="-20"/>
              <w:rPr>
                <w:rFonts w:hint="default"/>
                <w:color w:val="auto"/>
              </w:rPr>
            </w:pPr>
            <w:r>
              <w:rPr>
                <w:rFonts w:hint="default"/>
                <w:color w:val="auto"/>
              </w:rPr>
              <w:t>符合</w:t>
            </w:r>
          </w:p>
        </w:tc>
      </w:tr>
    </w:tbl>
    <w:p>
      <w:pPr>
        <w:spacing w:before="120" w:beforeLines="50" w:line="360" w:lineRule="auto"/>
        <w:ind w:firstLine="482"/>
        <w:rPr>
          <w:color w:val="auto"/>
          <w:sz w:val="24"/>
        </w:rPr>
      </w:pPr>
      <w:r>
        <w:rPr>
          <w:color w:val="auto"/>
          <w:sz w:val="24"/>
        </w:rPr>
        <w:t>由表</w:t>
      </w:r>
      <w:r>
        <w:rPr>
          <w:rFonts w:hint="eastAsia"/>
          <w:color w:val="auto"/>
          <w:sz w:val="24"/>
          <w:lang w:val="en-US" w:eastAsia="zh-CN"/>
        </w:rPr>
        <w:t>2.6</w:t>
      </w:r>
      <w:r>
        <w:rPr>
          <w:color w:val="auto"/>
          <w:sz w:val="24"/>
        </w:rPr>
        <w:t>-</w:t>
      </w:r>
      <w:r>
        <w:rPr>
          <w:rFonts w:hint="eastAsia"/>
          <w:color w:val="auto"/>
          <w:sz w:val="24"/>
          <w:lang w:val="en-US" w:eastAsia="zh-CN"/>
        </w:rPr>
        <w:t>7</w:t>
      </w:r>
      <w:r>
        <w:rPr>
          <w:color w:val="auto"/>
          <w:sz w:val="24"/>
        </w:rPr>
        <w:t>可知，项目满足《畜禽养殖业污染防治技术规范》（HJ/T81-2001）要求。</w:t>
      </w:r>
    </w:p>
    <w:p>
      <w:pPr>
        <w:spacing w:line="360" w:lineRule="auto"/>
        <w:ind w:firstLine="482"/>
        <w:rPr>
          <w:b/>
          <w:color w:val="auto"/>
          <w:sz w:val="24"/>
        </w:rPr>
      </w:pPr>
      <w:r>
        <w:rPr>
          <w:b/>
          <w:color w:val="auto"/>
          <w:sz w:val="24"/>
        </w:rPr>
        <w:t>（</w:t>
      </w:r>
      <w:r>
        <w:rPr>
          <w:rFonts w:hint="eastAsia"/>
          <w:b/>
          <w:color w:val="auto"/>
          <w:sz w:val="24"/>
          <w:lang w:val="en-US" w:eastAsia="zh-CN"/>
        </w:rPr>
        <w:t>10</w:t>
      </w:r>
      <w:r>
        <w:rPr>
          <w:b/>
          <w:color w:val="auto"/>
          <w:sz w:val="24"/>
        </w:rPr>
        <w:t>）项目与《畜禽养殖业污染防治条例》的符合性分析</w:t>
      </w:r>
    </w:p>
    <w:p>
      <w:pPr>
        <w:spacing w:line="360" w:lineRule="auto"/>
        <w:ind w:firstLine="482"/>
        <w:rPr>
          <w:color w:val="auto"/>
          <w:sz w:val="24"/>
        </w:rPr>
      </w:pPr>
      <w:r>
        <w:rPr>
          <w:color w:val="auto"/>
          <w:sz w:val="24"/>
        </w:rPr>
        <w:t>本项目选址与《畜禽养殖业污染防治条例》中选址要求符合性分析见表</w:t>
      </w:r>
      <w:r>
        <w:rPr>
          <w:rFonts w:hint="eastAsia"/>
          <w:color w:val="auto"/>
          <w:sz w:val="24"/>
          <w:lang w:val="en-US" w:eastAsia="zh-CN"/>
        </w:rPr>
        <w:t>2</w:t>
      </w:r>
      <w:r>
        <w:rPr>
          <w:rFonts w:hint="eastAsia"/>
          <w:color w:val="auto"/>
          <w:sz w:val="24"/>
        </w:rPr>
        <w:t>.6</w:t>
      </w:r>
      <w:r>
        <w:rPr>
          <w:color w:val="auto"/>
          <w:sz w:val="24"/>
        </w:rPr>
        <w:t>-</w:t>
      </w:r>
      <w:r>
        <w:rPr>
          <w:rFonts w:hint="eastAsia"/>
          <w:color w:val="auto"/>
          <w:sz w:val="24"/>
          <w:lang w:val="en-US" w:eastAsia="zh-CN"/>
        </w:rPr>
        <w:t>8</w:t>
      </w:r>
      <w:r>
        <w:rPr>
          <w:color w:val="auto"/>
          <w:sz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.6</w:t>
      </w:r>
      <w:r>
        <w:rPr>
          <w:rFonts w:ascii="Times New Roman" w:eastAsia="黑体"/>
          <w:color w:val="auto"/>
          <w:sz w:val="21"/>
        </w:rPr>
        <w:t>-</w:t>
      </w:r>
      <w:r>
        <w:rPr>
          <w:rFonts w:hint="eastAsia" w:ascii="Times New Roman" w:eastAsia="黑体"/>
          <w:color w:val="auto"/>
          <w:sz w:val="21"/>
          <w:lang w:val="en-US" w:eastAsia="zh-CN"/>
        </w:rPr>
        <w:t>8</w:t>
      </w:r>
      <w:r>
        <w:rPr>
          <w:rFonts w:hint="eastAsia" w:ascii="Times New Roman" w:eastAsia="黑体"/>
          <w:color w:val="auto"/>
          <w:sz w:val="21"/>
        </w:rPr>
        <w:t xml:space="preserve"> </w:t>
      </w:r>
      <w:r>
        <w:rPr>
          <w:rFonts w:ascii="Times New Roman" w:eastAsia="黑体"/>
          <w:color w:val="auto"/>
          <w:sz w:val="21"/>
        </w:rPr>
        <w:t xml:space="preserve"> 与《畜禽养殖业污染防治条例》选址要求符合性</w:t>
      </w:r>
    </w:p>
    <w:tbl>
      <w:tblPr>
        <w:tblStyle w:val="8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2"/>
        <w:gridCol w:w="3119"/>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《畜禽养殖业污染防治条例》要求</w:t>
            </w:r>
          </w:p>
        </w:tc>
        <w:tc>
          <w:tcPr>
            <w:tcW w:w="3119"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5212"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一）禁止在下列区域内建设畜禽养殖场、养殖小区：（一）饮用水水源保护区，风景名胜区；（二）自然保护区的核心区和缓冲区；（三）城镇居民区、文化教育科学研究区等人口集中区域；（四）法律、法规规定的其他禁止养殖区域。</w:t>
            </w:r>
          </w:p>
        </w:tc>
        <w:tc>
          <w:tcPr>
            <w:tcW w:w="3119"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本项目用地不涉及饮用水水源保护区、风景名胜区、自然保护区、城镇居民区、文化教育科学研究区等人口集中区域以及法律、法规规定的其他禁止养殖区域。</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2" w:type="dxa"/>
          </w:tcPr>
          <w:p>
            <w:pPr>
              <w:pStyle w:val="151"/>
              <w:keepNext w:val="0"/>
              <w:keepLines w:val="0"/>
              <w:suppressLineNumbers w:val="0"/>
              <w:spacing w:before="0" w:beforeAutospacing="0" w:after="0" w:afterAutospacing="0"/>
              <w:ind w:left="0" w:right="0"/>
              <w:jc w:val="both"/>
              <w:rPr>
                <w:rFonts w:hint="default" w:ascii="Times New Roman" w:hAnsi="Times New Roman" w:cs="Times New Roman"/>
                <w:snapToGrid w:val="0"/>
                <w:color w:val="auto"/>
                <w:szCs w:val="21"/>
              </w:rPr>
            </w:pPr>
            <w:r>
              <w:rPr>
                <w:rFonts w:hint="default" w:ascii="Times New Roman" w:hAnsi="Times New Roman" w:eastAsia="宋体" w:cs="Times New Roman"/>
                <w:snapToGrid w:val="0"/>
                <w:color w:val="auto"/>
                <w:kern w:val="2"/>
                <w:sz w:val="21"/>
                <w:szCs w:val="21"/>
              </w:rPr>
              <w:t>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未建设污染防治配套设施、自行建设的配套设施不合格，或者未委托他人对畜禽养殖废弃物进行综合利用和无害化处理的，畜禽养殖场、养殖小区不得投入生产或者使用。畜禽养殖场、养殖小区自行建设污染防治配套设施的，应当确保其正常运行。</w:t>
            </w:r>
          </w:p>
        </w:tc>
        <w:tc>
          <w:tcPr>
            <w:tcW w:w="3119"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本项目将同步配套建设环保工程，对项目产生的污染物按照相关要求进行规范化、无害化、资源化处理。</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bl>
    <w:p>
      <w:pPr>
        <w:spacing w:line="360" w:lineRule="auto"/>
        <w:ind w:firstLine="482"/>
        <w:rPr>
          <w:color w:val="auto"/>
          <w:sz w:val="24"/>
        </w:rPr>
      </w:pPr>
      <w:r>
        <w:rPr>
          <w:color w:val="auto"/>
          <w:sz w:val="24"/>
        </w:rPr>
        <w:t>由表</w:t>
      </w:r>
      <w:r>
        <w:rPr>
          <w:rFonts w:hint="eastAsia"/>
          <w:color w:val="auto"/>
          <w:sz w:val="24"/>
          <w:lang w:val="en-US" w:eastAsia="zh-CN"/>
        </w:rPr>
        <w:t>2</w:t>
      </w:r>
      <w:r>
        <w:rPr>
          <w:rFonts w:hint="eastAsia"/>
          <w:color w:val="auto"/>
          <w:sz w:val="24"/>
        </w:rPr>
        <w:t>.6</w:t>
      </w:r>
      <w:r>
        <w:rPr>
          <w:color w:val="auto"/>
          <w:sz w:val="24"/>
        </w:rPr>
        <w:t>-</w:t>
      </w:r>
      <w:r>
        <w:rPr>
          <w:rFonts w:hint="eastAsia"/>
          <w:color w:val="auto"/>
          <w:sz w:val="24"/>
          <w:lang w:val="en-US" w:eastAsia="zh-CN"/>
        </w:rPr>
        <w:t>8</w:t>
      </w:r>
      <w:r>
        <w:rPr>
          <w:color w:val="auto"/>
          <w:sz w:val="24"/>
        </w:rPr>
        <w:t>可知，项目选址符合《畜禽养殖业污染防治条例》选址要求。</w:t>
      </w:r>
    </w:p>
    <w:p>
      <w:pPr>
        <w:spacing w:line="360" w:lineRule="auto"/>
        <w:ind w:firstLine="482"/>
        <w:rPr>
          <w:b/>
          <w:color w:val="auto"/>
          <w:sz w:val="24"/>
        </w:rPr>
      </w:pPr>
      <w:r>
        <w:rPr>
          <w:b/>
          <w:color w:val="auto"/>
          <w:sz w:val="24"/>
        </w:rPr>
        <w:t>（</w:t>
      </w:r>
      <w:r>
        <w:rPr>
          <w:rFonts w:hint="eastAsia"/>
          <w:b/>
          <w:color w:val="auto"/>
          <w:sz w:val="24"/>
        </w:rPr>
        <w:t>1</w:t>
      </w:r>
      <w:r>
        <w:rPr>
          <w:rFonts w:hint="eastAsia"/>
          <w:b/>
          <w:color w:val="auto"/>
          <w:sz w:val="24"/>
          <w:lang w:val="en-US" w:eastAsia="zh-CN"/>
        </w:rPr>
        <w:t>1</w:t>
      </w:r>
      <w:r>
        <w:rPr>
          <w:b/>
          <w:color w:val="auto"/>
          <w:sz w:val="24"/>
        </w:rPr>
        <w:t>）项目与《畜禽规模养殖场粪污资源化利用设施建设规范（试行）》的符合性分析</w:t>
      </w:r>
    </w:p>
    <w:p>
      <w:pPr>
        <w:spacing w:line="360" w:lineRule="auto"/>
        <w:ind w:firstLine="482"/>
        <w:rPr>
          <w:color w:val="auto"/>
          <w:sz w:val="24"/>
        </w:rPr>
      </w:pPr>
      <w:r>
        <w:rPr>
          <w:color w:val="auto"/>
          <w:sz w:val="24"/>
        </w:rPr>
        <w:t>本项目选址与《畜禽规模养殖场粪污资源化利用设施建设规范（试行）》中选址要求符合性分析见表</w:t>
      </w:r>
      <w:r>
        <w:rPr>
          <w:rFonts w:hint="eastAsia"/>
          <w:color w:val="auto"/>
          <w:sz w:val="24"/>
          <w:lang w:val="en-US" w:eastAsia="zh-CN"/>
        </w:rPr>
        <w:t>2</w:t>
      </w:r>
      <w:r>
        <w:rPr>
          <w:rFonts w:hint="eastAsia"/>
          <w:color w:val="auto"/>
          <w:sz w:val="24"/>
        </w:rPr>
        <w:t>.6</w:t>
      </w:r>
      <w:r>
        <w:rPr>
          <w:color w:val="auto"/>
          <w:sz w:val="24"/>
        </w:rPr>
        <w:t>-</w:t>
      </w:r>
      <w:r>
        <w:rPr>
          <w:rFonts w:hint="eastAsia"/>
          <w:color w:val="auto"/>
          <w:sz w:val="24"/>
          <w:lang w:val="en-US" w:eastAsia="zh-CN"/>
        </w:rPr>
        <w:t>9</w:t>
      </w:r>
      <w:r>
        <w:rPr>
          <w:color w:val="auto"/>
          <w:sz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.6</w:t>
      </w:r>
      <w:r>
        <w:rPr>
          <w:rFonts w:ascii="Times New Roman" w:eastAsia="黑体"/>
          <w:color w:val="auto"/>
          <w:sz w:val="21"/>
        </w:rPr>
        <w:t>-</w:t>
      </w:r>
      <w:r>
        <w:rPr>
          <w:rFonts w:hint="eastAsia" w:ascii="Times New Roman" w:eastAsia="黑体"/>
          <w:color w:val="auto"/>
          <w:sz w:val="21"/>
          <w:lang w:val="en-US" w:eastAsia="zh-CN"/>
        </w:rPr>
        <w:t>9</w:t>
      </w:r>
      <w:r>
        <w:rPr>
          <w:rFonts w:hint="eastAsia" w:ascii="Times New Roman" w:eastAsia="黑体"/>
          <w:color w:val="auto"/>
          <w:sz w:val="21"/>
        </w:rPr>
        <w:t xml:space="preserve"> </w:t>
      </w:r>
      <w:r>
        <w:rPr>
          <w:rFonts w:ascii="Times New Roman" w:eastAsia="黑体"/>
          <w:color w:val="auto"/>
          <w:sz w:val="21"/>
        </w:rPr>
        <w:t xml:space="preserve"> 与《畜禽规模养殖场粪污资源化利用设施建设规范（试行）》符合性</w:t>
      </w:r>
      <w:r>
        <w:rPr>
          <w:rFonts w:hint="eastAsia" w:ascii="Times New Roman" w:eastAsia="黑体"/>
          <w:color w:val="auto"/>
          <w:sz w:val="21"/>
        </w:rPr>
        <w:t>分析</w:t>
      </w:r>
    </w:p>
    <w:tbl>
      <w:tblPr>
        <w:tblStyle w:val="8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7"/>
        <w:gridCol w:w="3334"/>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《畜禽规模养殖场粪污资源化利用设施建设规范（试行）》要求</w:t>
            </w:r>
          </w:p>
        </w:tc>
        <w:tc>
          <w:tcPr>
            <w:tcW w:w="3334"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9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第二条畜禽粪污资源化利用是指在畜禽粪污处理过程中，通过生产沼气、堆肥、沤肥、沼肥、肥水、商品</w:t>
            </w:r>
          </w:p>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有机肥、垫料、基质等方式进行合理利用。</w:t>
            </w:r>
          </w:p>
        </w:tc>
        <w:tc>
          <w:tcPr>
            <w:tcW w:w="3334" w:type="dxa"/>
            <w:vAlign w:val="center"/>
          </w:tcPr>
          <w:p>
            <w:pPr>
              <w:keepNext w:val="0"/>
              <w:keepLines w:val="0"/>
              <w:suppressLineNumbers w:val="0"/>
              <w:spacing w:before="0" w:beforeAutospacing="0" w:after="0" w:afterAutospacing="0"/>
              <w:ind w:left="-42" w:leftChars="-20" w:right="-42" w:rightChars="-20"/>
              <w:rPr>
                <w:rFonts w:hint="default" w:eastAsia="宋体"/>
                <w:snapToGrid w:val="0"/>
                <w:color w:val="auto"/>
                <w:szCs w:val="21"/>
                <w:lang w:val="en-US" w:eastAsia="zh-CN"/>
              </w:rPr>
            </w:pPr>
            <w:r>
              <w:rPr>
                <w:rFonts w:hint="default" w:ascii="Times New Roman" w:hAnsi="Times New Roman" w:cs="Times New Roman"/>
                <w:snapToGrid w:val="0"/>
                <w:color w:val="auto"/>
                <w:szCs w:val="21"/>
              </w:rPr>
              <w:t>本项目</w:t>
            </w:r>
            <w:r>
              <w:rPr>
                <w:rFonts w:hint="eastAsia" w:cs="Times New Roman"/>
                <w:snapToGrid w:val="0"/>
                <w:color w:val="auto"/>
                <w:szCs w:val="21"/>
                <w:lang w:val="en-US" w:eastAsia="zh-CN"/>
              </w:rPr>
              <w:t>粪污采用发酵床的垫料处理后生成有机肥外售</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7" w:type="dxa"/>
          </w:tcPr>
          <w:p>
            <w:pPr>
              <w:pStyle w:val="151"/>
              <w:keepNext w:val="0"/>
              <w:keepLines w:val="0"/>
              <w:suppressLineNumbers w:val="0"/>
              <w:spacing w:before="0" w:beforeAutospacing="0" w:after="0" w:afterAutospacing="0"/>
              <w:ind w:left="0" w:right="0"/>
              <w:jc w:val="both"/>
              <w:rPr>
                <w:rFonts w:hint="default" w:ascii="Times New Roman" w:hAnsi="Times New Roman" w:cs="Times New Roman"/>
                <w:snapToGrid w:val="0"/>
                <w:color w:val="auto"/>
                <w:szCs w:val="21"/>
              </w:rPr>
            </w:pPr>
            <w:r>
              <w:rPr>
                <w:rFonts w:hint="default" w:ascii="Times New Roman" w:hAnsi="Times New Roman" w:eastAsia="宋体" w:cs="Times New Roman"/>
                <w:snapToGrid w:val="0"/>
                <w:color w:val="auto"/>
                <w:kern w:val="2"/>
                <w:sz w:val="21"/>
                <w:szCs w:val="21"/>
              </w:rPr>
              <w:t>第三条畜禽规模养殖场粪污资源化利用应坚持农牧结合、种养平衡，按照资源化、减量化、无害化的原则，对源头减量、过程控制和末端利用各环节进行全程管理，提高粪污综合利用率和设施装备配套率。</w:t>
            </w:r>
          </w:p>
        </w:tc>
        <w:tc>
          <w:tcPr>
            <w:tcW w:w="3334"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本项目将同步配套建设</w:t>
            </w:r>
            <w:r>
              <w:rPr>
                <w:rFonts w:hint="eastAsia"/>
                <w:snapToGrid w:val="0"/>
                <w:color w:val="auto"/>
                <w:szCs w:val="21"/>
                <w:lang w:val="en-US" w:eastAsia="zh-CN"/>
              </w:rPr>
              <w:t>发酵床</w:t>
            </w:r>
            <w:r>
              <w:rPr>
                <w:rFonts w:hint="default"/>
                <w:snapToGrid w:val="0"/>
                <w:color w:val="auto"/>
                <w:szCs w:val="21"/>
              </w:rPr>
              <w:t>，对项目产生的污染物按照相关要求进行规范化、无害化、资源化处理。</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7" w:type="dxa"/>
          </w:tcPr>
          <w:p>
            <w:pPr>
              <w:pStyle w:val="151"/>
              <w:keepNext w:val="0"/>
              <w:keepLines w:val="0"/>
              <w:suppressLineNumbers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第四条畜禽规模养殖场应根据养殖污染防治要求，建设与养殖规模相配套的粪污资源化利用设施设备，并确保正常运行</w:t>
            </w:r>
          </w:p>
        </w:tc>
        <w:tc>
          <w:tcPr>
            <w:tcW w:w="3334"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color w:val="auto"/>
                <w:sz w:val="21"/>
                <w:szCs w:val="21"/>
              </w:rPr>
              <w:t>本项目存栏</w:t>
            </w:r>
            <w:r>
              <w:rPr>
                <w:rFonts w:hint="eastAsia"/>
                <w:color w:val="auto"/>
                <w:sz w:val="21"/>
                <w:szCs w:val="21"/>
                <w:lang w:val="en-US" w:eastAsia="zh-CN"/>
              </w:rPr>
              <w:t>9734</w:t>
            </w:r>
            <w:r>
              <w:rPr>
                <w:rFonts w:hint="default"/>
                <w:color w:val="auto"/>
                <w:sz w:val="21"/>
                <w:szCs w:val="21"/>
              </w:rPr>
              <w:t>头肉牛，折合生猪</w:t>
            </w:r>
            <w:r>
              <w:rPr>
                <w:rFonts w:hint="eastAsia"/>
                <w:color w:val="auto"/>
                <w:sz w:val="21"/>
                <w:szCs w:val="21"/>
                <w:lang w:val="en-US" w:eastAsia="zh-CN"/>
              </w:rPr>
              <w:t>48670</w:t>
            </w:r>
            <w:r>
              <w:rPr>
                <w:rFonts w:hint="default"/>
                <w:color w:val="auto"/>
                <w:sz w:val="21"/>
                <w:szCs w:val="21"/>
              </w:rPr>
              <w:t>头</w:t>
            </w:r>
            <w:r>
              <w:rPr>
                <w:rFonts w:hint="eastAsia"/>
                <w:snapToGrid w:val="0"/>
                <w:color w:val="auto"/>
                <w:sz w:val="21"/>
                <w:szCs w:val="21"/>
              </w:rPr>
              <w:t>，</w:t>
            </w:r>
            <w:r>
              <w:rPr>
                <w:rFonts w:hint="eastAsia" w:cs="Times New Roman"/>
                <w:snapToGrid w:val="0"/>
                <w:color w:val="auto"/>
                <w:szCs w:val="21"/>
                <w:lang w:val="en-US" w:eastAsia="zh-CN"/>
              </w:rPr>
              <w:t>建设发酵床，日处理粪污203.25t，项目运营期将将加强粪污处理设备巡检维修，确保处理设施正常运行。</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7" w:type="dxa"/>
          </w:tcPr>
          <w:p>
            <w:pPr>
              <w:pStyle w:val="151"/>
              <w:keepNext w:val="0"/>
              <w:keepLines w:val="0"/>
              <w:suppressLineNumbers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第五条畜禽规模养殖场宜采用干清粪工艺。采用水泡粪工艺的，要控制用水量，减少粪污产生总量。鼓励水冲粪工艺改造为干清粪或水泡粪。不同畜种不同清粪工艺最高允许排水量按照 GB18596 执行</w:t>
            </w:r>
          </w:p>
        </w:tc>
        <w:tc>
          <w:tcPr>
            <w:tcW w:w="3334"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本项目采用干清粪工艺。</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7" w:type="dxa"/>
          </w:tcPr>
          <w:p>
            <w:pPr>
              <w:pStyle w:val="151"/>
              <w:keepNext w:val="0"/>
              <w:keepLines w:val="0"/>
              <w:suppressLineNumbers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第六条畜禽规模养殖场应及时对粪污进行收集、贮存，粪污暂存池(场)应满足防渗、防雨、防溢流等要求。固体粪便暂存池(场)的设计按照GB/T 27622 执行。污水暂存池的设计按照 GB/T 26624 执行。</w:t>
            </w:r>
          </w:p>
        </w:tc>
        <w:tc>
          <w:tcPr>
            <w:tcW w:w="3334"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eastAsia"/>
                <w:snapToGrid w:val="0"/>
                <w:color w:val="auto"/>
                <w:szCs w:val="21"/>
              </w:rPr>
              <w:t>本项目对粪污进行收集贮存</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7" w:type="dxa"/>
          </w:tcPr>
          <w:p>
            <w:pPr>
              <w:pStyle w:val="151"/>
              <w:keepNext w:val="0"/>
              <w:keepLines w:val="0"/>
              <w:suppressLineNumbers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第七条畜禽规模养殖场应建设雨污分离设施，污水宜采用暗沟或管道输送。</w:t>
            </w:r>
          </w:p>
        </w:tc>
        <w:tc>
          <w:tcPr>
            <w:tcW w:w="3334"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eastAsia"/>
                <w:snapToGrid w:val="0"/>
                <w:color w:val="auto"/>
                <w:szCs w:val="21"/>
              </w:rPr>
              <w:t>本项目将设置雨污分流设施，厂区设置雨水收集系统，污水收集采用管道方式输送。</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4997" w:type="dxa"/>
          </w:tcPr>
          <w:p>
            <w:pPr>
              <w:pStyle w:val="151"/>
              <w:keepNext w:val="0"/>
              <w:keepLines w:val="0"/>
              <w:suppressLineNumbers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第八条规模养殖场干清粪或固液分离后的固体粪便可采用堆肥、沤肥、生产垫料等方式进行处理利用。固体粪便堆肥(生产垫料)宜采用条垛式、槽式、发酵仓、强制通风静态垛等好氧工艺，或其他适用技术，同时配套必要的混合、输送、搅拌、供氧等设施设备。猪场堆肥设施发酵容积不小于0.002m</w:t>
            </w:r>
            <w:r>
              <w:rPr>
                <w:rFonts w:hint="default" w:ascii="Times New Roman" w:hAnsi="Times New Roman" w:eastAsia="宋体" w:cs="Times New Roman"/>
                <w:snapToGrid w:val="0"/>
                <w:color w:val="auto"/>
                <w:kern w:val="2"/>
                <w:sz w:val="21"/>
                <w:szCs w:val="21"/>
                <w:vertAlign w:val="superscript"/>
              </w:rPr>
              <w:t>3</w:t>
            </w:r>
            <w:r>
              <w:rPr>
                <w:rFonts w:hint="default" w:ascii="Times New Roman" w:hAnsi="Times New Roman" w:eastAsia="宋体" w:cs="Times New Roman"/>
                <w:snapToGrid w:val="0"/>
                <w:color w:val="auto"/>
                <w:kern w:val="2"/>
                <w:sz w:val="21"/>
                <w:szCs w:val="21"/>
              </w:rPr>
              <w:t>×发酵周期(天)×设计存栏量(头)，其它畜禽按 GB 18596 折算</w:t>
            </w:r>
          </w:p>
          <w:p>
            <w:pPr>
              <w:pStyle w:val="151"/>
              <w:keepNext w:val="0"/>
              <w:keepLines w:val="0"/>
              <w:suppressLineNumbers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成猪的存栏量计算。</w:t>
            </w:r>
          </w:p>
        </w:tc>
        <w:tc>
          <w:tcPr>
            <w:tcW w:w="3334"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eastAsia" w:cs="Times New Roman"/>
                <w:snapToGrid w:val="0"/>
                <w:color w:val="auto"/>
                <w:szCs w:val="21"/>
                <w:lang w:val="en-US" w:eastAsia="zh-CN"/>
              </w:rPr>
              <w:t>本项目采用干清粪工艺收集牛粪后经刮粪板刮至粪池内，通过管道进去调节池，经泵抽入发酵床（日处理粪污203.25t），进行发酵处理，生成有机肥外售处理</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7" w:type="dxa"/>
          </w:tcPr>
          <w:p>
            <w:pPr>
              <w:pStyle w:val="151"/>
              <w:keepNext w:val="0"/>
              <w:keepLines w:val="0"/>
              <w:suppressLineNumbers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第九条液体或全量粪污通过氧化塘、沉淀池等进行无害化处理的，氧化塘、贮存池容积不小于单位畜禽日粪污产生量(m3 )×贮存周期(天) ×设计存栏量(头)。单位畜禽粪污日产生量推荐值为：生猪0.01m</w:t>
            </w:r>
            <w:r>
              <w:rPr>
                <w:rFonts w:hint="default" w:ascii="Times New Roman" w:hAnsi="Times New Roman" w:eastAsia="宋体" w:cs="Times New Roman"/>
                <w:snapToGrid w:val="0"/>
                <w:color w:val="auto"/>
                <w:kern w:val="2"/>
                <w:sz w:val="21"/>
                <w:szCs w:val="21"/>
                <w:vertAlign w:val="superscript"/>
              </w:rPr>
              <w:t>3</w:t>
            </w:r>
            <w:r>
              <w:rPr>
                <w:rFonts w:hint="default" w:ascii="Times New Roman" w:hAnsi="Times New Roman" w:eastAsia="宋体" w:cs="Times New Roman"/>
                <w:snapToGrid w:val="0"/>
                <w:color w:val="auto"/>
                <w:kern w:val="2"/>
                <w:sz w:val="21"/>
                <w:szCs w:val="21"/>
              </w:rPr>
              <w:t xml:space="preserve"> ，奶牛0.045m</w:t>
            </w:r>
            <w:r>
              <w:rPr>
                <w:rFonts w:hint="default" w:ascii="Times New Roman" w:hAnsi="Times New Roman" w:eastAsia="宋体" w:cs="Times New Roman"/>
                <w:snapToGrid w:val="0"/>
                <w:color w:val="auto"/>
                <w:kern w:val="2"/>
                <w:sz w:val="21"/>
                <w:szCs w:val="21"/>
                <w:vertAlign w:val="superscript"/>
              </w:rPr>
              <w:t>3</w:t>
            </w:r>
            <w:r>
              <w:rPr>
                <w:rFonts w:hint="default" w:ascii="Times New Roman" w:hAnsi="Times New Roman" w:eastAsia="宋体" w:cs="Times New Roman"/>
                <w:snapToGrid w:val="0"/>
                <w:color w:val="auto"/>
                <w:kern w:val="2"/>
                <w:sz w:val="21"/>
                <w:szCs w:val="21"/>
              </w:rPr>
              <w:t>，肉牛 0.017m</w:t>
            </w:r>
            <w:r>
              <w:rPr>
                <w:rFonts w:hint="default" w:ascii="Times New Roman" w:hAnsi="Times New Roman" w:eastAsia="宋体" w:cs="Times New Roman"/>
                <w:snapToGrid w:val="0"/>
                <w:color w:val="auto"/>
                <w:kern w:val="2"/>
                <w:sz w:val="21"/>
                <w:szCs w:val="21"/>
                <w:vertAlign w:val="superscript"/>
              </w:rPr>
              <w:t>3</w:t>
            </w:r>
            <w:r>
              <w:rPr>
                <w:rFonts w:hint="default" w:ascii="Times New Roman" w:hAnsi="Times New Roman" w:eastAsia="宋体" w:cs="Times New Roman"/>
                <w:snapToGrid w:val="0"/>
                <w:color w:val="auto"/>
                <w:kern w:val="2"/>
                <w:sz w:val="21"/>
                <w:szCs w:val="21"/>
              </w:rPr>
              <w:t>，家禽0.0002m</w:t>
            </w:r>
            <w:r>
              <w:rPr>
                <w:rFonts w:hint="default" w:ascii="Times New Roman" w:hAnsi="Times New Roman" w:eastAsia="宋体" w:cs="Times New Roman"/>
                <w:snapToGrid w:val="0"/>
                <w:color w:val="auto"/>
                <w:kern w:val="2"/>
                <w:sz w:val="21"/>
                <w:szCs w:val="21"/>
                <w:vertAlign w:val="superscript"/>
              </w:rPr>
              <w:t>3</w:t>
            </w:r>
            <w:r>
              <w:rPr>
                <w:rFonts w:hint="default" w:ascii="Times New Roman" w:hAnsi="Times New Roman" w:eastAsia="宋体" w:cs="Times New Roman"/>
                <w:snapToGrid w:val="0"/>
                <w:color w:val="auto"/>
                <w:kern w:val="2"/>
                <w:sz w:val="21"/>
                <w:szCs w:val="21"/>
              </w:rPr>
              <w:t>，具体可根据养殖场实际情况核定。</w:t>
            </w:r>
          </w:p>
        </w:tc>
        <w:tc>
          <w:tcPr>
            <w:tcW w:w="3334"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eastAsia" w:cs="Times New Roman"/>
                <w:snapToGrid w:val="0"/>
                <w:color w:val="auto"/>
                <w:szCs w:val="21"/>
                <w:lang w:val="en-US" w:eastAsia="zh-CN"/>
              </w:rPr>
              <w:t>本项目采用干清粪工艺收集牛粪后经刮粪板刮至粪池内，通过管道进去调节池，经泵抽入发酵床（日处理粪污203.25t），进行发酵处理，生成有机肥外售处理</w:t>
            </w:r>
          </w:p>
        </w:tc>
        <w:tc>
          <w:tcPr>
            <w:tcW w:w="617" w:type="dxa"/>
            <w:vAlign w:val="center"/>
          </w:tcPr>
          <w:p>
            <w:pPr>
              <w:keepNext w:val="0"/>
              <w:keepLines w:val="0"/>
              <w:suppressLineNumbers w:val="0"/>
              <w:spacing w:before="0" w:beforeAutospacing="0" w:after="0" w:afterAutospacing="0"/>
              <w:ind w:left="-42" w:leftChars="-20" w:right="-42" w:rightChars="-20"/>
              <w:rPr>
                <w:rFonts w:hint="default"/>
                <w:snapToGrid w:val="0"/>
                <w:color w:val="auto"/>
                <w:szCs w:val="21"/>
              </w:rPr>
            </w:pPr>
            <w:r>
              <w:rPr>
                <w:rFonts w:hint="default"/>
                <w:snapToGrid w:val="0"/>
                <w:color w:val="auto"/>
                <w:szCs w:val="21"/>
              </w:rPr>
              <w:t>符合</w:t>
            </w:r>
          </w:p>
        </w:tc>
      </w:tr>
    </w:tbl>
    <w:p>
      <w:pPr>
        <w:spacing w:before="120" w:beforeLines="50" w:line="360" w:lineRule="auto"/>
        <w:ind w:firstLine="482"/>
        <w:rPr>
          <w:color w:val="auto"/>
          <w:sz w:val="24"/>
        </w:rPr>
      </w:pPr>
      <w:r>
        <w:rPr>
          <w:color w:val="auto"/>
          <w:sz w:val="24"/>
        </w:rPr>
        <w:t>由表</w:t>
      </w:r>
      <w:r>
        <w:rPr>
          <w:rFonts w:hint="eastAsia"/>
          <w:color w:val="auto"/>
          <w:sz w:val="24"/>
          <w:lang w:val="en-US" w:eastAsia="zh-CN"/>
        </w:rPr>
        <w:t>2</w:t>
      </w:r>
      <w:r>
        <w:rPr>
          <w:rFonts w:hint="eastAsia"/>
          <w:color w:val="auto"/>
          <w:sz w:val="24"/>
        </w:rPr>
        <w:t>.6</w:t>
      </w:r>
      <w:r>
        <w:rPr>
          <w:color w:val="auto"/>
          <w:sz w:val="24"/>
        </w:rPr>
        <w:t>-</w:t>
      </w:r>
      <w:r>
        <w:rPr>
          <w:rFonts w:hint="eastAsia"/>
          <w:color w:val="auto"/>
          <w:sz w:val="24"/>
          <w:lang w:val="en-US" w:eastAsia="zh-CN"/>
        </w:rPr>
        <w:t>9</w:t>
      </w:r>
      <w:r>
        <w:rPr>
          <w:color w:val="auto"/>
          <w:sz w:val="24"/>
        </w:rPr>
        <w:t>可知，项目粪污资源化利用设施符合《畜禽规模养殖场粪污资源化利用设施建设规范（试行）》选址要求。</w:t>
      </w:r>
    </w:p>
    <w:p>
      <w:pPr>
        <w:spacing w:line="360" w:lineRule="auto"/>
        <w:ind w:firstLine="482" w:firstLineChars="200"/>
        <w:rPr>
          <w:b/>
          <w:color w:val="auto"/>
          <w:sz w:val="24"/>
        </w:rPr>
      </w:pPr>
      <w:r>
        <w:rPr>
          <w:b/>
          <w:color w:val="auto"/>
          <w:sz w:val="24"/>
        </w:rPr>
        <w:t>（1</w:t>
      </w:r>
      <w:r>
        <w:rPr>
          <w:rFonts w:hint="eastAsia"/>
          <w:b/>
          <w:color w:val="auto"/>
          <w:sz w:val="24"/>
          <w:lang w:val="en-US" w:eastAsia="zh-CN"/>
        </w:rPr>
        <w:t>2</w:t>
      </w:r>
      <w:r>
        <w:rPr>
          <w:b/>
          <w:color w:val="auto"/>
          <w:sz w:val="24"/>
        </w:rPr>
        <w:t>）</w:t>
      </w:r>
      <w:r>
        <w:rPr>
          <w:rFonts w:hint="eastAsia"/>
          <w:b/>
          <w:color w:val="auto"/>
          <w:sz w:val="24"/>
        </w:rPr>
        <w:t>与《长江经济带发展负面清单指南（试行，2022年版）》的符合性分析</w:t>
      </w:r>
    </w:p>
    <w:p>
      <w:pPr>
        <w:spacing w:before="120" w:beforeLines="50" w:line="360" w:lineRule="auto"/>
        <w:ind w:firstLine="482"/>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本项目与《长江经济带发展负面清单指南（试行，2022年版）》</w:t>
      </w:r>
      <w:r>
        <w:rPr>
          <w:rFonts w:hint="eastAsia" w:ascii="Times New Roman" w:hAnsi="Times New Roman" w:eastAsia="宋体" w:cs="Times New Roman"/>
          <w:color w:val="auto"/>
          <w:sz w:val="24"/>
          <w:lang w:val="en-US" w:eastAsia="zh-CN"/>
        </w:rPr>
        <w:t>的</w:t>
      </w:r>
      <w:r>
        <w:rPr>
          <w:rFonts w:hint="eastAsia" w:ascii="Times New Roman" w:hAnsi="Times New Roman" w:eastAsia="宋体" w:cs="Times New Roman"/>
          <w:color w:val="auto"/>
          <w:sz w:val="24"/>
        </w:rPr>
        <w:t>符合性</w:t>
      </w:r>
      <w:r>
        <w:rPr>
          <w:rFonts w:hint="eastAsia" w:ascii="Times New Roman" w:hAnsi="Times New Roman" w:eastAsia="宋体" w:cs="Times New Roman"/>
          <w:color w:val="auto"/>
          <w:sz w:val="24"/>
          <w:lang w:val="en-US" w:eastAsia="zh-CN"/>
        </w:rPr>
        <w:t>见下表</w:t>
      </w:r>
      <w:r>
        <w:rPr>
          <w:rFonts w:hint="eastAsia" w:ascii="Times New Roman" w:hAnsi="Times New Roman" w:eastAsia="宋体" w:cs="Times New Roman"/>
          <w:color w:val="auto"/>
          <w:sz w:val="24"/>
        </w:rPr>
        <w:t>：</w:t>
      </w:r>
    </w:p>
    <w:p>
      <w:pPr>
        <w:spacing w:line="240" w:lineRule="auto"/>
        <w:ind w:left="0" w:leftChars="0" w:firstLine="0" w:firstLineChars="0"/>
        <w:jc w:val="center"/>
        <w:rPr>
          <w:b/>
          <w:color w:val="auto"/>
          <w:sz w:val="21"/>
          <w:szCs w:val="21"/>
        </w:rPr>
      </w:pPr>
      <w:r>
        <w:rPr>
          <w:rFonts w:hint="eastAsia"/>
          <w:b/>
          <w:color w:val="auto"/>
          <w:sz w:val="21"/>
          <w:szCs w:val="21"/>
        </w:rPr>
        <w:t>表</w:t>
      </w:r>
      <w:r>
        <w:rPr>
          <w:rFonts w:hint="eastAsia"/>
          <w:b/>
          <w:color w:val="auto"/>
          <w:sz w:val="21"/>
          <w:szCs w:val="21"/>
          <w:lang w:val="en-US" w:eastAsia="zh-CN"/>
        </w:rPr>
        <w:t>2.6</w:t>
      </w:r>
      <w:r>
        <w:rPr>
          <w:rFonts w:hint="eastAsia"/>
          <w:b/>
          <w:color w:val="auto"/>
          <w:sz w:val="21"/>
          <w:szCs w:val="21"/>
        </w:rPr>
        <w:t>-</w:t>
      </w:r>
      <w:r>
        <w:rPr>
          <w:rFonts w:hint="eastAsia"/>
          <w:b/>
          <w:color w:val="auto"/>
          <w:sz w:val="21"/>
          <w:szCs w:val="21"/>
          <w:lang w:val="en-US" w:eastAsia="zh-CN"/>
        </w:rPr>
        <w:t>10</w:t>
      </w:r>
      <w:r>
        <w:rPr>
          <w:rFonts w:hint="eastAsia"/>
          <w:b/>
          <w:color w:val="auto"/>
          <w:sz w:val="21"/>
          <w:szCs w:val="21"/>
        </w:rPr>
        <w:t xml:space="preserve"> 本项目与《长江经济带发展负面清单指南（试行，2022年版）》的符合性分析</w:t>
      </w:r>
    </w:p>
    <w:tbl>
      <w:tblPr>
        <w:tblStyle w:val="89"/>
        <w:tblW w:w="867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69"/>
        <w:gridCol w:w="4077"/>
        <w:gridCol w:w="3584"/>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6"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default"/>
                <w:color w:val="auto"/>
                <w:sz w:val="21"/>
                <w:szCs w:val="21"/>
                <w:shd w:val="clear" w:color="auto" w:fill="FFFFFF"/>
              </w:rPr>
              <w:t>序号</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eastAsia="宋体"/>
                <w:color w:val="auto"/>
                <w:sz w:val="21"/>
                <w:szCs w:val="21"/>
                <w:shd w:val="clear" w:color="auto" w:fill="FFFFFF"/>
                <w:lang w:val="en-US" w:eastAsia="zh-CN"/>
              </w:rPr>
            </w:pPr>
            <w:r>
              <w:rPr>
                <w:rFonts w:hint="eastAsia"/>
                <w:color w:val="auto"/>
                <w:sz w:val="21"/>
                <w:szCs w:val="21"/>
                <w:shd w:val="clear" w:color="auto" w:fill="FFFFFF"/>
              </w:rPr>
              <w:t>长江经济带发展负面清单指南</w:t>
            </w:r>
            <w:r>
              <w:rPr>
                <w:rFonts w:hint="eastAsia"/>
                <w:color w:val="auto"/>
                <w:sz w:val="21"/>
                <w:szCs w:val="21"/>
                <w:shd w:val="clear" w:color="auto" w:fill="FFFFFF"/>
                <w:lang w:val="en-US" w:eastAsia="zh-CN"/>
              </w:rPr>
              <w:t>内容</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default"/>
                <w:color w:val="auto"/>
                <w:sz w:val="21"/>
                <w:szCs w:val="21"/>
                <w:shd w:val="clear" w:color="auto" w:fill="FFFFFF"/>
              </w:rPr>
              <w:t>本项目</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default"/>
                <w:color w:val="auto"/>
                <w:sz w:val="21"/>
                <w:szCs w:val="21"/>
                <w:shd w:val="clear" w:color="auto" w:fill="FFFFFF"/>
              </w:rPr>
              <w:t>符合</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default"/>
                <w:color w:val="auto"/>
                <w:sz w:val="21"/>
                <w:szCs w:val="21"/>
                <w:shd w:val="clear" w:color="auto" w:fill="FFFFFF"/>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6"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default"/>
                <w:color w:val="auto"/>
                <w:sz w:val="21"/>
                <w:szCs w:val="21"/>
                <w:shd w:val="clear" w:color="auto" w:fill="FFFFFF"/>
              </w:rPr>
              <w:t>1</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eastAsia"/>
                <w:color w:val="auto"/>
                <w:sz w:val="21"/>
                <w:szCs w:val="21"/>
                <w:shd w:val="clear" w:color="auto" w:fill="FFFFFF"/>
              </w:rPr>
              <w:t>禁止建设不符合全国和省级港口布局规划以及港口总体规划的码头项目，禁止建设不符合《长江干线过江通道布局规划》的过长江通道项目。</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shd w:val="clear" w:color="auto" w:fill="FFFFFF"/>
                <w:lang w:val="en-US" w:eastAsia="zh-CN"/>
              </w:rPr>
            </w:pPr>
            <w:r>
              <w:rPr>
                <w:rFonts w:hint="eastAsia" w:ascii="Times New Roman" w:eastAsia="宋体" w:cs="Times New Roman"/>
                <w:color w:val="auto"/>
                <w:sz w:val="21"/>
                <w:szCs w:val="21"/>
              </w:rPr>
              <w:t>本项目属于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kern w:val="2"/>
                <w:sz w:val="21"/>
                <w:szCs w:val="21"/>
              </w:rPr>
              <w:t>，不属于</w:t>
            </w:r>
            <w:r>
              <w:rPr>
                <w:rFonts w:hint="eastAsia" w:ascii="Times New Roman" w:eastAsia="宋体" w:cs="Times New Roman"/>
                <w:color w:val="auto"/>
                <w:kern w:val="2"/>
                <w:sz w:val="21"/>
                <w:szCs w:val="21"/>
                <w:lang w:val="en-US" w:eastAsia="zh-CN"/>
              </w:rPr>
              <w:t>码头项目</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eastAsia"/>
                <w:color w:val="auto"/>
                <w:sz w:val="21"/>
                <w:szCs w:val="21"/>
                <w:shd w:val="clear" w:color="auto" w:fill="FFFF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52"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default"/>
                <w:color w:val="auto"/>
                <w:sz w:val="21"/>
                <w:szCs w:val="21"/>
                <w:shd w:val="clear" w:color="auto" w:fill="FFFFFF"/>
              </w:rPr>
              <w:t>2</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eastAsia"/>
                <w:color w:val="auto"/>
                <w:sz w:val="21"/>
                <w:szCs w:val="21"/>
                <w:shd w:val="clear" w:color="auto" w:fill="FFFFFF"/>
              </w:rPr>
              <w:t>禁止在自然保护区核心区、缓冲区的岸线和河段范围内投资建设旅游和生产经营项目。禁止在风景名胜区核心景区的岸线和河段范围内投资建设与风景名胜资源保护无关的项目。</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eastAsia="宋体"/>
                <w:color w:val="auto"/>
                <w:sz w:val="21"/>
                <w:szCs w:val="21"/>
                <w:shd w:val="clear" w:color="auto" w:fill="FFFFFF"/>
                <w:lang w:val="en-US" w:eastAsia="zh-CN"/>
              </w:rPr>
            </w:pPr>
            <w:r>
              <w:rPr>
                <w:rFonts w:hint="eastAsia" w:ascii="Times New Roman" w:eastAsia="宋体" w:cs="Times New Roman"/>
                <w:color w:val="auto"/>
                <w:sz w:val="21"/>
                <w:szCs w:val="21"/>
              </w:rPr>
              <w:t>本项目</w:t>
            </w:r>
            <w:r>
              <w:rPr>
                <w:rFonts w:hint="eastAsia" w:ascii="Times New Roman" w:eastAsia="宋体" w:cs="Times New Roman"/>
                <w:color w:val="auto"/>
                <w:sz w:val="21"/>
                <w:szCs w:val="21"/>
                <w:lang w:val="en-US" w:eastAsia="zh-CN"/>
              </w:rPr>
              <w:t>位于</w:t>
            </w:r>
            <w:r>
              <w:rPr>
                <w:rFonts w:hint="eastAsia" w:ascii="Times New Roman"/>
                <w:color w:val="auto"/>
              </w:rPr>
              <w:t>恩阳区群乐镇坳盘村2组</w:t>
            </w:r>
            <w:r>
              <w:rPr>
                <w:rFonts w:hint="eastAsia" w:ascii="Times New Roman" w:eastAsia="宋体" w:cs="Times New Roman"/>
                <w:color w:val="auto"/>
                <w:sz w:val="21"/>
                <w:szCs w:val="21"/>
                <w:lang w:val="en-US" w:eastAsia="zh-CN"/>
              </w:rPr>
              <w:t>，不涉及</w:t>
            </w:r>
            <w:r>
              <w:rPr>
                <w:rFonts w:hint="eastAsia"/>
                <w:color w:val="auto"/>
                <w:sz w:val="21"/>
                <w:szCs w:val="21"/>
                <w:shd w:val="clear" w:color="auto" w:fill="FFFFFF"/>
              </w:rPr>
              <w:t>自然保护区</w:t>
            </w:r>
            <w:r>
              <w:rPr>
                <w:rFonts w:hint="eastAsia"/>
                <w:color w:val="auto"/>
                <w:sz w:val="21"/>
                <w:szCs w:val="21"/>
                <w:shd w:val="clear" w:color="auto" w:fill="FFFFFF"/>
                <w:lang w:eastAsia="zh-CN"/>
              </w:rPr>
              <w:t>、</w:t>
            </w:r>
            <w:r>
              <w:rPr>
                <w:rFonts w:hint="eastAsia"/>
                <w:color w:val="auto"/>
                <w:sz w:val="21"/>
                <w:szCs w:val="21"/>
                <w:shd w:val="clear" w:color="auto" w:fill="FFFFFF"/>
              </w:rPr>
              <w:t>风景名胜区</w:t>
            </w:r>
            <w:r>
              <w:rPr>
                <w:rFonts w:hint="eastAsia"/>
                <w:color w:val="auto"/>
                <w:sz w:val="21"/>
                <w:szCs w:val="21"/>
                <w:shd w:val="clear" w:color="auto" w:fill="FFFFFF"/>
                <w:lang w:val="en-US" w:eastAsia="zh-CN"/>
              </w:rPr>
              <w:t>等。</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58"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default"/>
                <w:color w:val="auto"/>
                <w:sz w:val="21"/>
                <w:szCs w:val="21"/>
                <w:shd w:val="clear" w:color="auto" w:fill="FFFFFF"/>
              </w:rPr>
              <w:t>3</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eastAsia"/>
                <w:color w:val="auto"/>
                <w:sz w:val="21"/>
                <w:szCs w:val="21"/>
                <w:shd w:val="clear" w:color="auto" w:fill="FFFFFF"/>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eastAsia="宋体"/>
                <w:color w:val="auto"/>
                <w:sz w:val="21"/>
                <w:szCs w:val="21"/>
                <w:shd w:val="clear" w:color="auto" w:fill="FFFFFF"/>
                <w:lang w:eastAsia="zh-CN"/>
              </w:rPr>
            </w:pPr>
            <w:r>
              <w:rPr>
                <w:rFonts w:hint="eastAsia" w:ascii="Times New Roman" w:eastAsia="宋体" w:cs="Times New Roman"/>
                <w:color w:val="auto"/>
                <w:sz w:val="21"/>
                <w:szCs w:val="21"/>
              </w:rPr>
              <w:t>本项目</w:t>
            </w:r>
            <w:r>
              <w:rPr>
                <w:rFonts w:hint="eastAsia" w:ascii="Times New Roman" w:eastAsia="宋体" w:cs="Times New Roman"/>
                <w:color w:val="auto"/>
                <w:sz w:val="21"/>
                <w:szCs w:val="21"/>
                <w:lang w:val="en-US" w:eastAsia="zh-CN"/>
              </w:rPr>
              <w:t>位于</w:t>
            </w:r>
            <w:r>
              <w:rPr>
                <w:rFonts w:hint="eastAsia" w:ascii="Times New Roman"/>
                <w:color w:val="auto"/>
              </w:rPr>
              <w:t>恩阳区群乐镇坳盘村2组</w:t>
            </w:r>
            <w:r>
              <w:rPr>
                <w:rFonts w:hint="eastAsia" w:ascii="Times New Roman" w:eastAsia="宋体" w:cs="Times New Roman"/>
                <w:color w:val="auto"/>
                <w:sz w:val="21"/>
                <w:szCs w:val="21"/>
                <w:lang w:val="en-US" w:eastAsia="zh-CN"/>
              </w:rPr>
              <w:t>，属于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sz w:val="21"/>
                <w:szCs w:val="21"/>
                <w:lang w:val="en-US" w:eastAsia="zh-CN"/>
              </w:rPr>
              <w:t>，不涉及</w:t>
            </w:r>
            <w:r>
              <w:rPr>
                <w:rFonts w:hint="eastAsia"/>
                <w:color w:val="auto"/>
                <w:sz w:val="21"/>
                <w:szCs w:val="21"/>
                <w:shd w:val="clear" w:color="auto" w:fill="FFFFFF"/>
              </w:rPr>
              <w:t>饮用水水源一级保护区</w:t>
            </w:r>
            <w:r>
              <w:rPr>
                <w:rFonts w:hint="eastAsia"/>
                <w:color w:val="auto"/>
                <w:sz w:val="21"/>
                <w:szCs w:val="21"/>
                <w:shd w:val="clear" w:color="auto" w:fill="FFFFFF"/>
                <w:lang w:eastAsia="zh-CN"/>
              </w:rPr>
              <w:t>、</w:t>
            </w:r>
            <w:r>
              <w:rPr>
                <w:rFonts w:hint="eastAsia"/>
                <w:color w:val="auto"/>
                <w:sz w:val="21"/>
                <w:szCs w:val="21"/>
                <w:shd w:val="clear" w:color="auto" w:fill="FFFFFF"/>
              </w:rPr>
              <w:t>水源二级保护区</w:t>
            </w:r>
            <w:r>
              <w:rPr>
                <w:rFonts w:hint="eastAsia"/>
                <w:color w:val="auto"/>
                <w:sz w:val="21"/>
                <w:szCs w:val="21"/>
                <w:shd w:val="clear" w:color="auto" w:fill="FFFFFF"/>
                <w:lang w:eastAsia="zh-CN"/>
              </w:rPr>
              <w:t>。</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21"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eastAsia="宋体"/>
                <w:color w:val="auto"/>
                <w:sz w:val="21"/>
                <w:szCs w:val="21"/>
                <w:shd w:val="clear" w:color="auto" w:fill="FFFFFF"/>
                <w:lang w:val="en-US" w:eastAsia="zh-CN"/>
              </w:rPr>
            </w:pPr>
            <w:r>
              <w:rPr>
                <w:rFonts w:hint="eastAsia"/>
                <w:color w:val="auto"/>
                <w:sz w:val="21"/>
                <w:szCs w:val="21"/>
                <w:shd w:val="clear" w:color="auto" w:fill="FFFFFF"/>
                <w:lang w:val="en-US" w:eastAsia="zh-CN"/>
              </w:rPr>
              <w:t>4</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eastAsia"/>
                <w:color w:val="auto"/>
                <w:sz w:val="21"/>
                <w:szCs w:val="21"/>
                <w:shd w:val="clear" w:color="auto" w:fill="FFFFFF"/>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eastAsia" w:ascii="Times New Roman" w:eastAsia="宋体" w:cs="Times New Roman"/>
                <w:color w:val="auto"/>
                <w:sz w:val="21"/>
                <w:szCs w:val="21"/>
              </w:rPr>
              <w:t>本项目</w:t>
            </w:r>
            <w:r>
              <w:rPr>
                <w:rFonts w:hint="eastAsia" w:ascii="Times New Roman" w:eastAsia="宋体" w:cs="Times New Roman"/>
                <w:color w:val="auto"/>
                <w:sz w:val="21"/>
                <w:szCs w:val="21"/>
                <w:lang w:val="en-US" w:eastAsia="zh-CN"/>
              </w:rPr>
              <w:t>位于</w:t>
            </w:r>
            <w:r>
              <w:rPr>
                <w:rFonts w:hint="eastAsia" w:ascii="Times New Roman"/>
                <w:color w:val="auto"/>
              </w:rPr>
              <w:t>恩阳区群乐镇坳盘村2组</w:t>
            </w:r>
            <w:r>
              <w:rPr>
                <w:rFonts w:hint="eastAsia" w:ascii="Times New Roman" w:eastAsia="宋体" w:cs="Times New Roman"/>
                <w:color w:val="auto"/>
                <w:sz w:val="21"/>
                <w:szCs w:val="21"/>
                <w:lang w:val="en-US" w:eastAsia="zh-CN"/>
              </w:rPr>
              <w:t>，属于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sz w:val="21"/>
                <w:szCs w:val="21"/>
                <w:lang w:val="en-US" w:eastAsia="zh-CN"/>
              </w:rPr>
              <w:t>，不涉及</w:t>
            </w:r>
            <w:r>
              <w:rPr>
                <w:rFonts w:hint="eastAsia"/>
                <w:color w:val="auto"/>
                <w:sz w:val="21"/>
                <w:szCs w:val="21"/>
                <w:shd w:val="clear" w:color="auto" w:fill="FFFFFF"/>
              </w:rPr>
              <w:t>水产种质资源保护区</w:t>
            </w:r>
            <w:r>
              <w:rPr>
                <w:rFonts w:hint="eastAsia"/>
                <w:color w:val="auto"/>
                <w:sz w:val="21"/>
                <w:szCs w:val="21"/>
                <w:shd w:val="clear" w:color="auto" w:fill="FFFFFF"/>
                <w:lang w:eastAsia="zh-CN"/>
              </w:rPr>
              <w:t>，</w:t>
            </w:r>
            <w:r>
              <w:rPr>
                <w:rFonts w:hint="eastAsia"/>
                <w:color w:val="auto"/>
                <w:sz w:val="21"/>
                <w:szCs w:val="21"/>
                <w:shd w:val="clear" w:color="auto" w:fill="FFFFFF"/>
                <w:lang w:val="en-US" w:eastAsia="zh-CN"/>
              </w:rPr>
              <w:t>不在</w:t>
            </w:r>
            <w:r>
              <w:rPr>
                <w:rFonts w:hint="eastAsia"/>
                <w:color w:val="auto"/>
                <w:sz w:val="21"/>
                <w:szCs w:val="21"/>
                <w:shd w:val="clear" w:color="auto" w:fill="FFFFFF"/>
              </w:rPr>
              <w:t>国家湿地公园的岸线和河段范围</w:t>
            </w:r>
            <w:r>
              <w:rPr>
                <w:rFonts w:hint="eastAsia"/>
                <w:color w:val="auto"/>
                <w:sz w:val="21"/>
                <w:szCs w:val="21"/>
                <w:shd w:val="clear" w:color="auto" w:fill="FFFFFF"/>
                <w:lang w:eastAsia="zh-CN"/>
              </w:rPr>
              <w:t>。</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63"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lang w:val="en-US" w:eastAsia="zh-CN"/>
              </w:rPr>
            </w:pPr>
            <w:r>
              <w:rPr>
                <w:rFonts w:hint="eastAsia"/>
                <w:color w:val="auto"/>
                <w:sz w:val="21"/>
                <w:szCs w:val="21"/>
                <w:shd w:val="clear" w:color="auto" w:fill="FFFFFF"/>
                <w:lang w:val="en-US" w:eastAsia="zh-CN"/>
              </w:rPr>
              <w:t>5</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olor w:val="auto"/>
                <w:sz w:val="21"/>
                <w:szCs w:val="21"/>
                <w:shd w:val="clear" w:color="auto" w:fill="FFFFFF"/>
              </w:rPr>
            </w:pPr>
            <w:r>
              <w:rPr>
                <w:rFonts w:hint="eastAsia"/>
                <w:color w:val="auto"/>
                <w:sz w:val="21"/>
                <w:szCs w:val="21"/>
                <w:shd w:val="clear" w:color="auto" w:fill="FFFFFF"/>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eastAsia" w:ascii="Times New Roman" w:eastAsia="宋体" w:cs="Times New Roman"/>
                <w:color w:val="auto"/>
                <w:sz w:val="21"/>
                <w:szCs w:val="21"/>
              </w:rPr>
              <w:t>本项目</w:t>
            </w:r>
            <w:r>
              <w:rPr>
                <w:rFonts w:hint="eastAsia" w:ascii="Times New Roman" w:eastAsia="宋体" w:cs="Times New Roman"/>
                <w:color w:val="auto"/>
                <w:sz w:val="21"/>
                <w:szCs w:val="21"/>
                <w:lang w:val="en-US" w:eastAsia="zh-CN"/>
              </w:rPr>
              <w:t>位于</w:t>
            </w:r>
            <w:r>
              <w:rPr>
                <w:rFonts w:hint="eastAsia" w:ascii="Times New Roman"/>
                <w:color w:val="auto"/>
              </w:rPr>
              <w:t>恩阳区群乐镇坳盘村2组</w:t>
            </w:r>
            <w:r>
              <w:rPr>
                <w:rFonts w:hint="eastAsia" w:ascii="Times New Roman" w:eastAsia="宋体" w:cs="Times New Roman"/>
                <w:color w:val="auto"/>
                <w:sz w:val="21"/>
                <w:szCs w:val="21"/>
                <w:lang w:val="en-US" w:eastAsia="zh-CN"/>
              </w:rPr>
              <w:t>，属于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sz w:val="21"/>
                <w:szCs w:val="21"/>
                <w:lang w:val="en-US" w:eastAsia="zh-CN"/>
              </w:rPr>
              <w:t>，</w:t>
            </w:r>
            <w:r>
              <w:rPr>
                <w:rFonts w:hint="eastAsia"/>
                <w:color w:val="auto"/>
                <w:sz w:val="21"/>
                <w:szCs w:val="21"/>
                <w:shd w:val="clear" w:color="auto" w:fill="FFFFFF"/>
                <w:lang w:val="en-US" w:eastAsia="zh-CN"/>
              </w:rPr>
              <w:t>不在</w:t>
            </w:r>
            <w:r>
              <w:rPr>
                <w:rFonts w:hint="eastAsia"/>
                <w:color w:val="auto"/>
                <w:sz w:val="21"/>
                <w:szCs w:val="21"/>
                <w:shd w:val="clear" w:color="auto" w:fill="FFFFFF"/>
              </w:rPr>
              <w:t>长江流域河湖岸线岸线和河段范围</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84"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lang w:val="en-US" w:eastAsia="zh-CN"/>
              </w:rPr>
            </w:pPr>
            <w:r>
              <w:rPr>
                <w:rFonts w:hint="eastAsia"/>
                <w:color w:val="auto"/>
                <w:sz w:val="21"/>
                <w:szCs w:val="21"/>
                <w:shd w:val="clear" w:color="auto" w:fill="FFFFFF"/>
                <w:lang w:val="en-US" w:eastAsia="zh-CN"/>
              </w:rPr>
              <w:t>6</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olor w:val="auto"/>
                <w:sz w:val="21"/>
                <w:szCs w:val="21"/>
                <w:shd w:val="clear" w:color="auto" w:fill="FFFFFF"/>
              </w:rPr>
            </w:pPr>
            <w:r>
              <w:rPr>
                <w:rFonts w:hint="eastAsia"/>
                <w:color w:val="auto"/>
                <w:sz w:val="21"/>
                <w:szCs w:val="21"/>
                <w:shd w:val="clear" w:color="auto" w:fill="FFFFFF"/>
              </w:rPr>
              <w:t>禁止未经许可在长江干支流及湖泊新设、改设或扩大排污口。</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rPr>
            </w:pPr>
            <w:r>
              <w:rPr>
                <w:rFonts w:hint="eastAsia" w:ascii="Times New Roman" w:eastAsia="宋体" w:cs="Times New Roman"/>
                <w:color w:val="auto"/>
                <w:sz w:val="21"/>
                <w:szCs w:val="21"/>
              </w:rPr>
              <w:t>本项目</w:t>
            </w:r>
            <w:r>
              <w:rPr>
                <w:rFonts w:hint="eastAsia" w:ascii="Times New Roman" w:eastAsia="宋体" w:cs="Times New Roman"/>
                <w:color w:val="auto"/>
                <w:sz w:val="21"/>
                <w:szCs w:val="21"/>
                <w:lang w:val="en-US" w:eastAsia="zh-CN"/>
              </w:rPr>
              <w:t>位于</w:t>
            </w:r>
            <w:r>
              <w:rPr>
                <w:rFonts w:hint="eastAsia" w:ascii="Times New Roman"/>
                <w:color w:val="auto"/>
              </w:rPr>
              <w:t>恩阳区群乐镇坳盘村2组</w:t>
            </w:r>
            <w:r>
              <w:rPr>
                <w:rFonts w:hint="eastAsia" w:ascii="Times New Roman" w:eastAsia="宋体" w:cs="Times New Roman"/>
                <w:color w:val="auto"/>
                <w:sz w:val="21"/>
                <w:szCs w:val="21"/>
                <w:lang w:val="en-US" w:eastAsia="zh-CN"/>
              </w:rPr>
              <w:t>，属于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sz w:val="21"/>
                <w:szCs w:val="21"/>
                <w:lang w:val="en-US" w:eastAsia="zh-CN"/>
              </w:rPr>
              <w:t>，</w:t>
            </w:r>
            <w:r>
              <w:rPr>
                <w:rFonts w:hint="eastAsia"/>
                <w:color w:val="auto"/>
                <w:sz w:val="21"/>
                <w:szCs w:val="21"/>
                <w:shd w:val="clear" w:color="auto" w:fill="FFFFFF"/>
                <w:lang w:val="en-US" w:eastAsia="zh-CN"/>
              </w:rPr>
              <w:t>不在</w:t>
            </w:r>
            <w:r>
              <w:rPr>
                <w:rFonts w:hint="eastAsia"/>
                <w:color w:val="auto"/>
                <w:sz w:val="21"/>
                <w:szCs w:val="21"/>
                <w:shd w:val="clear" w:color="auto" w:fill="FFFFFF"/>
              </w:rPr>
              <w:t>长江流域河湖岸线岸线和河段范围</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5"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lang w:val="en-US" w:eastAsia="zh-CN"/>
              </w:rPr>
            </w:pPr>
            <w:r>
              <w:rPr>
                <w:rFonts w:hint="eastAsia"/>
                <w:color w:val="auto"/>
                <w:sz w:val="21"/>
                <w:szCs w:val="21"/>
                <w:shd w:val="clear" w:color="auto" w:fill="FFFFFF"/>
                <w:lang w:val="en-US" w:eastAsia="zh-CN"/>
              </w:rPr>
              <w:t>7</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olor w:val="auto"/>
                <w:sz w:val="21"/>
                <w:szCs w:val="21"/>
                <w:shd w:val="clear" w:color="auto" w:fill="FFFFFF"/>
              </w:rPr>
            </w:pPr>
            <w:r>
              <w:rPr>
                <w:rFonts w:hint="eastAsia"/>
                <w:color w:val="auto"/>
                <w:sz w:val="21"/>
                <w:szCs w:val="21"/>
                <w:shd w:val="clear" w:color="auto" w:fill="FFFFFF"/>
              </w:rPr>
              <w:t>禁止在“一江一口两湖七河”和332个水生生物保护区开展生产性捕捞。</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olor w:val="auto"/>
                <w:sz w:val="21"/>
                <w:szCs w:val="21"/>
                <w:shd w:val="clear" w:color="auto" w:fill="FFFFFF"/>
              </w:rPr>
            </w:pP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eastAsia="宋体"/>
                <w:color w:val="auto"/>
                <w:sz w:val="21"/>
                <w:szCs w:val="21"/>
                <w:shd w:val="clear" w:color="auto" w:fill="FFFFFF"/>
                <w:lang w:val="en-US" w:eastAsia="zh-CN"/>
              </w:rPr>
            </w:pPr>
            <w:r>
              <w:rPr>
                <w:rFonts w:hint="eastAsia" w:ascii="Times New Roman" w:eastAsia="宋体" w:cs="Times New Roman"/>
                <w:color w:val="auto"/>
                <w:sz w:val="21"/>
                <w:szCs w:val="21"/>
              </w:rPr>
              <w:t>本项目</w:t>
            </w:r>
            <w:r>
              <w:rPr>
                <w:rFonts w:hint="eastAsia" w:ascii="Times New Roman" w:eastAsia="宋体" w:cs="Times New Roman"/>
                <w:color w:val="auto"/>
                <w:sz w:val="21"/>
                <w:szCs w:val="21"/>
                <w:lang w:val="en-US" w:eastAsia="zh-CN"/>
              </w:rPr>
              <w:t>不涉及</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90"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lang w:val="en-US" w:eastAsia="zh-CN"/>
              </w:rPr>
            </w:pPr>
            <w:r>
              <w:rPr>
                <w:rFonts w:hint="eastAsia"/>
                <w:color w:val="auto"/>
                <w:sz w:val="21"/>
                <w:szCs w:val="21"/>
                <w:shd w:val="clear" w:color="auto" w:fill="FFFFFF"/>
                <w:lang w:val="en-US" w:eastAsia="zh-CN"/>
              </w:rPr>
              <w:t>8</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olor w:val="auto"/>
                <w:sz w:val="21"/>
                <w:szCs w:val="21"/>
                <w:shd w:val="clear" w:color="auto" w:fill="FFFFFF"/>
              </w:rPr>
            </w:pPr>
            <w:r>
              <w:rPr>
                <w:rFonts w:hint="eastAsia"/>
                <w:color w:val="auto"/>
                <w:sz w:val="21"/>
                <w:szCs w:val="21"/>
                <w:shd w:val="clear" w:color="auto" w:fill="FFFFFF"/>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shd w:val="clear" w:color="auto" w:fill="FFFFFF"/>
                <w:lang w:val="en-US" w:eastAsia="zh-CN"/>
              </w:rPr>
            </w:pPr>
            <w:r>
              <w:rPr>
                <w:rFonts w:hint="eastAsia" w:ascii="Times New Roman" w:eastAsia="宋体" w:cs="Times New Roman"/>
                <w:color w:val="auto"/>
                <w:sz w:val="21"/>
                <w:szCs w:val="21"/>
              </w:rPr>
              <w:t>本项目</w:t>
            </w:r>
            <w:r>
              <w:rPr>
                <w:rFonts w:hint="eastAsia" w:ascii="Times New Roman" w:eastAsia="宋体" w:cs="Times New Roman"/>
                <w:color w:val="auto"/>
                <w:sz w:val="21"/>
                <w:szCs w:val="21"/>
                <w:lang w:val="en-US" w:eastAsia="zh-CN"/>
              </w:rPr>
              <w:t>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sz w:val="21"/>
                <w:szCs w:val="21"/>
                <w:lang w:eastAsia="zh-CN"/>
              </w:rPr>
              <w:t>，</w:t>
            </w:r>
            <w:r>
              <w:rPr>
                <w:rFonts w:hint="eastAsia" w:ascii="Times New Roman" w:eastAsia="宋体" w:cs="Times New Roman"/>
                <w:color w:val="auto"/>
                <w:sz w:val="21"/>
                <w:szCs w:val="21"/>
                <w:lang w:val="en-US" w:eastAsia="zh-CN"/>
              </w:rPr>
              <w:t>不属于</w:t>
            </w:r>
            <w:r>
              <w:rPr>
                <w:rFonts w:hint="eastAsia"/>
                <w:color w:val="auto"/>
                <w:sz w:val="21"/>
                <w:szCs w:val="21"/>
                <w:shd w:val="clear" w:color="auto" w:fill="FFFFFF"/>
              </w:rPr>
              <w:t>化工园区</w:t>
            </w:r>
            <w:r>
              <w:rPr>
                <w:rFonts w:hint="eastAsia"/>
                <w:color w:val="auto"/>
                <w:sz w:val="21"/>
                <w:szCs w:val="21"/>
                <w:shd w:val="clear" w:color="auto" w:fill="FFFFFF"/>
                <w:lang w:val="en-US" w:eastAsia="zh-CN"/>
              </w:rPr>
              <w:t>和</w:t>
            </w:r>
            <w:r>
              <w:rPr>
                <w:rFonts w:hint="eastAsia"/>
                <w:color w:val="auto"/>
                <w:sz w:val="21"/>
                <w:szCs w:val="21"/>
                <w:shd w:val="clear" w:color="auto" w:fill="FFFFFF"/>
              </w:rPr>
              <w:t>化工项目</w:t>
            </w:r>
            <w:r>
              <w:rPr>
                <w:rFonts w:hint="eastAsia"/>
                <w:color w:val="auto"/>
                <w:sz w:val="21"/>
                <w:szCs w:val="21"/>
                <w:shd w:val="clear" w:color="auto" w:fill="FFFFFF"/>
                <w:lang w:eastAsia="zh-CN"/>
              </w:rPr>
              <w:t>、</w:t>
            </w:r>
            <w:r>
              <w:rPr>
                <w:rFonts w:hint="eastAsia"/>
                <w:color w:val="auto"/>
                <w:sz w:val="21"/>
                <w:szCs w:val="21"/>
                <w:shd w:val="clear" w:color="auto" w:fill="FFFFFF"/>
              </w:rPr>
              <w:t>尾矿库、冶炼渣库和磷石膏库</w:t>
            </w:r>
            <w:r>
              <w:rPr>
                <w:rFonts w:hint="eastAsia"/>
                <w:color w:val="auto"/>
                <w:sz w:val="21"/>
                <w:szCs w:val="21"/>
                <w:shd w:val="clear" w:color="auto" w:fill="FFFFFF"/>
                <w:lang w:val="en-US" w:eastAsia="zh-CN"/>
              </w:rPr>
              <w:t>等项目</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52"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lang w:val="en-US" w:eastAsia="zh-CN"/>
              </w:rPr>
            </w:pPr>
            <w:r>
              <w:rPr>
                <w:rFonts w:hint="eastAsia"/>
                <w:color w:val="auto"/>
                <w:sz w:val="21"/>
                <w:szCs w:val="21"/>
                <w:shd w:val="clear" w:color="auto" w:fill="FFFFFF"/>
                <w:lang w:val="en-US" w:eastAsia="zh-CN"/>
              </w:rPr>
              <w:t>9</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olor w:val="auto"/>
                <w:sz w:val="21"/>
                <w:szCs w:val="21"/>
                <w:shd w:val="clear" w:color="auto" w:fill="FFFFFF"/>
              </w:rPr>
            </w:pPr>
            <w:r>
              <w:rPr>
                <w:rFonts w:hint="eastAsia"/>
                <w:color w:val="auto"/>
                <w:sz w:val="21"/>
                <w:szCs w:val="21"/>
                <w:shd w:val="clear" w:color="auto" w:fill="FFFFFF"/>
              </w:rPr>
              <w:t>禁止在合规园区外新建、扩建钢铁、石化、化工、焦化、建材、有色、制浆造纸等高污染项目</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shd w:val="clear" w:color="auto" w:fill="FFFFFF"/>
                <w:lang w:val="en-US" w:eastAsia="zh-CN"/>
              </w:rPr>
            </w:pPr>
            <w:r>
              <w:rPr>
                <w:rFonts w:hint="eastAsia" w:ascii="Times New Roman" w:eastAsia="宋体" w:cs="Times New Roman"/>
                <w:color w:val="auto"/>
                <w:sz w:val="21"/>
                <w:szCs w:val="21"/>
              </w:rPr>
              <w:t>本项目</w:t>
            </w:r>
            <w:r>
              <w:rPr>
                <w:rFonts w:hint="eastAsia" w:cs="Times New Roman"/>
                <w:color w:val="auto"/>
                <w:sz w:val="21"/>
                <w:szCs w:val="21"/>
                <w:lang w:val="en-US" w:eastAsia="zh-CN"/>
              </w:rPr>
              <w:t>位于</w:t>
            </w:r>
            <w:r>
              <w:rPr>
                <w:rFonts w:hint="eastAsia" w:ascii="Times New Roman"/>
                <w:color w:val="auto"/>
              </w:rPr>
              <w:t>恩阳区群乐镇坳盘村2组</w:t>
            </w:r>
            <w:r>
              <w:rPr>
                <w:rFonts w:hint="eastAsia" w:ascii="Times New Roman" w:eastAsia="宋体" w:cs="Times New Roman"/>
                <w:color w:val="auto"/>
                <w:sz w:val="21"/>
                <w:szCs w:val="21"/>
                <w:lang w:val="en-US" w:eastAsia="zh-CN"/>
              </w:rPr>
              <w:t>，属于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sz w:val="21"/>
                <w:szCs w:val="21"/>
                <w:lang w:val="en-US" w:eastAsia="zh-CN"/>
              </w:rPr>
              <w:t>，</w:t>
            </w:r>
            <w:r>
              <w:rPr>
                <w:rFonts w:hint="eastAsia"/>
                <w:color w:val="auto"/>
                <w:sz w:val="21"/>
                <w:szCs w:val="21"/>
                <w:shd w:val="clear" w:color="auto" w:fill="FFFFFF"/>
                <w:lang w:val="en-US" w:eastAsia="zh-CN"/>
              </w:rPr>
              <w:t>不属于</w:t>
            </w:r>
            <w:r>
              <w:rPr>
                <w:rFonts w:hint="eastAsia"/>
                <w:color w:val="auto"/>
                <w:sz w:val="21"/>
                <w:szCs w:val="21"/>
                <w:shd w:val="clear" w:color="auto" w:fill="FFFFFF"/>
              </w:rPr>
              <w:t>钢铁、石化、化工、焦化、建材、有色、制浆造纸</w:t>
            </w:r>
            <w:r>
              <w:rPr>
                <w:rFonts w:hint="eastAsia"/>
                <w:color w:val="auto"/>
                <w:sz w:val="21"/>
                <w:szCs w:val="21"/>
                <w:shd w:val="clear" w:color="auto" w:fill="FFFFFF"/>
                <w:lang w:val="en-US" w:eastAsia="zh-CN"/>
              </w:rPr>
              <w:t>等项目</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6"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lang w:val="en-US" w:eastAsia="zh-CN"/>
              </w:rPr>
            </w:pPr>
            <w:r>
              <w:rPr>
                <w:rFonts w:hint="eastAsia"/>
                <w:color w:val="auto"/>
                <w:sz w:val="21"/>
                <w:szCs w:val="21"/>
                <w:shd w:val="clear" w:color="auto" w:fill="FFFFFF"/>
                <w:lang w:val="en-US" w:eastAsia="zh-CN"/>
              </w:rPr>
              <w:t>10</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olor w:val="auto"/>
                <w:kern w:val="2"/>
                <w:sz w:val="21"/>
                <w:szCs w:val="21"/>
                <w:shd w:val="clear" w:color="auto" w:fill="FFFFFF"/>
                <w:lang w:val="en-US" w:eastAsia="zh-CN" w:bidi="ar-SA"/>
              </w:rPr>
            </w:pPr>
            <w:r>
              <w:rPr>
                <w:rFonts w:hint="eastAsia"/>
                <w:color w:val="auto"/>
                <w:sz w:val="21"/>
                <w:szCs w:val="21"/>
                <w:shd w:val="clear" w:color="auto" w:fill="FFFFFF"/>
              </w:rPr>
              <w:t>禁止新建、扩建不符合国家石化、现代煤化工等产业布局规划的项目</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eastAsia="宋体"/>
                <w:color w:val="auto"/>
                <w:sz w:val="21"/>
                <w:szCs w:val="21"/>
                <w:shd w:val="clear" w:color="auto" w:fill="FFFFFF"/>
                <w:lang w:val="en-US" w:eastAsia="zh-CN"/>
              </w:rPr>
            </w:pPr>
            <w:r>
              <w:rPr>
                <w:rFonts w:hint="eastAsia" w:ascii="Times New Roman" w:eastAsia="宋体" w:cs="Times New Roman"/>
                <w:color w:val="auto"/>
                <w:sz w:val="21"/>
                <w:szCs w:val="21"/>
              </w:rPr>
              <w:t>本项目</w:t>
            </w:r>
            <w:r>
              <w:rPr>
                <w:rFonts w:hint="eastAsia" w:ascii="Times New Roman" w:eastAsia="宋体" w:cs="Times New Roman"/>
                <w:color w:val="auto"/>
                <w:sz w:val="21"/>
                <w:szCs w:val="21"/>
                <w:lang w:val="en-US" w:eastAsia="zh-CN"/>
              </w:rPr>
              <w:t>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sz w:val="21"/>
                <w:szCs w:val="21"/>
                <w:lang w:eastAsia="zh-CN"/>
              </w:rPr>
              <w:t>，</w:t>
            </w:r>
            <w:r>
              <w:rPr>
                <w:rFonts w:hint="eastAsia" w:ascii="Times New Roman" w:eastAsia="宋体" w:cs="Times New Roman"/>
                <w:color w:val="auto"/>
                <w:sz w:val="21"/>
                <w:szCs w:val="21"/>
                <w:lang w:val="en-US" w:eastAsia="zh-CN"/>
              </w:rPr>
              <w:t>不属于</w:t>
            </w:r>
            <w:r>
              <w:rPr>
                <w:rFonts w:hint="eastAsia"/>
                <w:color w:val="auto"/>
                <w:sz w:val="21"/>
                <w:szCs w:val="21"/>
                <w:shd w:val="clear" w:color="auto" w:fill="FFFFFF"/>
              </w:rPr>
              <w:t>石化、现代煤化工</w:t>
            </w:r>
            <w:r>
              <w:rPr>
                <w:rFonts w:hint="eastAsia"/>
                <w:color w:val="auto"/>
                <w:sz w:val="21"/>
                <w:szCs w:val="21"/>
                <w:shd w:val="clear" w:color="auto" w:fill="FFFFFF"/>
                <w:lang w:val="en-US" w:eastAsia="zh-CN"/>
              </w:rPr>
              <w:t>产业。</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62" w:hRule="atLeast"/>
        </w:trPr>
        <w:tc>
          <w:tcPr>
            <w:tcW w:w="5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sz w:val="21"/>
                <w:szCs w:val="21"/>
                <w:shd w:val="clear" w:color="auto" w:fill="FFFFFF"/>
                <w:lang w:val="en-US" w:eastAsia="zh-CN"/>
              </w:rPr>
            </w:pPr>
            <w:r>
              <w:rPr>
                <w:rFonts w:hint="eastAsia"/>
                <w:color w:val="auto"/>
                <w:sz w:val="21"/>
                <w:szCs w:val="21"/>
                <w:shd w:val="clear" w:color="auto" w:fill="FFFFFF"/>
                <w:lang w:val="en-US" w:eastAsia="zh-CN"/>
              </w:rPr>
              <w:t>11</w:t>
            </w:r>
          </w:p>
        </w:tc>
        <w:tc>
          <w:tcPr>
            <w:tcW w:w="407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olor w:val="auto"/>
                <w:kern w:val="2"/>
                <w:sz w:val="21"/>
                <w:szCs w:val="21"/>
                <w:shd w:val="clear" w:color="auto" w:fill="FFFFFF"/>
                <w:lang w:val="en-US" w:eastAsia="zh-CN" w:bidi="ar-SA"/>
              </w:rPr>
            </w:pPr>
            <w:r>
              <w:rPr>
                <w:rFonts w:hint="eastAsia"/>
                <w:color w:val="auto"/>
                <w:sz w:val="21"/>
                <w:szCs w:val="21"/>
                <w:shd w:val="clear" w:color="auto" w:fill="FFFFFF"/>
              </w:rPr>
              <w:t>禁止新建、扩建法律法规和相关政策明令禁止的落后产能项目。禁止新建、扩建不符合国家产能置换要求的严重过剩产能行业的项目。禁止新建、扩建不符合要求的高耗能高排放项目。</w:t>
            </w:r>
          </w:p>
        </w:tc>
        <w:tc>
          <w:tcPr>
            <w:tcW w:w="3584"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eastAsia="宋体"/>
                <w:color w:val="auto"/>
                <w:sz w:val="21"/>
                <w:szCs w:val="21"/>
                <w:shd w:val="clear" w:color="auto" w:fill="FFFFFF"/>
                <w:lang w:val="en-US" w:eastAsia="zh-CN"/>
              </w:rPr>
            </w:pPr>
            <w:r>
              <w:rPr>
                <w:rFonts w:hint="eastAsia"/>
                <w:color w:val="auto"/>
                <w:sz w:val="21"/>
                <w:szCs w:val="21"/>
                <w:shd w:val="clear" w:color="auto" w:fill="FFFFFF"/>
                <w:lang w:val="en-US" w:eastAsia="zh-CN"/>
              </w:rPr>
              <w:t>本项目</w:t>
            </w:r>
            <w:r>
              <w:rPr>
                <w:rFonts w:hint="eastAsia" w:ascii="Times New Roman" w:eastAsia="宋体" w:cs="Times New Roman"/>
                <w:color w:val="auto"/>
                <w:sz w:val="21"/>
                <w:szCs w:val="21"/>
                <w:lang w:val="en-US" w:eastAsia="zh-CN"/>
              </w:rPr>
              <w:t>属于</w:t>
            </w:r>
            <w:r>
              <w:rPr>
                <w:rFonts w:hint="eastAsia" w:ascii="Times New Roman" w:cs="Times New Roman"/>
                <w:color w:val="auto"/>
                <w:sz w:val="21"/>
                <w:szCs w:val="21"/>
                <w:lang w:val="en-US" w:eastAsia="zh-CN"/>
              </w:rPr>
              <w:t>养牛场</w:t>
            </w:r>
            <w:r>
              <w:rPr>
                <w:rFonts w:hint="eastAsia" w:ascii="Times New Roman" w:eastAsia="宋体" w:cs="Times New Roman"/>
                <w:color w:val="auto"/>
                <w:sz w:val="21"/>
                <w:szCs w:val="21"/>
              </w:rPr>
              <w:t>项目</w:t>
            </w:r>
            <w:r>
              <w:rPr>
                <w:rFonts w:hint="eastAsia" w:ascii="Times New Roman" w:eastAsia="宋体" w:cs="Times New Roman"/>
                <w:color w:val="auto"/>
                <w:sz w:val="21"/>
                <w:szCs w:val="21"/>
                <w:lang w:eastAsia="zh-CN"/>
              </w:rPr>
              <w:t>，</w:t>
            </w:r>
            <w:r>
              <w:rPr>
                <w:rFonts w:hint="eastAsia" w:ascii="Times New Roman" w:eastAsia="宋体" w:cs="Times New Roman"/>
                <w:color w:val="auto"/>
                <w:sz w:val="21"/>
                <w:szCs w:val="21"/>
                <w:lang w:val="en-US" w:eastAsia="zh-CN"/>
              </w:rPr>
              <w:t>不属于落后产能项目、</w:t>
            </w:r>
            <w:r>
              <w:rPr>
                <w:rFonts w:hint="eastAsia"/>
                <w:color w:val="auto"/>
                <w:sz w:val="21"/>
                <w:szCs w:val="21"/>
                <w:shd w:val="clear" w:color="auto" w:fill="FFFFFF"/>
              </w:rPr>
              <w:t>严重过剩产能行业的项目</w:t>
            </w:r>
            <w:r>
              <w:rPr>
                <w:rFonts w:hint="eastAsia"/>
                <w:color w:val="auto"/>
                <w:sz w:val="21"/>
                <w:szCs w:val="21"/>
                <w:shd w:val="clear" w:color="auto" w:fill="FFFFFF"/>
                <w:lang w:eastAsia="zh-CN"/>
              </w:rPr>
              <w:t>、</w:t>
            </w:r>
            <w:r>
              <w:rPr>
                <w:rFonts w:hint="eastAsia"/>
                <w:color w:val="auto"/>
                <w:sz w:val="21"/>
                <w:szCs w:val="21"/>
                <w:shd w:val="clear" w:color="auto" w:fill="FFFFFF"/>
              </w:rPr>
              <w:t>高耗能高排放项目</w:t>
            </w:r>
          </w:p>
        </w:tc>
        <w:tc>
          <w:tcPr>
            <w:tcW w:w="447"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bl>
    <w:p>
      <w:pPr>
        <w:spacing w:line="360" w:lineRule="auto"/>
        <w:ind w:firstLine="482"/>
        <w:rPr>
          <w:b/>
          <w:color w:val="auto"/>
          <w:sz w:val="24"/>
        </w:rPr>
      </w:pPr>
      <w:r>
        <w:rPr>
          <w:b/>
          <w:color w:val="auto"/>
          <w:sz w:val="24"/>
        </w:rPr>
        <w:t>（1</w:t>
      </w:r>
      <w:r>
        <w:rPr>
          <w:rFonts w:hint="eastAsia"/>
          <w:b/>
          <w:color w:val="auto"/>
          <w:sz w:val="24"/>
          <w:lang w:val="en-US" w:eastAsia="zh-CN"/>
        </w:rPr>
        <w:t>3</w:t>
      </w:r>
      <w:r>
        <w:rPr>
          <w:b/>
          <w:color w:val="auto"/>
          <w:sz w:val="24"/>
        </w:rPr>
        <w:t>）项目 “三线一单”符合性分析</w:t>
      </w:r>
    </w:p>
    <w:p>
      <w:pPr>
        <w:adjustRightInd w:val="0"/>
        <w:snapToGrid w:val="0"/>
        <w:spacing w:line="360" w:lineRule="auto"/>
        <w:ind w:firstLine="422" w:firstLineChars="200"/>
        <w:rPr>
          <w:rFonts w:ascii="Times New Roman" w:hAnsi="Times New Roman" w:cs="Times New Roman"/>
          <w:b/>
          <w:bCs/>
          <w:caps w:val="0"/>
          <w:smallCaps w:val="0"/>
          <w:color w:val="auto"/>
          <w:spacing w:val="0"/>
          <w:position w:val="0"/>
        </w:rPr>
      </w:pPr>
      <w:r>
        <w:rPr>
          <w:rFonts w:hint="eastAsia" w:ascii="Times New Roman" w:hAnsi="Times New Roman" w:cs="Times New Roman"/>
          <w:b/>
          <w:bCs/>
          <w:caps w:val="0"/>
          <w:smallCaps w:val="0"/>
          <w:color w:val="auto"/>
          <w:spacing w:val="0"/>
          <w:position w:val="0"/>
        </w:rPr>
        <w:t>（1）生态保护红线</w:t>
      </w:r>
    </w:p>
    <w:p>
      <w:pPr>
        <w:adjustRightInd w:val="0"/>
        <w:snapToGrid w:val="0"/>
        <w:spacing w:line="360" w:lineRule="auto"/>
        <w:ind w:firstLine="480"/>
        <w:rPr>
          <w:rFonts w:hint="eastAsia" w:ascii="Times New Roman" w:hAnsi="Times New Roman" w:cs="Times New Roman"/>
          <w:caps w:val="0"/>
          <w:smallCaps w:val="0"/>
          <w:color w:val="auto"/>
          <w:spacing w:val="0"/>
          <w:position w:val="0"/>
          <w:sz w:val="24"/>
          <w:szCs w:val="32"/>
        </w:rPr>
      </w:pPr>
      <w:r>
        <w:rPr>
          <w:rFonts w:hint="eastAsia" w:ascii="Times New Roman" w:hAnsi="Times New Roman" w:cs="Times New Roman"/>
          <w:caps w:val="0"/>
          <w:smallCaps w:val="0"/>
          <w:color w:val="auto"/>
          <w:spacing w:val="0"/>
          <w:position w:val="0"/>
          <w:sz w:val="24"/>
          <w:szCs w:val="32"/>
        </w:rPr>
        <w:t>根据《长江经济带战略环境评价四川省巴中市“三线一单”生态环境分区管控优化完善研究报告》，巴中市生态保护红线面积1685.62km</w:t>
      </w:r>
      <w:r>
        <w:rPr>
          <w:rFonts w:hint="eastAsia" w:ascii="Times New Roman" w:hAnsi="Times New Roman" w:cs="Times New Roman"/>
          <w:caps w:val="0"/>
          <w:smallCaps w:val="0"/>
          <w:color w:val="auto"/>
          <w:spacing w:val="0"/>
          <w:position w:val="0"/>
          <w:sz w:val="24"/>
          <w:szCs w:val="32"/>
          <w:vertAlign w:val="superscript"/>
        </w:rPr>
        <w:t>2</w:t>
      </w:r>
      <w:r>
        <w:rPr>
          <w:rFonts w:hint="eastAsia" w:ascii="Times New Roman" w:hAnsi="Times New Roman" w:cs="Times New Roman"/>
          <w:caps w:val="0"/>
          <w:smallCaps w:val="0"/>
          <w:color w:val="auto"/>
          <w:spacing w:val="0"/>
          <w:position w:val="0"/>
          <w:sz w:val="24"/>
          <w:szCs w:val="32"/>
        </w:rPr>
        <w:t>，占巴中市国土面积比例的13.71%。本项目位于</w:t>
      </w:r>
      <w:r>
        <w:rPr>
          <w:rFonts w:hint="eastAsia" w:ascii="Times New Roman" w:hAnsi="Times New Roman"/>
          <w:color w:val="auto"/>
          <w:sz w:val="24"/>
          <w:szCs w:val="40"/>
          <w:lang w:val="en-US" w:eastAsia="zh-CN"/>
        </w:rPr>
        <w:t>四川省巴中市</w:t>
      </w:r>
      <w:r>
        <w:rPr>
          <w:rFonts w:hint="eastAsia"/>
          <w:color w:val="auto"/>
          <w:sz w:val="24"/>
          <w:szCs w:val="32"/>
          <w:lang w:eastAsia="zh-CN"/>
        </w:rPr>
        <w:t>恩阳区群乐镇坳盘村2组</w:t>
      </w:r>
      <w:r>
        <w:rPr>
          <w:rFonts w:hint="eastAsia" w:ascii="Times New Roman" w:hAnsi="Times New Roman" w:cs="Times New Roman"/>
          <w:caps w:val="0"/>
          <w:smallCaps w:val="0"/>
          <w:color w:val="auto"/>
          <w:spacing w:val="0"/>
          <w:position w:val="0"/>
          <w:sz w:val="24"/>
          <w:szCs w:val="32"/>
        </w:rPr>
        <w:t>，不涉及生态保护红线。</w:t>
      </w:r>
    </w:p>
    <w:p>
      <w:pPr>
        <w:adjustRightInd w:val="0"/>
        <w:snapToGrid w:val="0"/>
        <w:spacing w:line="360" w:lineRule="auto"/>
        <w:jc w:val="center"/>
        <w:rPr>
          <w:rFonts w:hint="eastAsia" w:ascii="Times New Roman" w:hAnsi="Times New Roman" w:eastAsia="宋体"/>
          <w:color w:val="auto"/>
          <w:kern w:val="0"/>
          <w:sz w:val="24"/>
          <w:szCs w:val="32"/>
          <w:lang w:eastAsia="zh-CN" w:bidi="ar"/>
        </w:rPr>
      </w:pPr>
      <w:r>
        <w:rPr>
          <w:color w:val="auto"/>
        </w:rPr>
        <mc:AlternateContent>
          <mc:Choice Requires="wps">
            <w:drawing>
              <wp:anchor distT="0" distB="0" distL="114300" distR="114300" simplePos="0" relativeHeight="251668480" behindDoc="0" locked="0" layoutInCell="1" allowOverlap="1">
                <wp:simplePos x="0" y="0"/>
                <wp:positionH relativeFrom="column">
                  <wp:posOffset>1312545</wp:posOffset>
                </wp:positionH>
                <wp:positionV relativeFrom="paragraph">
                  <wp:posOffset>2165985</wp:posOffset>
                </wp:positionV>
                <wp:extent cx="742950" cy="260985"/>
                <wp:effectExtent l="204470" t="4445" r="5080" b="610870"/>
                <wp:wrapNone/>
                <wp:docPr id="6" name="圆角矩形标注 6"/>
                <wp:cNvGraphicFramePr/>
                <a:graphic xmlns:a="http://schemas.openxmlformats.org/drawingml/2006/main">
                  <a:graphicData uri="http://schemas.microsoft.com/office/word/2010/wordprocessingShape">
                    <wps:wsp>
                      <wps:cNvSpPr/>
                      <wps:spPr>
                        <a:xfrm>
                          <a:off x="0" y="0"/>
                          <a:ext cx="742950" cy="260985"/>
                        </a:xfrm>
                        <a:prstGeom prst="wedgeRoundRectCallout">
                          <a:avLst>
                            <a:gd name="adj1" fmla="val -74523"/>
                            <a:gd name="adj2" fmla="val 266301"/>
                            <a:gd name="adj3" fmla="val 16667"/>
                          </a:avLst>
                        </a:prstGeom>
                        <a:solidFill>
                          <a:srgbClr val="FFFF00"/>
                        </a:solidFill>
                        <a:ln w="6350" cap="flat" cmpd="sng">
                          <a:solidFill>
                            <a:srgbClr val="0000EE"/>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highlight w:val="none"/>
                                <w:lang w:val="en-US" w:eastAsia="zh-CN"/>
                              </w:rPr>
                            </w:pPr>
                            <w:r>
                              <w:rPr>
                                <w:rFonts w:hint="eastAsia"/>
                                <w:highlight w:val="none"/>
                                <w:lang w:val="en-US" w:eastAsia="zh-CN"/>
                              </w:rPr>
                              <w:t>本项目</w:t>
                            </w:r>
                          </w:p>
                        </w:txbxContent>
                      </wps:txbx>
                      <wps:bodyPr upright="1"/>
                    </wps:wsp>
                  </a:graphicData>
                </a:graphic>
              </wp:anchor>
            </w:drawing>
          </mc:Choice>
          <mc:Fallback>
            <w:pict>
              <v:shape id="_x0000_s1026" o:spid="_x0000_s1026" o:spt="62" type="#_x0000_t62" style="position:absolute;left:0pt;margin-left:103.35pt;margin-top:170.55pt;height:20.55pt;width:58.5pt;z-index:251668480;mso-width-relative:page;mso-height-relative:page;" fillcolor="#FFFF00" filled="t" stroked="t" coordsize="21600,21600" o:gfxdata="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TDzYw1wAAAAsB&#10;AAAPAAAAAAAAAAEAIAAAACIAAABkcnMvZG93bnJldi54bWxQSwECFAAUAAAACACHTuJAqoBJNlUC&#10;AAC8BAAADgAAAAAAAAABACAAAAAmAQAAZHJzL2Uyb0RvYy54bWxQSwUGAAAAAAYABgBZAQAA7QUA&#10;AAAA&#10;" adj="-5297,68321,14400">
                <v:fill on="t" focussize="0,0"/>
                <v:stroke weight="0.5pt" color="#0000EE"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highlight w:val="none"/>
                          <w:lang w:val="en-US" w:eastAsia="zh-CN"/>
                        </w:rPr>
                      </w:pPr>
                      <w:r>
                        <w:rPr>
                          <w:rFonts w:hint="eastAsia"/>
                          <w:highlight w:val="none"/>
                          <w:lang w:val="en-US" w:eastAsia="zh-CN"/>
                        </w:rPr>
                        <w:t>本项目</w:t>
                      </w:r>
                    </w:p>
                  </w:txbxContent>
                </v:textbox>
              </v:shape>
            </w:pict>
          </mc:Fallback>
        </mc:AlternateContent>
      </w:r>
      <w:r>
        <w:rPr>
          <w:rFonts w:hint="eastAsia" w:eastAsia="仿宋"/>
          <w:color w:val="auto"/>
          <w:spacing w:val="-4"/>
          <w:kern w:val="0"/>
          <w:szCs w:val="28"/>
          <w:highlight w:val="none"/>
          <w:lang w:eastAsia="zh-CN"/>
        </w:rPr>
        <w:drawing>
          <wp:inline distT="0" distB="0" distL="114300" distR="114300">
            <wp:extent cx="5824220" cy="3794125"/>
            <wp:effectExtent l="0" t="0" r="5080" b="15875"/>
            <wp:docPr id="3" name="图片 8" descr="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生态保护红线"/>
                    <pic:cNvPicPr>
                      <a:picLocks noChangeAspect="1"/>
                    </pic:cNvPicPr>
                  </pic:nvPicPr>
                  <pic:blipFill>
                    <a:blip r:embed="rId19"/>
                    <a:srcRect t="650" r="899"/>
                    <a:stretch>
                      <a:fillRect/>
                    </a:stretch>
                  </pic:blipFill>
                  <pic:spPr>
                    <a:xfrm>
                      <a:off x="0" y="0"/>
                      <a:ext cx="5824220" cy="3794125"/>
                    </a:xfrm>
                    <a:prstGeom prst="rect">
                      <a:avLst/>
                    </a:prstGeom>
                    <a:noFill/>
                    <a:ln>
                      <a:noFill/>
                    </a:ln>
                  </pic:spPr>
                </pic:pic>
              </a:graphicData>
            </a:graphic>
          </wp:inline>
        </w:drawing>
      </w:r>
    </w:p>
    <w:p>
      <w:pPr>
        <w:adjustRightInd w:val="0"/>
        <w:snapToGrid w:val="0"/>
        <w:spacing w:line="360" w:lineRule="auto"/>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w:t>
      </w:r>
      <w:r>
        <w:rPr>
          <w:rFonts w:hint="eastAsia" w:ascii="Times New Roman" w:hAnsi="Times New Roman" w:cs="Times New Roman"/>
          <w:b/>
          <w:bCs/>
          <w:color w:val="auto"/>
          <w:sz w:val="21"/>
          <w:szCs w:val="21"/>
          <w:lang w:val="en-US" w:eastAsia="zh-CN"/>
        </w:rPr>
        <w:t>2-1</w:t>
      </w:r>
      <w:r>
        <w:rPr>
          <w:rFonts w:hint="default"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巴中市生态保护红线</w:t>
      </w:r>
    </w:p>
    <w:p>
      <w:pPr>
        <w:numPr>
          <w:ilvl w:val="0"/>
          <w:numId w:val="17"/>
        </w:numPr>
        <w:spacing w:line="360" w:lineRule="auto"/>
        <w:ind w:firstLine="422" w:firstLineChars="200"/>
        <w:rPr>
          <w:rFonts w:hint="eastAsia" w:ascii="Times New Roman" w:hAnsi="Times New Roman" w:cs="Times New Roman"/>
          <w:b/>
          <w:bCs/>
          <w:caps w:val="0"/>
          <w:smallCaps w:val="0"/>
          <w:color w:val="auto"/>
          <w:spacing w:val="0"/>
          <w:position w:val="0"/>
        </w:rPr>
      </w:pPr>
      <w:r>
        <w:rPr>
          <w:rFonts w:hint="eastAsia" w:ascii="Times New Roman" w:hAnsi="Times New Roman" w:cs="Times New Roman"/>
          <w:b/>
          <w:bCs/>
          <w:caps w:val="0"/>
          <w:smallCaps w:val="0"/>
          <w:color w:val="auto"/>
          <w:spacing w:val="0"/>
          <w:position w:val="0"/>
        </w:rPr>
        <w:t>环境分区管控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rPr>
      </w:pPr>
      <w:r>
        <w:rPr>
          <w:color w:val="auto"/>
          <w:sz w:val="24"/>
        </w:rPr>
        <w:t>根据四川政务服务</w:t>
      </w:r>
      <w:r>
        <w:rPr>
          <w:rFonts w:hint="eastAsia" w:ascii="宋体" w:hAnsi="宋体" w:cs="宋体"/>
          <w:color w:val="auto"/>
          <w:sz w:val="24"/>
        </w:rPr>
        <w:t>网“三线一单”</w:t>
      </w:r>
      <w:r>
        <w:rPr>
          <w:color w:val="auto"/>
          <w:sz w:val="24"/>
        </w:rPr>
        <w:t>查询网站（网址https://www.sczwfw.gov.cn/tftb/hos-server/pub/jmas/jmasbucket/jmopen_files/webapp/html5/sxydctfx/index.html?areaCode=510000000000</w:t>
      </w:r>
      <w:r>
        <w:rPr>
          <w:rFonts w:hint="eastAsia" w:ascii="宋体" w:hAnsi="宋体" w:cs="宋体"/>
          <w:color w:val="auto"/>
          <w:sz w:val="24"/>
        </w:rPr>
        <w:t>）查询项目所在地“三线一单”结</w:t>
      </w:r>
      <w:r>
        <w:rPr>
          <w:color w:val="auto"/>
          <w:sz w:val="24"/>
        </w:rPr>
        <w:t>果如下：</w:t>
      </w:r>
    </w:p>
    <w:p>
      <w:pPr>
        <w:keepNext w:val="0"/>
        <w:keepLines w:val="0"/>
        <w:widowControl/>
        <w:numPr>
          <w:ilvl w:val="0"/>
          <w:numId w:val="0"/>
        </w:numPr>
        <w:suppressLineNumbers w:val="0"/>
        <w:jc w:val="both"/>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drawing>
          <wp:inline distT="0" distB="0" distL="114300" distR="114300">
            <wp:extent cx="5539105" cy="4552315"/>
            <wp:effectExtent l="0" t="0" r="4445" b="635"/>
            <wp:docPr id="20" name="图片 20" descr="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213"/>
                    <pic:cNvPicPr>
                      <a:picLocks noChangeAspect="1"/>
                    </pic:cNvPicPr>
                  </pic:nvPicPr>
                  <pic:blipFill>
                    <a:blip r:embed="rId20"/>
                    <a:stretch>
                      <a:fillRect/>
                    </a:stretch>
                  </pic:blipFill>
                  <pic:spPr>
                    <a:xfrm>
                      <a:off x="0" y="0"/>
                      <a:ext cx="5539105" cy="4552315"/>
                    </a:xfrm>
                    <a:prstGeom prst="rect">
                      <a:avLst/>
                    </a:prstGeom>
                  </pic:spPr>
                </pic:pic>
              </a:graphicData>
            </a:graphic>
          </wp:inline>
        </w:drawing>
      </w:r>
    </w:p>
    <w:p>
      <w:pPr>
        <w:adjustRightInd w:val="0"/>
        <w:snapToGrid w:val="0"/>
        <w:spacing w:line="360" w:lineRule="auto"/>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w:t>
      </w:r>
      <w:r>
        <w:rPr>
          <w:rFonts w:hint="eastAsia"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 xml:space="preserve">2 </w:t>
      </w:r>
      <w:r>
        <w:rPr>
          <w:rFonts w:hint="default" w:ascii="Times New Roman" w:hAnsi="Times New Roman" w:cs="Times New Roman"/>
          <w:b/>
          <w:bCs/>
          <w:color w:val="auto"/>
          <w:sz w:val="21"/>
          <w:szCs w:val="21"/>
          <w:lang w:val="en-US" w:eastAsia="zh-CN"/>
        </w:rPr>
        <w:t xml:space="preserve"> 本项目所在环境管控单元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sz w:val="24"/>
          <w:lang w:eastAsia="zh-CN"/>
        </w:rPr>
        <w:t>恩阳区群乐镇坳盘村巴山肉牛育肥场项目项目位于巴中市恩阳区环境综合管控单元一般管控单元（管控单元名称：一般管控单元，管控单元编号：ZH51190330001）项目与管控单元相对位置如下图所示：（图中▼表示项目位置</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r>
        <w:rPr>
          <w:color w:val="auto"/>
        </w:rPr>
        <mc:AlternateContent>
          <mc:Choice Requires="wps">
            <w:drawing>
              <wp:anchor distT="0" distB="0" distL="114300" distR="114300" simplePos="0" relativeHeight="251662336" behindDoc="0" locked="0" layoutInCell="1" allowOverlap="1">
                <wp:simplePos x="0" y="0"/>
                <wp:positionH relativeFrom="column">
                  <wp:posOffset>3475355</wp:posOffset>
                </wp:positionH>
                <wp:positionV relativeFrom="paragraph">
                  <wp:posOffset>2237105</wp:posOffset>
                </wp:positionV>
                <wp:extent cx="742950" cy="260985"/>
                <wp:effectExtent l="204470" t="4445" r="5080" b="610870"/>
                <wp:wrapNone/>
                <wp:docPr id="18" name="圆角矩形标注 18"/>
                <wp:cNvGraphicFramePr/>
                <a:graphic xmlns:a="http://schemas.openxmlformats.org/drawingml/2006/main">
                  <a:graphicData uri="http://schemas.microsoft.com/office/word/2010/wordprocessingShape">
                    <wps:wsp>
                      <wps:cNvSpPr/>
                      <wps:spPr>
                        <a:xfrm>
                          <a:off x="0" y="0"/>
                          <a:ext cx="742950" cy="260985"/>
                        </a:xfrm>
                        <a:prstGeom prst="wedgeRoundRectCallout">
                          <a:avLst>
                            <a:gd name="adj1" fmla="val -74523"/>
                            <a:gd name="adj2" fmla="val 266301"/>
                            <a:gd name="adj3" fmla="val 16667"/>
                          </a:avLst>
                        </a:prstGeom>
                        <a:solidFill>
                          <a:srgbClr val="FFFF00"/>
                        </a:solidFill>
                        <a:ln w="6350" cap="flat" cmpd="sng">
                          <a:solidFill>
                            <a:srgbClr val="0000EE"/>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highlight w:val="none"/>
                                <w:lang w:val="en-US" w:eastAsia="zh-CN"/>
                              </w:rPr>
                            </w:pPr>
                            <w:r>
                              <w:rPr>
                                <w:rFonts w:hint="eastAsia"/>
                                <w:highlight w:val="none"/>
                                <w:lang w:val="en-US" w:eastAsia="zh-CN"/>
                              </w:rPr>
                              <w:t>本项目</w:t>
                            </w:r>
                          </w:p>
                        </w:txbxContent>
                      </wps:txbx>
                      <wps:bodyPr upright="1"/>
                    </wps:wsp>
                  </a:graphicData>
                </a:graphic>
              </wp:anchor>
            </w:drawing>
          </mc:Choice>
          <mc:Fallback>
            <w:pict>
              <v:shape id="_x0000_s1026" o:spid="_x0000_s1026" o:spt="62" type="#_x0000_t62" style="position:absolute;left:0pt;margin-left:273.65pt;margin-top:176.15pt;height:20.55pt;width:58.5pt;z-index:251662336;mso-width-relative:page;mso-height-relative:page;" fillcolor="#FFFF00" filled="t" stroked="t" coordsize="21600,21600" o:gfxdata="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rRuH9kA&#10;AAALAQAADwAAAAAAAAABACAAAAAiAAAAZHJzL2Rvd25yZXYueG1sUEsBAhQAFAAAAAgAh07iQHB4&#10;w1pXAgAAvgQAAA4AAAAAAAAAAQAgAAAAKAEAAGRycy9lMm9Eb2MueG1sUEsFBgAAAAAGAAYAWQEA&#10;APEFAAAAAA==&#10;" adj="-5297,68321,14400">
                <v:fill on="t" focussize="0,0"/>
                <v:stroke weight="0.5pt" color="#0000EE"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eastAsia="宋体"/>
                          <w:highlight w:val="none"/>
                          <w:lang w:val="en-US" w:eastAsia="zh-CN"/>
                        </w:rPr>
                      </w:pPr>
                      <w:r>
                        <w:rPr>
                          <w:rFonts w:hint="eastAsia"/>
                          <w:highlight w:val="none"/>
                          <w:lang w:val="en-US" w:eastAsia="zh-CN"/>
                        </w:rPr>
                        <w:t>本项目</w:t>
                      </w:r>
                    </w:p>
                  </w:txbxContent>
                </v:textbox>
              </v:shape>
            </w:pict>
          </mc:Fallback>
        </mc:AlternateContent>
      </w:r>
      <w:r>
        <w:rPr>
          <w:rFonts w:hint="default" w:ascii="Helvetica" w:hAnsi="Helvetica" w:eastAsia="Helvetica"/>
          <w:color w:val="auto"/>
          <w:sz w:val="28"/>
          <w:szCs w:val="24"/>
        </w:rPr>
        <w:drawing>
          <wp:inline distT="0" distB="0" distL="114300" distR="114300">
            <wp:extent cx="5480685" cy="3288665"/>
            <wp:effectExtent l="0" t="0" r="5715" b="698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21"/>
                    <a:stretch>
                      <a:fillRect/>
                    </a:stretch>
                  </pic:blipFill>
                  <pic:spPr>
                    <a:xfrm>
                      <a:off x="0" y="0"/>
                      <a:ext cx="5480685" cy="3288665"/>
                    </a:xfrm>
                    <a:prstGeom prst="rect">
                      <a:avLst/>
                    </a:prstGeom>
                    <a:noFill/>
                    <a:ln>
                      <a:noFill/>
                    </a:ln>
                  </pic:spPr>
                </pic:pic>
              </a:graphicData>
            </a:graphic>
          </wp:inline>
        </w:drawing>
      </w:r>
    </w:p>
    <w:p>
      <w:pPr>
        <w:adjustRightInd w:val="0"/>
        <w:snapToGrid w:val="0"/>
        <w:spacing w:line="36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项目所在管控单元图</w:t>
      </w:r>
    </w:p>
    <w:p>
      <w:pPr>
        <w:pStyle w:val="151"/>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rPr>
        <w:t>项目涉及到环境管控单元</w:t>
      </w:r>
      <w:r>
        <w:rPr>
          <w:rFonts w:hint="eastAsia" w:ascii="宋体" w:hAnsi="宋体" w:eastAsia="宋体" w:cs="宋体"/>
          <w:b/>
          <w:bCs/>
          <w:color w:val="auto"/>
          <w:lang w:val="en-US" w:eastAsia="zh-CN"/>
        </w:rPr>
        <w:t>4</w:t>
      </w:r>
      <w:r>
        <w:rPr>
          <w:rFonts w:hint="eastAsia" w:ascii="宋体" w:hAnsi="宋体" w:eastAsia="宋体" w:cs="宋体"/>
          <w:b/>
          <w:bCs/>
          <w:color w:val="auto"/>
        </w:rPr>
        <w:t>个，涉及到管控单元见下表：</w:t>
      </w:r>
    </w:p>
    <w:p>
      <w:pPr>
        <w:autoSpaceDE w:val="0"/>
        <w:autoSpaceDN w:val="0"/>
        <w:adjustRightInd w:val="0"/>
        <w:snapToGrid w:val="0"/>
        <w:spacing w:line="240" w:lineRule="auto"/>
        <w:ind w:firstLine="422" w:firstLineChars="200"/>
        <w:jc w:val="center"/>
        <w:textAlignment w:val="bottom"/>
        <w:rPr>
          <w:rFonts w:ascii="宋体" w:hAnsi="宋体"/>
          <w:color w:val="auto"/>
          <w:sz w:val="21"/>
          <w:szCs w:val="21"/>
        </w:rPr>
      </w:pPr>
      <w:r>
        <w:rPr>
          <w:rFonts w:hint="default" w:ascii="Times New Roman" w:hAnsi="Times New Roman" w:cs="Times New Roman"/>
          <w:b/>
          <w:bCs/>
          <w:color w:val="auto"/>
          <w:sz w:val="21"/>
          <w:szCs w:val="21"/>
        </w:rPr>
        <w:t>表</w:t>
      </w:r>
      <w:r>
        <w:rPr>
          <w:rFonts w:hint="eastAsia" w:cs="Times New Roman"/>
          <w:b/>
          <w:bCs/>
          <w:color w:val="auto"/>
          <w:sz w:val="21"/>
          <w:szCs w:val="21"/>
          <w:lang w:val="en-US" w:eastAsia="zh-CN"/>
        </w:rPr>
        <w:t>2.6</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8</w:t>
      </w:r>
      <w:r>
        <w:rPr>
          <w:rFonts w:hint="default" w:ascii="Times New Roman" w:hAnsi="Times New Roman" w:cs="Times New Roman"/>
          <w:b/>
          <w:bCs/>
          <w:color w:val="auto"/>
          <w:sz w:val="21"/>
          <w:szCs w:val="21"/>
        </w:rPr>
        <w:t xml:space="preserve">  项目所涉及环境管控单元一览表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1757"/>
        <w:gridCol w:w="1475"/>
        <w:gridCol w:w="928"/>
        <w:gridCol w:w="109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03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kern w:val="0"/>
                <w:sz w:val="21"/>
                <w:szCs w:val="21"/>
              </w:rPr>
            </w:pPr>
            <w:r>
              <w:rPr>
                <w:rFonts w:hint="default"/>
                <w:b/>
                <w:bCs/>
                <w:color w:val="auto"/>
                <w:kern w:val="0"/>
                <w:sz w:val="21"/>
                <w:szCs w:val="21"/>
              </w:rPr>
              <w:t>环境管控单元编码</w:t>
            </w:r>
          </w:p>
        </w:tc>
        <w:tc>
          <w:tcPr>
            <w:tcW w:w="981"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kern w:val="0"/>
                <w:sz w:val="21"/>
                <w:szCs w:val="21"/>
              </w:rPr>
            </w:pPr>
            <w:r>
              <w:rPr>
                <w:rFonts w:hint="default"/>
                <w:b/>
                <w:bCs/>
                <w:color w:val="auto"/>
                <w:kern w:val="0"/>
                <w:sz w:val="21"/>
                <w:szCs w:val="21"/>
              </w:rPr>
              <w:t>环境管控单元名称</w:t>
            </w:r>
          </w:p>
        </w:tc>
        <w:tc>
          <w:tcPr>
            <w:tcW w:w="82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kern w:val="0"/>
                <w:sz w:val="21"/>
                <w:szCs w:val="21"/>
              </w:rPr>
            </w:pPr>
            <w:r>
              <w:rPr>
                <w:rFonts w:hint="default"/>
                <w:b/>
                <w:bCs/>
                <w:color w:val="auto"/>
                <w:kern w:val="0"/>
                <w:sz w:val="21"/>
                <w:szCs w:val="21"/>
              </w:rPr>
              <w:t>所属市（州）</w:t>
            </w:r>
          </w:p>
        </w:tc>
        <w:tc>
          <w:tcPr>
            <w:tcW w:w="51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kern w:val="0"/>
                <w:sz w:val="21"/>
                <w:szCs w:val="21"/>
              </w:rPr>
            </w:pPr>
            <w:r>
              <w:rPr>
                <w:rFonts w:hint="default"/>
                <w:b/>
                <w:bCs/>
                <w:color w:val="auto"/>
                <w:kern w:val="0"/>
                <w:sz w:val="21"/>
                <w:szCs w:val="21"/>
              </w:rPr>
              <w:t>所属区县</w:t>
            </w:r>
          </w:p>
        </w:tc>
        <w:tc>
          <w:tcPr>
            <w:tcW w:w="61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kern w:val="0"/>
                <w:sz w:val="21"/>
                <w:szCs w:val="21"/>
              </w:rPr>
            </w:pPr>
            <w:r>
              <w:rPr>
                <w:rFonts w:hint="default"/>
                <w:b/>
                <w:bCs/>
                <w:color w:val="auto"/>
                <w:kern w:val="0"/>
                <w:sz w:val="21"/>
                <w:szCs w:val="21"/>
              </w:rPr>
              <w:t>准入清单类型</w:t>
            </w:r>
          </w:p>
        </w:tc>
        <w:tc>
          <w:tcPr>
            <w:tcW w:w="1029"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color w:val="auto"/>
                <w:kern w:val="0"/>
                <w:sz w:val="21"/>
                <w:szCs w:val="21"/>
              </w:rPr>
            </w:pPr>
            <w:r>
              <w:rPr>
                <w:rFonts w:hint="default"/>
                <w:b/>
                <w:bCs/>
                <w:color w:val="auto"/>
                <w:kern w:val="0"/>
                <w:sz w:val="21"/>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031"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ZH51190330001</w:t>
            </w:r>
          </w:p>
        </w:tc>
        <w:tc>
          <w:tcPr>
            <w:tcW w:w="981"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一般管控单元</w:t>
            </w:r>
          </w:p>
        </w:tc>
        <w:tc>
          <w:tcPr>
            <w:tcW w:w="824"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巴中市</w:t>
            </w:r>
          </w:p>
        </w:tc>
        <w:tc>
          <w:tcPr>
            <w:tcW w:w="518"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恩阳区</w:t>
            </w:r>
          </w:p>
        </w:tc>
        <w:tc>
          <w:tcPr>
            <w:tcW w:w="614"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环境管控单元</w:t>
            </w:r>
          </w:p>
        </w:tc>
        <w:tc>
          <w:tcPr>
            <w:tcW w:w="1029"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ZH51190330001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031"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YS5119033210003</w:t>
            </w:r>
          </w:p>
        </w:tc>
        <w:tc>
          <w:tcPr>
            <w:tcW w:w="981"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大坝河-恩阳区-控制单元</w:t>
            </w:r>
          </w:p>
        </w:tc>
        <w:tc>
          <w:tcPr>
            <w:tcW w:w="824"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巴中市</w:t>
            </w:r>
          </w:p>
        </w:tc>
        <w:tc>
          <w:tcPr>
            <w:tcW w:w="518"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恩阳区</w:t>
            </w:r>
          </w:p>
        </w:tc>
        <w:tc>
          <w:tcPr>
            <w:tcW w:w="614"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水环境管控分区</w:t>
            </w:r>
          </w:p>
        </w:tc>
        <w:tc>
          <w:tcPr>
            <w:tcW w:w="1029"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YS5119033210003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031"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YS5119033310001</w:t>
            </w:r>
          </w:p>
        </w:tc>
        <w:tc>
          <w:tcPr>
            <w:tcW w:w="981"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恩阳区大气环境一般管控区</w:t>
            </w:r>
          </w:p>
        </w:tc>
        <w:tc>
          <w:tcPr>
            <w:tcW w:w="824"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巴中市</w:t>
            </w:r>
          </w:p>
        </w:tc>
        <w:tc>
          <w:tcPr>
            <w:tcW w:w="518"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恩阳区</w:t>
            </w:r>
          </w:p>
        </w:tc>
        <w:tc>
          <w:tcPr>
            <w:tcW w:w="614"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大气环境管控分区</w:t>
            </w:r>
          </w:p>
        </w:tc>
        <w:tc>
          <w:tcPr>
            <w:tcW w:w="1029"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YS5119033310001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031"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YS5119031410002</w:t>
            </w:r>
          </w:p>
        </w:tc>
        <w:tc>
          <w:tcPr>
            <w:tcW w:w="981"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恩阳区土壤优先保护区</w:t>
            </w:r>
          </w:p>
        </w:tc>
        <w:tc>
          <w:tcPr>
            <w:tcW w:w="824"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巴中市</w:t>
            </w:r>
          </w:p>
        </w:tc>
        <w:tc>
          <w:tcPr>
            <w:tcW w:w="518"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恩阳区</w:t>
            </w:r>
          </w:p>
        </w:tc>
        <w:tc>
          <w:tcPr>
            <w:tcW w:w="614"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土壤污染风险管控分区</w:t>
            </w:r>
          </w:p>
        </w:tc>
        <w:tc>
          <w:tcPr>
            <w:tcW w:w="1029" w:type="pct"/>
            <w:noWrap w:val="0"/>
            <w:vAlign w:val="center"/>
          </w:tcPr>
          <w:p>
            <w:pPr>
              <w:pStyle w:val="126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Style w:val="134"/>
                <w:rFonts w:hint="default" w:ascii="Times New Roman" w:hAnsi="Times New Roman" w:eastAsia="宋体" w:cs="Times New Roman"/>
                <w:color w:val="auto"/>
                <w:kern w:val="2"/>
                <w:sz w:val="21"/>
                <w:szCs w:val="21"/>
                <w:lang w:val="en-US" w:eastAsia="zh-CN" w:bidi="ar-SA"/>
              </w:rPr>
              <w:t>YS5119031410002</w:t>
            </w:r>
          </w:p>
        </w:tc>
      </w:tr>
    </w:tbl>
    <w:p>
      <w:pPr>
        <w:autoSpaceDE w:val="0"/>
        <w:autoSpaceDN w:val="0"/>
        <w:adjustRightInd w:val="0"/>
        <w:snapToGrid w:val="0"/>
        <w:spacing w:line="240" w:lineRule="auto"/>
        <w:ind w:firstLine="482" w:firstLineChars="200"/>
        <w:jc w:val="both"/>
        <w:textAlignment w:val="bottom"/>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项目与“三线一单”相关要求的符合性分析如下：</w:t>
      </w:r>
    </w:p>
    <w:p>
      <w:pPr>
        <w:autoSpaceDE w:val="0"/>
        <w:autoSpaceDN w:val="0"/>
        <w:adjustRightInd w:val="0"/>
        <w:snapToGrid w:val="0"/>
        <w:spacing w:line="240" w:lineRule="auto"/>
        <w:ind w:firstLine="422" w:firstLineChars="200"/>
        <w:jc w:val="center"/>
        <w:textAlignment w:val="bottom"/>
        <w:rPr>
          <w:rFonts w:hint="default" w:ascii="宋体" w:hAnsi="宋体" w:eastAsia="宋体"/>
          <w:color w:val="auto"/>
          <w:sz w:val="21"/>
          <w:szCs w:val="21"/>
          <w:lang w:val="en-US" w:eastAsia="zh-CN"/>
        </w:rPr>
      </w:pPr>
      <w:r>
        <w:rPr>
          <w:rFonts w:hint="default" w:ascii="Times New Roman" w:hAnsi="Times New Roman" w:cs="Times New Roman"/>
          <w:b/>
          <w:bCs/>
          <w:color w:val="auto"/>
          <w:sz w:val="21"/>
          <w:szCs w:val="21"/>
        </w:rPr>
        <w:t>表</w:t>
      </w:r>
      <w:r>
        <w:rPr>
          <w:rFonts w:hint="eastAsia" w:cs="Times New Roman"/>
          <w:b/>
          <w:bCs/>
          <w:color w:val="auto"/>
          <w:sz w:val="21"/>
          <w:szCs w:val="21"/>
          <w:lang w:val="en-US" w:eastAsia="zh-CN"/>
        </w:rPr>
        <w:t>2.6</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9</w:t>
      </w:r>
      <w:r>
        <w:rPr>
          <w:rFonts w:hint="default" w:ascii="Times New Roman" w:hAnsi="Times New Roman" w:cs="Times New Roman"/>
          <w:b/>
          <w:bCs/>
          <w:color w:val="auto"/>
          <w:sz w:val="21"/>
          <w:szCs w:val="21"/>
        </w:rPr>
        <w:t xml:space="preserve">  项目</w:t>
      </w:r>
      <w:r>
        <w:rPr>
          <w:rFonts w:hint="eastAsia" w:cs="Times New Roman"/>
          <w:b/>
          <w:bCs/>
          <w:color w:val="auto"/>
          <w:sz w:val="21"/>
          <w:szCs w:val="21"/>
          <w:lang w:val="en-US" w:eastAsia="zh-CN"/>
        </w:rPr>
        <w:t>与</w:t>
      </w:r>
      <w:r>
        <w:rPr>
          <w:rFonts w:hint="default" w:ascii="Times New Roman" w:hAnsi="Times New Roman" w:cs="Times New Roman"/>
          <w:b/>
          <w:bCs/>
          <w:color w:val="auto"/>
          <w:sz w:val="21"/>
          <w:szCs w:val="21"/>
        </w:rPr>
        <w:t>环境管控单元</w:t>
      </w:r>
      <w:r>
        <w:rPr>
          <w:rFonts w:hint="eastAsia" w:cs="Times New Roman"/>
          <w:b/>
          <w:bCs/>
          <w:color w:val="auto"/>
          <w:sz w:val="21"/>
          <w:szCs w:val="21"/>
          <w:lang w:val="en-US" w:eastAsia="zh-CN"/>
        </w:rPr>
        <w:t>符合性分析</w:t>
      </w:r>
    </w:p>
    <w:tbl>
      <w:tblPr>
        <w:tblStyle w:val="8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02"/>
        <w:gridCol w:w="534"/>
        <w:gridCol w:w="3814"/>
        <w:gridCol w:w="684"/>
        <w:gridCol w:w="1382"/>
        <w:gridCol w:w="9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环境管控单元编码</w:t>
            </w:r>
          </w:p>
        </w:tc>
        <w:tc>
          <w:tcPr>
            <w:tcW w:w="302" w:type="pct"/>
            <w:noWrap w:val="0"/>
            <w:vAlign w:val="center"/>
          </w:tcPr>
          <w:p>
            <w:pPr>
              <w:pStyle w:val="15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105" w:leftChars="-50" w:right="-105" w:rightChars="-50"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环境管控单元名称</w:t>
            </w:r>
          </w:p>
        </w:tc>
        <w:tc>
          <w:tcPr>
            <w:tcW w:w="2158" w:type="pct"/>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巴中市普适性清单</w:t>
            </w:r>
          </w:p>
        </w:tc>
        <w:tc>
          <w:tcPr>
            <w:tcW w:w="387" w:type="pct"/>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管控</w:t>
            </w:r>
          </w:p>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类别</w:t>
            </w:r>
          </w:p>
        </w:tc>
        <w:tc>
          <w:tcPr>
            <w:tcW w:w="782" w:type="pct"/>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单元特性管控要求</w:t>
            </w:r>
          </w:p>
        </w:tc>
        <w:tc>
          <w:tcPr>
            <w:tcW w:w="543" w:type="pct"/>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本项目符合性分析</w:t>
            </w:r>
          </w:p>
        </w:tc>
        <w:tc>
          <w:tcPr>
            <w:tcW w:w="543" w:type="pct"/>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restart"/>
            <w:noWrap w:val="0"/>
            <w:vAlign w:val="center"/>
          </w:tcPr>
          <w:p>
            <w:pPr>
              <w:pStyle w:val="1263"/>
              <w:widowControl/>
              <w:spacing w:line="240" w:lineRule="auto"/>
              <w:ind w:left="0" w:leftChars="0" w:right="0" w:rightChars="0" w:firstLine="0" w:firstLineChars="0"/>
              <w:jc w:val="left"/>
              <w:rPr>
                <w:rFonts w:hint="default" w:ascii="Times New Roman" w:hAnsi="Times New Roman" w:cs="Times New Roman"/>
                <w:b/>
                <w:bCs/>
                <w:color w:val="auto"/>
                <w:sz w:val="21"/>
                <w:szCs w:val="21"/>
              </w:rPr>
            </w:pPr>
            <w:r>
              <w:rPr>
                <w:rStyle w:val="134"/>
                <w:rFonts w:hint="eastAsia" w:ascii="宋体" w:hAnsi="宋体" w:eastAsia="宋体" w:cs="Times New Roman"/>
                <w:color w:val="auto"/>
                <w:kern w:val="2"/>
                <w:sz w:val="21"/>
                <w:szCs w:val="21"/>
                <w:lang w:val="en-US" w:eastAsia="zh-CN" w:bidi="ar-SA"/>
              </w:rPr>
              <w:t>ZH51190330001</w:t>
            </w:r>
          </w:p>
        </w:tc>
        <w:tc>
          <w:tcPr>
            <w:tcW w:w="302" w:type="pct"/>
            <w:vMerge w:val="restart"/>
            <w:noWrap w:val="0"/>
            <w:vAlign w:val="center"/>
          </w:tcPr>
          <w:p>
            <w:pPr>
              <w:pStyle w:val="1263"/>
              <w:widowControl/>
              <w:spacing w:line="240" w:lineRule="auto"/>
              <w:ind w:left="0" w:leftChars="0" w:right="0" w:rightChars="0" w:firstLine="0" w:firstLineChars="0"/>
              <w:jc w:val="left"/>
              <w:rPr>
                <w:rFonts w:hint="default" w:ascii="Times New Roman" w:hAnsi="Times New Roman" w:cs="Times New Roman"/>
                <w:b/>
                <w:bCs/>
                <w:color w:val="auto"/>
                <w:sz w:val="21"/>
                <w:szCs w:val="21"/>
              </w:rPr>
            </w:pPr>
            <w:r>
              <w:rPr>
                <w:rStyle w:val="134"/>
                <w:rFonts w:hint="eastAsia" w:ascii="宋体" w:hAnsi="宋体" w:eastAsia="宋体" w:cs="Times New Roman"/>
                <w:color w:val="auto"/>
                <w:kern w:val="2"/>
                <w:sz w:val="21"/>
                <w:szCs w:val="21"/>
                <w:lang w:val="en-US" w:eastAsia="zh-CN" w:bidi="ar-SA"/>
              </w:rPr>
              <w:t>一般管控单元</w:t>
            </w:r>
          </w:p>
        </w:tc>
        <w:tc>
          <w:tcPr>
            <w:tcW w:w="2158"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空间布局约束：</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-禁止在长江干支流岸线一公里范围内新建、扩建化工园区和化工项目。</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-禁止在法律法规规定的禁采区内开采矿产；禁止土法采、选、冶严重污染环境的矿产资源。</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-禁止在长江流域河湖管理范围内倾倒、填埋、堆放、弃置、处理固体废物。</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-对全部基本农田按禁止开发的要求进行管理。涉及基本农田的区域，除法律规定的重点建设项目选址确实无法避让外，其他任何建设不得占用。</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限制开发建设活动的要求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r>
              <w:rPr>
                <w:rFonts w:hint="eastAsia" w:ascii="宋体" w:hAnsi="宋体" w:eastAsia="宋体" w:cs="宋体"/>
                <w:color w:val="auto"/>
                <w:kern w:val="0"/>
                <w:sz w:val="21"/>
                <w:szCs w:val="21"/>
                <w:lang w:val="en-US" w:eastAsia="zh-CN" w:bidi="ar"/>
              </w:rPr>
              <w:t>一般生态空间中涉及法定保护地，严格按照国家及地方法律法规、管理办法等相关要求进行控制。配套旅游、基础设施等建设项目，在符合规划和相关保护要求的前提下，应实施生态避让、减缓影响及生态恢复措施。</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-按照相关要求严控水泥新增产能。</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因地制宜地发展适宜产业，在不损害生态系统功能的前提下，适度发展旅游、农林牧产品生产和加工、生态农业、休闲农业等产业；单元内若新布局工业园区，应结合区域环境特点、三线成果、园区产业类别，充分论证选址的环境合理性。</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-严格控制非农业建设占用农用地。</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不符合空间布局要求活动的退出要求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-全面取缔禁养区内规模化畜禽养殖场。</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kern w:val="0"/>
                <w:sz w:val="21"/>
                <w:szCs w:val="21"/>
                <w:lang w:val="en-US" w:eastAsia="zh-CN"/>
              </w:rPr>
            </w:pPr>
            <w:r>
              <w:rPr>
                <w:rFonts w:hint="eastAsia" w:ascii="宋体" w:hAnsi="宋体" w:eastAsia="宋体" w:cs="宋体"/>
                <w:color w:val="auto"/>
                <w:kern w:val="0"/>
                <w:sz w:val="21"/>
                <w:szCs w:val="21"/>
                <w:lang w:val="en-US" w:eastAsia="zh-CN" w:bidi="ar"/>
              </w:rPr>
              <w:t>-针对现有水泥企业，强化污染治理和污染物减排，依法依规整治或搬迁。</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其他空间布局约束要求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暂无</w:t>
            </w:r>
          </w:p>
        </w:tc>
        <w:tc>
          <w:tcPr>
            <w:tcW w:w="387"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空间布局约束</w:t>
            </w: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禁止开发建设活动的要求</w:t>
            </w:r>
          </w:p>
          <w:p>
            <w:pPr>
              <w:pStyle w:val="1263"/>
              <w:widowControl/>
              <w:shd w:val="clear" w:color="auto" w:fill="FFFFFF"/>
              <w:spacing w:line="240" w:lineRule="auto"/>
              <w:ind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（1）严格控制开发建设项目布局，鼓励企业入园发展，工业园区外现有钢铁、有色金属、造纸、印染、原料药制造、化工等污染较重的企业应有序搬迁改造或依法关闭（2）其他执行一般管控单元总体准入要求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本项目属于养殖场项目，不涉及化工项目、采矿、基本农田，固体废物均得到妥善处置</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82"/>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
              </w:rPr>
            </w:pPr>
          </w:p>
        </w:tc>
        <w:tc>
          <w:tcPr>
            <w:tcW w:w="302" w:type="pct"/>
            <w:vMerge w:val="continue"/>
            <w:noWrap w:val="0"/>
            <w:vAlign w:val="center"/>
          </w:tcPr>
          <w:p>
            <w:pPr>
              <w:pStyle w:val="82"/>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限制开发建设活动的要求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本项目属于养殖场项目，对生态影响极小，不涉及水泥</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82"/>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
              </w:rPr>
            </w:pPr>
          </w:p>
        </w:tc>
        <w:tc>
          <w:tcPr>
            <w:tcW w:w="302" w:type="pct"/>
            <w:vMerge w:val="continue"/>
            <w:noWrap w:val="0"/>
            <w:vAlign w:val="center"/>
          </w:tcPr>
          <w:p>
            <w:pPr>
              <w:pStyle w:val="82"/>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不符合空间布局要求活动的退出要求</w:t>
            </w:r>
          </w:p>
          <w:p>
            <w:pPr>
              <w:pStyle w:val="1263"/>
              <w:widowControl/>
              <w:shd w:val="clear" w:color="auto" w:fill="FFFFFF"/>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（1）现有企业按照相关规定限期入园搬迁或整治；（2）执行一般管控单元总体准入要求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本项目属于养殖场项目，不在禁养区内，不涉及水泥</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污染物排放管控：</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允许排放量要求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现有源提标升级改造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-加快现有乡镇污水处理设施升级改造，按要求达《城镇污水处理厂污染物排放标准》一级A标后排放。</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-在矿产资源开发活动集中区域，废水执行重金属污染物排放特别限值。</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-砖瓦行业实施脱硫、除尘升级改造，污染物排放达到《砖瓦工业大气污染物排放标准》相关要求。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-火电、水泥等行业按相关要求推进大气污染物超低排放和深度治理。</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调整优化畜禽养殖区域布局，实施规模化畜禽养殖场标准化建设和改造，加强禽畜养殖粪污治理，深入推广畜禽清洁养殖，养殖场的养殖规模要与周边可供消纳的土地量相匹配，并具备完善的雨污分流、粪便污水资源化利用设施。强化畜禽养殖散户管理，禁止畜禽粪污直排。</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其他污染物排放管控要求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污染物排放绩效水平准入要求：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-到2025年乡镇污水处理率达95%；到2030年乡镇污水处理率达100%；</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-大中型矿山达到绿色矿山标准，引导小型矿山按照绿色矿山标准规范法发展。加强矿山采选废水的处理和综合利用工作，选矿废水全部综合利用，不外排，采矿废水应尽量回用。</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-新、改扩建规模化畜禽养殖场（小区）要实施雨污分流，畜禽粪污实现资源化利用；散养密集区要实行畜禽粪便污水分户收集，集中处理利用；</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-屠宰项目必须配套污水处理设施或进入城市污水管网。</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到2021年底，全市生活垃圾收转运处置体系覆盖95%以上行政村，再生资源回收网点覆盖30%以上行政村。全市95%以上行政村的生活垃圾得到有效治理，到2023年，全市生活垃圾收转运处置体系覆盖所有行政村，再生资源回收网点覆盖60%以上行政村，实现保洁员配备合理、管理有效、村组保洁工作运转有序。到2025年，乡镇和农村地区生活垃圾分类工作取得明显成效。生活垃圾减量化、资源化、无害化水平显著提高，基本建立“垃圾分类有特色、转运设施较齐全、村庄保洁见长效，资金投入有保障、监管制度较完善”的农村生活垃圾治理体系。</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-到2025年底，全市有机肥使用面积达到370万亩。平均耕地质量提升一个等级，化肥使用量总体保持零增长。</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-2025年主要粮经作物主产区农药包装废弃物回收率达80%</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污染物排放管控</w:t>
            </w: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现有源提标升级改造</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（1）到2025年，农村生活污水处理覆盖率达到70%。（2）其他执行一般管控单元总体准入要求。</w:t>
            </w:r>
          </w:p>
          <w:p>
            <w:pPr>
              <w:pStyle w:val="82"/>
              <w:keepNext w:val="0"/>
              <w:keepLines w:val="0"/>
              <w:widowControl/>
              <w:suppressLineNumbers w:val="0"/>
              <w:shd w:val="clear" w:fill="FFFFFF"/>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0"/>
                <w:sz w:val="21"/>
                <w:szCs w:val="21"/>
                <w:lang w:val="en-US" w:eastAsia="zh-CN"/>
              </w:rPr>
            </w:pP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本项目属于养殖场项目，不在禁养区内，不涉及砖瓦行业、水泥、火电；废水经发酵床处理后，不外排。</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16"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新增源等量或倍量替代</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执行一般管控单元总体准入要求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本项目属于养殖场项目，废水经发酵床处理后，不外排；固废均得到妥善处置</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10"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新增源排放标准限值</w:t>
            </w:r>
          </w:p>
          <w:p>
            <w:pPr>
              <w:pStyle w:val="1263"/>
              <w:widowControl/>
              <w:shd w:val="clear" w:color="auto" w:fill="FFFFFF"/>
              <w:spacing w:line="240" w:lineRule="auto"/>
              <w:ind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本项目属于养殖场项目，废水经发酵床处理后，不外排；固废均得到妥善处置</w:t>
            </w:r>
          </w:p>
        </w:tc>
        <w:tc>
          <w:tcPr>
            <w:tcW w:w="543"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94"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污染物排放绩效水平准入要求</w:t>
            </w:r>
          </w:p>
          <w:p>
            <w:pPr>
              <w:pStyle w:val="1263"/>
              <w:widowControl/>
              <w:shd w:val="clear" w:color="auto" w:fill="FFFFFF"/>
              <w:spacing w:line="240" w:lineRule="auto"/>
              <w:ind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eastAsia="宋体" w:cs="Times New Roman"/>
                <w:color w:val="auto"/>
                <w:kern w:val="0"/>
                <w:sz w:val="21"/>
                <w:szCs w:val="21"/>
                <w:lang w:val="en-US" w:eastAsia="zh-CN"/>
              </w:rPr>
            </w:pPr>
          </w:p>
        </w:tc>
        <w:tc>
          <w:tcPr>
            <w:tcW w:w="543"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环境风险防控：</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联防联控要求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强化大气污染区域联防联控措施，实施重污染天气应急管控。修订重污染天气应急预案，动态更新污染源排放清单，落实重点企业错峰生产、压产限产、工地停工等强制性措施，有效减缓重污染天气影响。</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其他环境风险防控要求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企业环境风险防控要求: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 xml:space="preserve">-工业企业退出用地，须经评估、修复满足相应用地功能后，方可改变用途。 </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-加强“散乱污”企业环境风险防控。</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-现有涉及五类重金属的企业，严控污染物排放，限时整治或搬迁。</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用地环境风险防控要求: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-严禁将城镇生活垃圾、污泥、工业废物直接用作肥料，禁止处理不达标的污泥进入耕地；禁止在农用地排放、倾倒、使用污泥、清淤底泥、尾矿（渣）等可能对土壤造成污染的固体废物。</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-定期对单元内尾矿库进行风险巡查，建立监测系统和环境风险应急预案；完善各尾矿库渗滤液收集、处理、回用系统，杜绝事故排放；尾矿库闭矿后因地制宜进行植被恢复和综合利用。                                                                                                  -规范排土场、渣场等整治。</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-严格控制林地、草地、园地的农药使用量，禁止使用高毒、高残留农药。</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环境风险防控</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严格管控类农用地管控要求</w:t>
            </w:r>
          </w:p>
          <w:p>
            <w:pPr>
              <w:pStyle w:val="1263"/>
              <w:widowControl/>
              <w:shd w:val="clear" w:color="auto" w:fill="FFFFFF"/>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仿宋"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本项目属于养殖场项目，风险</w:t>
            </w:r>
            <w:r>
              <w:rPr>
                <w:rFonts w:hint="eastAsia" w:ascii="宋体" w:hAnsi="宋体" w:eastAsia="宋体" w:cs="宋体"/>
                <w:color w:val="auto"/>
                <w:kern w:val="0"/>
                <w:sz w:val="21"/>
                <w:szCs w:val="21"/>
                <w:lang w:val="en-US" w:eastAsia="zh-CN" w:bidi="ar"/>
              </w:rPr>
              <w:t>潜势为I，风险较小</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36"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安全利用类农用地管控要求</w:t>
            </w:r>
          </w:p>
          <w:p>
            <w:pPr>
              <w:pStyle w:val="1263"/>
              <w:widowControl/>
              <w:shd w:val="clear" w:color="auto" w:fill="FFFFFF"/>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污染地块管控要求</w:t>
            </w:r>
          </w:p>
          <w:p>
            <w:pPr>
              <w:pStyle w:val="1263"/>
              <w:widowControl/>
              <w:shd w:val="clear" w:color="auto" w:fill="FFFFFF"/>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82"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企业环境风险防控要求</w:t>
            </w:r>
          </w:p>
          <w:p>
            <w:pPr>
              <w:pStyle w:val="1263"/>
              <w:widowControl/>
              <w:shd w:val="clear" w:color="auto" w:fill="FFFFFF"/>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本项目属于养殖场项目，不涉及重金属及尾矿库，固废均得到妥善处理</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资源开发利用效率要求：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水资源利用总量要求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暂无</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地下水开采要求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-巴中市2025年地下水开采控制控制量保持在1400万m3以内。</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-地下水开采量控制在可开采量的允 许范围内，抑制用水过度增长。</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能源利用总量及效率要求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-推进清洁能源的推广使用，全面推进散煤清洁化整治；禁止新建每小时10蒸吨以下的燃煤锅炉及其他燃煤设施。</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-禁止焚烧秸秆和垃圾。</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禁燃区要求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在禁燃区内禁止销售、燃用高污染燃料。禁燃区内禁止新建、扩建燃用高污染燃料的设施。已建成的，应当于2021年12月31日前改用天然气、页岩气、液化石油气、电或其他清洁能源。现有燃用高污染燃料燃用设施在拆除或改造前，有关单位（企业）应当采取措施，确保大气污染物排放达到国家规定标准。</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其他资源利用效率要求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ascii="宋体" w:hAnsi="宋体" w:eastAsia="宋体" w:cs="宋体"/>
                <w:color w:val="auto"/>
                <w:sz w:val="21"/>
                <w:szCs w:val="21"/>
                <w:lang w:val="en-US" w:eastAsia="zh-CN" w:bidi="ar"/>
              </w:rPr>
              <w:t>到2025年，巴中市农田有效灌溉系数达到0.56；到 2030 年，巴中市农田有效灌溉率提到40%，农田灌溉用水有效利用系数提高到 0.62 左右。</w:t>
            </w:r>
          </w:p>
        </w:tc>
        <w:tc>
          <w:tcPr>
            <w:tcW w:w="387"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资源开发效率要求</w:t>
            </w: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水资源利用效率要求</w:t>
            </w:r>
          </w:p>
          <w:p>
            <w:pPr>
              <w:pStyle w:val="1263"/>
              <w:widowControl/>
              <w:shd w:val="clear" w:color="auto" w:fill="FFFFFF"/>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仿宋"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本项目水资源及能源需求量较小，本项目不涉及高污染燃料</w:t>
            </w:r>
            <w:r>
              <w:rPr>
                <w:rFonts w:hint="eastAsia" w:ascii="Times New Roman" w:hAnsi="Times New Roman" w:eastAsia="宋体" w:cs="Times New Roman"/>
                <w:color w:val="auto"/>
                <w:kern w:val="0"/>
                <w:sz w:val="21"/>
                <w:szCs w:val="21"/>
                <w:lang w:val="en-US" w:eastAsia="zh-CN"/>
              </w:rPr>
              <w:t>；符合</w:t>
            </w:r>
          </w:p>
        </w:tc>
        <w:tc>
          <w:tcPr>
            <w:tcW w:w="543" w:type="pct"/>
            <w:vMerge w:val="restar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30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387"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p>
        </w:tc>
        <w:tc>
          <w:tcPr>
            <w:tcW w:w="782" w:type="pct"/>
            <w:noWrap w:val="0"/>
            <w:vAlign w:val="center"/>
          </w:tcPr>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能源利用效率要求</w:t>
            </w:r>
          </w:p>
          <w:p>
            <w:pPr>
              <w:pStyle w:val="1263"/>
              <w:widowControl/>
              <w:shd w:val="clear" w:color="auto" w:fill="FFFFFF"/>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执行一般管控单元总体准入要求</w:t>
            </w:r>
          </w:p>
        </w:tc>
        <w:tc>
          <w:tcPr>
            <w:tcW w:w="543"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543"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284" w:type="pct"/>
            <w:vMerge w:val="restart"/>
            <w:noWrap w:val="0"/>
            <w:vAlign w:val="center"/>
          </w:tcPr>
          <w:p>
            <w:pPr>
              <w:pStyle w:val="1263"/>
              <w:widowControl/>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YS5119033210003</w:t>
            </w:r>
          </w:p>
        </w:tc>
        <w:tc>
          <w:tcPr>
            <w:tcW w:w="302" w:type="pct"/>
            <w:vMerge w:val="restart"/>
            <w:noWrap w:val="0"/>
            <w:vAlign w:val="center"/>
          </w:tcPr>
          <w:p>
            <w:pPr>
              <w:pStyle w:val="1263"/>
              <w:widowControl/>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大坝河-恩阳区-控制单元</w:t>
            </w:r>
          </w:p>
        </w:tc>
        <w:tc>
          <w:tcPr>
            <w:tcW w:w="2158" w:type="pct"/>
            <w:vMerge w:val="restart"/>
            <w:noWrap w:val="0"/>
            <w:vAlign w:val="center"/>
          </w:tcPr>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空间布局约束：</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禁止开发建设活动的要求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限制开发建设活动的要求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不符合空间布局要求活动的退出要求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其他空间布局约束要求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污染物排放管控：</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允许排放量要求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现有源提标升级改造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其他污染物排放管控要求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环境风险防控：</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联防联控要求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其他环境风险防控要求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资源开发利用效率要求：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水资源利用总量要求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地下水开采要求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能源利用总量及效率要求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禁燃区要求</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暂无</w:t>
            </w:r>
          </w:p>
          <w:p>
            <w:pPr>
              <w:pStyle w:val="82"/>
              <w:keepNext w:val="0"/>
              <w:keepLines w:val="0"/>
              <w:widowControl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bidi="ar"/>
              </w:rPr>
              <w:t>其他资源利用效率要求</w:t>
            </w:r>
          </w:p>
          <w:p>
            <w:pPr>
              <w:keepNext w:val="0"/>
              <w:keepLines w:val="0"/>
              <w:widowControl/>
              <w:suppressLineNumbers w:val="0"/>
              <w:spacing w:before="0" w:beforeAutospacing="0" w:after="0" w:afterAutospacing="0" w:line="240" w:lineRule="auto"/>
              <w:ind w:left="0" w:right="0"/>
              <w:jc w:val="left"/>
              <w:rPr>
                <w:rFonts w:hint="default"/>
                <w:color w:val="auto"/>
              </w:rPr>
            </w:pPr>
            <w:r>
              <w:rPr>
                <w:rFonts w:hint="eastAsia" w:ascii="宋体" w:hAnsi="宋体" w:eastAsia="宋体" w:cs="宋体"/>
                <w:color w:val="auto"/>
                <w:kern w:val="2"/>
                <w:sz w:val="21"/>
                <w:szCs w:val="21"/>
                <w:lang w:val="en-US" w:eastAsia="zh-CN" w:bidi="ar"/>
              </w:rPr>
              <w:t>暂无</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387"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禁止开发建设活动的要求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限制开发建设活动的要求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允许开发建设活动的要求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不符合空间布局要求活动的退出要求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rPr>
            </w:pPr>
            <w:r>
              <w:rPr>
                <w:rStyle w:val="134"/>
                <w:rFonts w:hint="eastAsia" w:ascii="宋体" w:hAnsi="宋体" w:eastAsia="宋体" w:cs="Times New Roman"/>
                <w:color w:val="auto"/>
                <w:kern w:val="2"/>
                <w:sz w:val="21"/>
                <w:szCs w:val="21"/>
                <w:lang w:val="en-US" w:eastAsia="zh-CN" w:bidi="ar-SA"/>
              </w:rPr>
              <w:t>其他空间布局约束要求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污染物排放</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w:t>
            </w: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城镇污水污染控制措施要求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工业废水污染控制措施要求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农业面源水污染控制措施要求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船舶港口水污染控制措施要求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饮用水水源和其它特殊水体保护要求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环境风险防控</w:t>
            </w:r>
          </w:p>
        </w:tc>
        <w:tc>
          <w:tcPr>
            <w:tcW w:w="782"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Times New Roman"/>
                <w:color w:val="auto"/>
                <w:kern w:val="2"/>
                <w:sz w:val="21"/>
                <w:szCs w:val="21"/>
                <w:lang w:val="en-US" w:eastAsia="zh-CN" w:bidi="ar"/>
              </w:rPr>
              <w:t>进一步完善工业企业和矿山环境风险防范和管理体系建设，开展企业风险隐患排查与风险评估，增强企业的环境风险意识，守住环境安全底线。</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rPr>
              <w:t>本项目属于养殖场项目，风险</w:t>
            </w:r>
            <w:r>
              <w:rPr>
                <w:rFonts w:hint="eastAsia" w:ascii="宋体" w:hAnsi="宋体" w:eastAsia="宋体" w:cs="宋体"/>
                <w:color w:val="auto"/>
                <w:kern w:val="0"/>
                <w:sz w:val="21"/>
                <w:szCs w:val="21"/>
                <w:lang w:val="en-US" w:eastAsia="zh-CN" w:bidi="ar"/>
              </w:rPr>
              <w:t>潜势为I，风险较小。</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资源开发效率要求</w:t>
            </w: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禁止开发建设活动的要求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限制开发建设活动的要求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允许开发建设活动的要求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不符合空间布局要求活动的退出要求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其他空间布局约束要求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restart"/>
            <w:noWrap w:val="0"/>
            <w:vAlign w:val="center"/>
          </w:tcPr>
          <w:p>
            <w:pPr>
              <w:pStyle w:val="1263"/>
              <w:widowControl/>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YS5119033310001</w:t>
            </w:r>
          </w:p>
        </w:tc>
        <w:tc>
          <w:tcPr>
            <w:tcW w:w="302" w:type="pct"/>
            <w:vMerge w:val="restart"/>
            <w:noWrap w:val="0"/>
            <w:vAlign w:val="center"/>
          </w:tcPr>
          <w:p>
            <w:pPr>
              <w:pStyle w:val="1263"/>
              <w:widowControl/>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恩阳区大气环境一般管控区</w:t>
            </w:r>
          </w:p>
        </w:tc>
        <w:tc>
          <w:tcPr>
            <w:tcW w:w="2158" w:type="pct"/>
            <w:vMerge w:val="continue"/>
            <w:noWrap w:val="0"/>
            <w:vAlign w:val="center"/>
          </w:tcPr>
          <w:p>
            <w:pPr>
              <w:pStyle w:val="82"/>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21"/>
                <w:szCs w:val="21"/>
              </w:rPr>
            </w:pPr>
          </w:p>
        </w:tc>
        <w:tc>
          <w:tcPr>
            <w:tcW w:w="387" w:type="pc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1"/>
                <w:szCs w:val="21"/>
              </w:rPr>
              <w:t>空间布局约束</w:t>
            </w:r>
          </w:p>
        </w:tc>
        <w:tc>
          <w:tcPr>
            <w:tcW w:w="782" w:type="pct"/>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3" w:type="pc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3" w:type="pc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1"/>
                <w:szCs w:val="21"/>
              </w:rPr>
              <w:t>污染物排放管控</w:t>
            </w: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大气环境质量执行标准</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《环境空气质量标准》（GB3095-2012）：二级</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区域大气污染物削减/替代要求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燃煤和其他能源大气污染控制要求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工业废气污染控制要求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机动车船大气污染控制要求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扬尘污染控制要求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农业生产经营活动大气污染控制要求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重点行业企业专项治理要求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其他大气污染物排放管控要求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减少工业化、城镇化对大气环境的影响，严格执行国家、省、市下达的相关大气污染防治要求。</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本项目属于养殖场项目，废气经治理后能达标排放。</w:t>
            </w:r>
          </w:p>
        </w:tc>
        <w:tc>
          <w:tcPr>
            <w:tcW w:w="543" w:type="pct"/>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1"/>
                <w:szCs w:val="21"/>
              </w:rPr>
              <w:t>环境风险防控</w:t>
            </w:r>
          </w:p>
        </w:tc>
        <w:tc>
          <w:tcPr>
            <w:tcW w:w="782" w:type="pct"/>
            <w:vMerge w:val="restart"/>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w:t>
            </w:r>
          </w:p>
        </w:tc>
        <w:tc>
          <w:tcPr>
            <w:tcW w:w="543" w:type="pct"/>
            <w:vMerge w:val="restar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w:t>
            </w:r>
          </w:p>
        </w:tc>
        <w:tc>
          <w:tcPr>
            <w:tcW w:w="543" w:type="pct"/>
            <w:vMerge w:val="restar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1"/>
                <w:szCs w:val="21"/>
              </w:rPr>
              <w:t>资源开发效率要求</w:t>
            </w:r>
          </w:p>
        </w:tc>
        <w:tc>
          <w:tcPr>
            <w:tcW w:w="78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rPr>
            </w:pPr>
          </w:p>
        </w:tc>
        <w:tc>
          <w:tcPr>
            <w:tcW w:w="543" w:type="pct"/>
            <w:vMerge w:val="continue"/>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543" w:type="pct"/>
            <w:vMerge w:val="continue"/>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restart"/>
            <w:noWrap w:val="0"/>
            <w:vAlign w:val="center"/>
          </w:tcPr>
          <w:p>
            <w:pPr>
              <w:pStyle w:val="1263"/>
              <w:widowControl/>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YS5119031410002</w:t>
            </w:r>
          </w:p>
        </w:tc>
        <w:tc>
          <w:tcPr>
            <w:tcW w:w="302" w:type="pct"/>
            <w:vMerge w:val="restart"/>
            <w:noWrap w:val="0"/>
            <w:vAlign w:val="center"/>
          </w:tcPr>
          <w:p>
            <w:pPr>
              <w:pStyle w:val="1263"/>
              <w:widowControl/>
              <w:spacing w:line="240" w:lineRule="auto"/>
              <w:ind w:left="0" w:leftChars="0" w:right="0" w:rightChars="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恩阳区土壤优先保护区</w:t>
            </w:r>
          </w:p>
        </w:tc>
        <w:tc>
          <w:tcPr>
            <w:tcW w:w="2158" w:type="pct"/>
            <w:vMerge w:val="continue"/>
            <w:noWrap w:val="0"/>
            <w:vAlign w:val="center"/>
          </w:tcPr>
          <w:p>
            <w:pPr>
              <w:pStyle w:val="82"/>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21"/>
                <w:szCs w:val="21"/>
              </w:rPr>
            </w:pPr>
          </w:p>
        </w:tc>
        <w:tc>
          <w:tcPr>
            <w:tcW w:w="387" w:type="pct"/>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782" w:type="pct"/>
            <w:noWrap w:val="0"/>
            <w:vAlign w:val="center"/>
          </w:tcPr>
          <w:p>
            <w:pPr>
              <w:pStyle w:val="1263"/>
              <w:widowControl/>
              <w:shd w:val="clear" w:color="auto" w:fill="FFFFFF"/>
              <w:spacing w:line="240" w:lineRule="auto"/>
              <w:ind w:firstLine="0" w:firstLineChars="0"/>
              <w:jc w:val="left"/>
              <w:rPr>
                <w:rStyle w:val="134"/>
                <w:rFonts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禁止开发建设活动的要求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限制开发建设活动的要求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允许开发建设活动的要求</w:t>
            </w:r>
          </w:p>
          <w:p>
            <w:pPr>
              <w:pStyle w:val="1263"/>
              <w:widowControl/>
              <w:shd w:val="clear" w:color="auto" w:fill="FFFFFF"/>
              <w:spacing w:line="240" w:lineRule="auto"/>
              <w:ind w:firstLine="0" w:firstLineChars="0"/>
              <w:jc w:val="left"/>
              <w:rPr>
                <w:rStyle w:val="134"/>
                <w:rFonts w:hint="eastAsia" w:ascii="宋体" w:hAnsi="宋体" w:eastAsia="宋体" w:cs="Times New Roman"/>
                <w:color w:val="auto"/>
                <w:kern w:val="2"/>
                <w:sz w:val="21"/>
                <w:szCs w:val="21"/>
                <w:lang w:val="en-US" w:eastAsia="zh-CN" w:bidi="ar-SA"/>
              </w:rPr>
            </w:pPr>
            <w:r>
              <w:rPr>
                <w:rStyle w:val="134"/>
                <w:rFonts w:hint="eastAsia" w:ascii="宋体" w:hAnsi="宋体" w:eastAsia="宋体" w:cs="Times New Roman"/>
                <w:color w:val="auto"/>
                <w:kern w:val="2"/>
                <w:sz w:val="21"/>
                <w:szCs w:val="21"/>
                <w:lang w:val="en-US" w:eastAsia="zh-CN" w:bidi="ar-SA"/>
              </w:rPr>
              <w:t>不符合空间布局要求活动的退出要求</w:t>
            </w:r>
          </w:p>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kern w:val="0"/>
                <w:sz w:val="21"/>
                <w:szCs w:val="21"/>
                <w:lang w:val="en-US" w:eastAsia="zh-CN"/>
              </w:rPr>
            </w:pPr>
            <w:r>
              <w:rPr>
                <w:rStyle w:val="134"/>
                <w:rFonts w:hint="eastAsia" w:ascii="宋体" w:hAnsi="宋体" w:eastAsia="宋体" w:cs="Times New Roman"/>
                <w:color w:val="auto"/>
                <w:kern w:val="2"/>
                <w:sz w:val="21"/>
                <w:szCs w:val="21"/>
                <w:lang w:val="en-US" w:eastAsia="zh-CN" w:bidi="ar-SA"/>
              </w:rPr>
              <w:t>其他空间布局约束要求</w:t>
            </w:r>
          </w:p>
        </w:tc>
        <w:tc>
          <w:tcPr>
            <w:tcW w:w="543" w:type="pc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43" w:type="pc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w:t>
            </w:r>
          </w:p>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w:t>
            </w:r>
          </w:p>
        </w:tc>
        <w:tc>
          <w:tcPr>
            <w:tcW w:w="782" w:type="pct"/>
            <w:vMerge w:val="restart"/>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43" w:type="pct"/>
            <w:vMerge w:val="restar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43" w:type="pct"/>
            <w:vMerge w:val="restart"/>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78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543" w:type="pct"/>
            <w:vMerge w:val="continue"/>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543" w:type="pct"/>
            <w:vMerge w:val="continue"/>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4"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302" w:type="pct"/>
            <w:vMerge w:val="continue"/>
            <w:noWrap w:val="0"/>
            <w:vAlign w:val="center"/>
          </w:tcPr>
          <w:p>
            <w:pPr>
              <w:pStyle w:val="126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kern w:val="0"/>
                <w:sz w:val="21"/>
                <w:szCs w:val="21"/>
                <w:lang w:val="en-US" w:eastAsia="zh-CN"/>
              </w:rPr>
            </w:pPr>
          </w:p>
        </w:tc>
        <w:tc>
          <w:tcPr>
            <w:tcW w:w="2158" w:type="pct"/>
            <w:vMerge w:val="continue"/>
            <w:noWrap w:val="0"/>
            <w:vAlign w:val="center"/>
          </w:tcPr>
          <w:p>
            <w:pPr>
              <w:pStyle w:val="151"/>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cs="Times New Roman"/>
                <w:b/>
                <w:bCs/>
                <w:color w:val="auto"/>
                <w:sz w:val="21"/>
                <w:szCs w:val="21"/>
              </w:rPr>
            </w:pPr>
          </w:p>
        </w:tc>
        <w:tc>
          <w:tcPr>
            <w:tcW w:w="387" w:type="pct"/>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782" w:type="pct"/>
            <w:vMerge w:val="continue"/>
            <w:noWrap w:val="0"/>
            <w:vAlign w:val="center"/>
          </w:tcPr>
          <w:p>
            <w:pPr>
              <w:pStyle w:val="1262"/>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543" w:type="pct"/>
            <w:vMerge w:val="continue"/>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c>
          <w:tcPr>
            <w:tcW w:w="543" w:type="pct"/>
            <w:vMerge w:val="continue"/>
            <w:noWrap w:val="0"/>
            <w:vAlign w:val="center"/>
          </w:tcPr>
          <w:p>
            <w:pPr>
              <w:pStyle w:val="1263"/>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42" w:leftChars="-20" w:right="-42" w:rightChars="-20" w:firstLine="0" w:firstLineChars="0"/>
              <w:jc w:val="left"/>
              <w:rPr>
                <w:rFonts w:hint="default" w:ascii="Times New Roman" w:hAnsi="Times New Roman" w:eastAsia="宋体" w:cs="Times New Roman"/>
                <w:color w:val="auto"/>
                <w:sz w:val="21"/>
                <w:szCs w:val="21"/>
              </w:rPr>
            </w:pPr>
          </w:p>
        </w:tc>
      </w:tr>
    </w:tbl>
    <w:p>
      <w:pPr>
        <w:spacing w:line="460" w:lineRule="exact"/>
        <w:ind w:right="-17" w:firstLine="482" w:firstLineChars="200"/>
        <w:rPr>
          <w:b/>
          <w:color w:val="auto"/>
          <w:sz w:val="24"/>
        </w:rPr>
      </w:pPr>
      <w:r>
        <w:rPr>
          <w:b/>
          <w:color w:val="auto"/>
          <w:sz w:val="24"/>
        </w:rPr>
        <w:t>综上分析，本项目建设符合“三线一单”要求。</w:t>
      </w:r>
    </w:p>
    <w:bookmarkEnd w:id="126"/>
    <w:bookmarkEnd w:id="127"/>
    <w:bookmarkEnd w:id="128"/>
    <w:bookmarkEnd w:id="129"/>
    <w:bookmarkEnd w:id="130"/>
    <w:p>
      <w:pPr>
        <w:pStyle w:val="180"/>
        <w:rPr>
          <w:rFonts w:hint="default" w:ascii="Times New Roman" w:hAnsi="Times New Roman" w:cs="Times New Roman" w:eastAsiaTheme="majorEastAsia"/>
          <w:b/>
          <w:bCs w:val="0"/>
          <w:color w:val="auto"/>
          <w:sz w:val="24"/>
          <w:szCs w:val="24"/>
        </w:rPr>
      </w:pPr>
      <w:bookmarkStart w:id="131" w:name="_Toc369359621"/>
      <w:bookmarkStart w:id="132" w:name="_Toc369334575"/>
      <w:bookmarkStart w:id="133" w:name="_Toc369191572"/>
      <w:bookmarkStart w:id="134" w:name="_Toc369197737"/>
      <w:bookmarkStart w:id="135" w:name="_Toc8029"/>
      <w:bookmarkStart w:id="136" w:name="_Toc369334755"/>
      <w:r>
        <w:rPr>
          <w:rFonts w:hint="default" w:ascii="Times New Roman" w:hAnsi="Times New Roman" w:cs="Times New Roman" w:eastAsiaTheme="majorEastAsia"/>
          <w:b/>
          <w:bCs w:val="0"/>
          <w:color w:val="auto"/>
          <w:sz w:val="24"/>
          <w:szCs w:val="24"/>
        </w:rPr>
        <w:t>选址合理性分析</w:t>
      </w:r>
      <w:bookmarkEnd w:id="131"/>
      <w:bookmarkEnd w:id="132"/>
      <w:bookmarkEnd w:id="133"/>
      <w:bookmarkEnd w:id="134"/>
      <w:bookmarkEnd w:id="135"/>
      <w:bookmarkEnd w:id="136"/>
    </w:p>
    <w:p>
      <w:pPr>
        <w:spacing w:line="360" w:lineRule="auto"/>
        <w:ind w:right="-17" w:firstLine="482" w:firstLineChars="200"/>
        <w:rPr>
          <w:b/>
          <w:color w:val="auto"/>
          <w:sz w:val="24"/>
        </w:rPr>
      </w:pPr>
      <w:r>
        <w:rPr>
          <w:b/>
          <w:color w:val="auto"/>
          <w:sz w:val="24"/>
        </w:rPr>
        <w:t>（1）场址外环境关系介绍</w:t>
      </w:r>
    </w:p>
    <w:p>
      <w:pPr>
        <w:pStyle w:val="4"/>
        <w:spacing w:line="360" w:lineRule="auto"/>
        <w:ind w:firstLine="480"/>
        <w:jc w:val="both"/>
        <w:rPr>
          <w:rFonts w:ascii="Times New Roman"/>
          <w:color w:val="auto"/>
        </w:rPr>
      </w:pPr>
      <w:r>
        <w:rPr>
          <w:rFonts w:ascii="Times New Roman"/>
          <w:color w:val="auto"/>
        </w:rPr>
        <w:t>根据现场勘查，本项目位于</w:t>
      </w:r>
      <w:r>
        <w:rPr>
          <w:rFonts w:hint="eastAsia" w:ascii="Times New Roman"/>
          <w:color w:val="auto"/>
          <w:lang w:val="en-US" w:eastAsia="zh-CN"/>
        </w:rPr>
        <w:t>巴中市</w:t>
      </w:r>
      <w:r>
        <w:rPr>
          <w:rFonts w:hint="eastAsia" w:ascii="Times New Roman"/>
          <w:color w:val="auto"/>
        </w:rPr>
        <w:t>恩阳区群乐镇坳盘村2组</w:t>
      </w:r>
      <w:r>
        <w:rPr>
          <w:rFonts w:ascii="Times New Roman"/>
          <w:color w:val="auto"/>
        </w:rPr>
        <w:t>，项目周边为农村环境，周边主要为林地和农田，无其他工业企业，通过现场调查，对项目周边四至环境进行详细介绍：</w:t>
      </w:r>
    </w:p>
    <w:p>
      <w:pPr>
        <w:pStyle w:val="4"/>
        <w:spacing w:line="360" w:lineRule="auto"/>
        <w:ind w:firstLine="480"/>
        <w:jc w:val="both"/>
        <w:rPr>
          <w:rFonts w:hint="eastAsia" w:ascii="Times New Roman"/>
          <w:color w:val="auto"/>
          <w:lang w:eastAsia="zh-CN"/>
        </w:rPr>
      </w:pPr>
      <w:r>
        <w:rPr>
          <w:rFonts w:ascii="Times New Roman"/>
          <w:color w:val="auto"/>
        </w:rPr>
        <w:t>项目东侧厂界外</w:t>
      </w:r>
      <w:r>
        <w:rPr>
          <w:rFonts w:hint="eastAsia" w:ascii="Times New Roman"/>
          <w:color w:val="auto"/>
          <w:lang w:val="en-US" w:eastAsia="zh-CN"/>
        </w:rPr>
        <w:t>32-339</w:t>
      </w:r>
      <w:r>
        <w:rPr>
          <w:rFonts w:ascii="Times New Roman"/>
          <w:color w:val="auto"/>
        </w:rPr>
        <w:t>m处有</w:t>
      </w:r>
      <w:r>
        <w:rPr>
          <w:rFonts w:hint="eastAsia" w:ascii="Times New Roman"/>
          <w:color w:val="auto"/>
          <w:lang w:val="en-US" w:eastAsia="zh-CN"/>
        </w:rPr>
        <w:t>12</w:t>
      </w:r>
      <w:r>
        <w:rPr>
          <w:rFonts w:ascii="Times New Roman"/>
          <w:color w:val="auto"/>
        </w:rPr>
        <w:t>户农户（约</w:t>
      </w:r>
      <w:r>
        <w:rPr>
          <w:rFonts w:hint="eastAsia" w:ascii="Times New Roman"/>
          <w:color w:val="auto"/>
          <w:lang w:val="en-US" w:eastAsia="zh-CN"/>
        </w:rPr>
        <w:t>36</w:t>
      </w:r>
      <w:r>
        <w:rPr>
          <w:rFonts w:ascii="Times New Roman"/>
          <w:color w:val="auto"/>
        </w:rPr>
        <w:t>人）</w:t>
      </w:r>
      <w:r>
        <w:rPr>
          <w:rFonts w:hint="eastAsia" w:ascii="Times New Roman"/>
          <w:color w:val="auto"/>
          <w:lang w:eastAsia="zh-CN"/>
        </w:rPr>
        <w:t>；</w:t>
      </w:r>
      <w:r>
        <w:rPr>
          <w:rFonts w:hint="eastAsia" w:ascii="Times New Roman"/>
          <w:color w:val="auto"/>
          <w:lang w:val="en-US" w:eastAsia="zh-CN"/>
        </w:rPr>
        <w:t>东北侧厂界外24m处3户</w:t>
      </w:r>
      <w:r>
        <w:rPr>
          <w:rFonts w:ascii="Times New Roman"/>
          <w:color w:val="auto"/>
        </w:rPr>
        <w:t>农户（约</w:t>
      </w:r>
      <w:r>
        <w:rPr>
          <w:rFonts w:hint="eastAsia" w:ascii="Times New Roman"/>
          <w:color w:val="auto"/>
          <w:lang w:val="en-US" w:eastAsia="zh-CN"/>
        </w:rPr>
        <w:t>9</w:t>
      </w:r>
      <w:r>
        <w:rPr>
          <w:rFonts w:ascii="Times New Roman"/>
          <w:color w:val="auto"/>
        </w:rPr>
        <w:t>人）</w:t>
      </w:r>
      <w:r>
        <w:rPr>
          <w:rFonts w:hint="eastAsia" w:ascii="Times New Roman"/>
          <w:color w:val="auto"/>
          <w:lang w:eastAsia="zh-CN"/>
        </w:rPr>
        <w:t>；</w:t>
      </w:r>
      <w:r>
        <w:rPr>
          <w:rFonts w:ascii="Times New Roman"/>
          <w:color w:val="auto"/>
        </w:rPr>
        <w:t>项目东</w:t>
      </w:r>
      <w:r>
        <w:rPr>
          <w:rFonts w:hint="eastAsia" w:ascii="Times New Roman"/>
          <w:color w:val="auto"/>
          <w:lang w:val="en-US" w:eastAsia="zh-CN"/>
        </w:rPr>
        <w:t>北</w:t>
      </w:r>
      <w:r>
        <w:rPr>
          <w:rFonts w:ascii="Times New Roman"/>
          <w:color w:val="auto"/>
        </w:rPr>
        <w:t>侧厂界外</w:t>
      </w:r>
      <w:r>
        <w:rPr>
          <w:rFonts w:hint="eastAsia" w:ascii="Times New Roman"/>
          <w:color w:val="auto"/>
          <w:lang w:val="en-US" w:eastAsia="zh-CN"/>
        </w:rPr>
        <w:t>99-332</w:t>
      </w:r>
      <w:r>
        <w:rPr>
          <w:rFonts w:ascii="Times New Roman"/>
          <w:color w:val="auto"/>
        </w:rPr>
        <w:t>m处有</w:t>
      </w:r>
      <w:r>
        <w:rPr>
          <w:rFonts w:hint="eastAsia" w:ascii="Times New Roman"/>
          <w:color w:val="auto"/>
          <w:lang w:val="en-US" w:eastAsia="zh-CN"/>
        </w:rPr>
        <w:t>13</w:t>
      </w:r>
      <w:r>
        <w:rPr>
          <w:rFonts w:ascii="Times New Roman"/>
          <w:color w:val="auto"/>
        </w:rPr>
        <w:t>户农户（约</w:t>
      </w:r>
      <w:r>
        <w:rPr>
          <w:rFonts w:hint="eastAsia" w:ascii="Times New Roman"/>
          <w:color w:val="auto"/>
          <w:lang w:val="en-US" w:eastAsia="zh-CN"/>
        </w:rPr>
        <w:t>39</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东</w:t>
      </w:r>
      <w:r>
        <w:rPr>
          <w:rFonts w:ascii="Times New Roman"/>
          <w:color w:val="auto"/>
        </w:rPr>
        <w:t>南侧厂界外</w:t>
      </w:r>
      <w:r>
        <w:rPr>
          <w:rFonts w:hint="eastAsia" w:ascii="Times New Roman"/>
          <w:color w:val="auto"/>
          <w:lang w:val="en-US" w:eastAsia="zh-CN"/>
        </w:rPr>
        <w:t>5-380</w:t>
      </w:r>
      <w:r>
        <w:rPr>
          <w:rFonts w:hint="eastAsia" w:ascii="Times New Roman"/>
          <w:color w:val="auto"/>
        </w:rPr>
        <w:t>m处有</w:t>
      </w:r>
      <w:r>
        <w:rPr>
          <w:rFonts w:hint="eastAsia" w:ascii="Times New Roman"/>
          <w:color w:val="auto"/>
          <w:lang w:val="en-US" w:eastAsia="zh-CN"/>
        </w:rPr>
        <w:t>10</w:t>
      </w:r>
      <w:r>
        <w:rPr>
          <w:rFonts w:hint="eastAsia" w:ascii="Times New Roman"/>
          <w:color w:val="auto"/>
        </w:rPr>
        <w:t>户</w:t>
      </w:r>
      <w:r>
        <w:rPr>
          <w:rFonts w:ascii="Times New Roman"/>
          <w:color w:val="auto"/>
        </w:rPr>
        <w:t>农户（约</w:t>
      </w:r>
      <w:r>
        <w:rPr>
          <w:rFonts w:hint="eastAsia" w:ascii="Times New Roman"/>
          <w:color w:val="auto"/>
          <w:lang w:val="en-US" w:eastAsia="zh-CN"/>
        </w:rPr>
        <w:t>30</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南</w:t>
      </w:r>
      <w:r>
        <w:rPr>
          <w:rFonts w:ascii="Times New Roman"/>
          <w:color w:val="auto"/>
        </w:rPr>
        <w:t>侧厂界外</w:t>
      </w:r>
      <w:r>
        <w:rPr>
          <w:rFonts w:hint="eastAsia" w:ascii="Times New Roman"/>
          <w:color w:val="auto"/>
          <w:lang w:val="en-US" w:eastAsia="zh-CN"/>
        </w:rPr>
        <w:t>5-366</w:t>
      </w:r>
      <w:r>
        <w:rPr>
          <w:rFonts w:ascii="Times New Roman"/>
          <w:color w:val="auto"/>
        </w:rPr>
        <w:t>m处有</w:t>
      </w:r>
      <w:r>
        <w:rPr>
          <w:rFonts w:hint="eastAsia" w:ascii="Times New Roman"/>
          <w:color w:val="auto"/>
          <w:lang w:val="en-US" w:eastAsia="zh-CN"/>
        </w:rPr>
        <w:t>19</w:t>
      </w:r>
      <w:r>
        <w:rPr>
          <w:rFonts w:ascii="Times New Roman"/>
          <w:color w:val="auto"/>
        </w:rPr>
        <w:t>户农户（约</w:t>
      </w:r>
      <w:r>
        <w:rPr>
          <w:rFonts w:hint="eastAsia" w:ascii="Times New Roman"/>
          <w:color w:val="auto"/>
          <w:lang w:val="en-US" w:eastAsia="zh-CN"/>
        </w:rPr>
        <w:t>57</w:t>
      </w:r>
      <w:r>
        <w:rPr>
          <w:rFonts w:ascii="Times New Roman"/>
          <w:color w:val="auto"/>
        </w:rPr>
        <w:t>人）</w:t>
      </w:r>
      <w:r>
        <w:rPr>
          <w:rFonts w:hint="eastAsia" w:ascii="Times New Roman"/>
          <w:color w:val="auto"/>
          <w:lang w:eastAsia="zh-CN"/>
        </w:rPr>
        <w:t>；</w:t>
      </w:r>
      <w:r>
        <w:rPr>
          <w:rFonts w:hint="eastAsia" w:ascii="Times New Roman"/>
          <w:color w:val="auto"/>
          <w:lang w:val="en-US" w:eastAsia="zh-CN"/>
        </w:rPr>
        <w:t>南侧厂界外229-556m处8户</w:t>
      </w:r>
      <w:r>
        <w:rPr>
          <w:rFonts w:ascii="Times New Roman"/>
          <w:color w:val="auto"/>
        </w:rPr>
        <w:t>农户（约</w:t>
      </w:r>
      <w:r>
        <w:rPr>
          <w:rFonts w:hint="eastAsia" w:ascii="Times New Roman"/>
          <w:color w:val="auto"/>
          <w:lang w:val="en-US" w:eastAsia="zh-CN"/>
        </w:rPr>
        <w:t>24</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西南</w:t>
      </w:r>
      <w:r>
        <w:rPr>
          <w:rFonts w:ascii="Times New Roman"/>
          <w:color w:val="auto"/>
        </w:rPr>
        <w:t>侧厂界外</w:t>
      </w:r>
      <w:r>
        <w:rPr>
          <w:rFonts w:hint="eastAsia" w:ascii="Times New Roman"/>
          <w:color w:val="auto"/>
          <w:lang w:val="en-US" w:eastAsia="zh-CN"/>
        </w:rPr>
        <w:t>150-360</w:t>
      </w:r>
      <w:r>
        <w:rPr>
          <w:rFonts w:ascii="Times New Roman"/>
          <w:color w:val="auto"/>
        </w:rPr>
        <w:t>m处有</w:t>
      </w:r>
      <w:r>
        <w:rPr>
          <w:rFonts w:hint="eastAsia" w:ascii="Times New Roman"/>
          <w:color w:val="auto"/>
          <w:lang w:val="en-US" w:eastAsia="zh-CN"/>
        </w:rPr>
        <w:t>3</w:t>
      </w:r>
      <w:r>
        <w:rPr>
          <w:rFonts w:ascii="Times New Roman"/>
          <w:color w:val="auto"/>
        </w:rPr>
        <w:t>户农户（约</w:t>
      </w:r>
      <w:r>
        <w:rPr>
          <w:rFonts w:hint="eastAsia" w:ascii="Times New Roman"/>
          <w:color w:val="auto"/>
          <w:lang w:val="en-US" w:eastAsia="zh-CN"/>
        </w:rPr>
        <w:t>24</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西南</w:t>
      </w:r>
      <w:r>
        <w:rPr>
          <w:rFonts w:ascii="Times New Roman"/>
          <w:color w:val="auto"/>
        </w:rPr>
        <w:t>侧厂界外</w:t>
      </w:r>
      <w:r>
        <w:rPr>
          <w:rFonts w:hint="eastAsia" w:ascii="Times New Roman"/>
          <w:color w:val="auto"/>
          <w:lang w:val="en-US" w:eastAsia="zh-CN"/>
        </w:rPr>
        <w:t>48</w:t>
      </w:r>
      <w:r>
        <w:rPr>
          <w:rFonts w:ascii="Times New Roman"/>
          <w:color w:val="auto"/>
        </w:rPr>
        <w:t>m</w:t>
      </w:r>
      <w:r>
        <w:rPr>
          <w:rFonts w:hint="eastAsia" w:ascii="Times New Roman"/>
          <w:color w:val="auto"/>
          <w:lang w:val="en-US" w:eastAsia="zh-CN"/>
        </w:rPr>
        <w:t>-118</w:t>
      </w:r>
      <w:r>
        <w:rPr>
          <w:rFonts w:ascii="Times New Roman"/>
          <w:color w:val="auto"/>
        </w:rPr>
        <w:t>处有</w:t>
      </w:r>
      <w:r>
        <w:rPr>
          <w:rFonts w:hint="eastAsia" w:ascii="Times New Roman"/>
          <w:color w:val="auto"/>
          <w:lang w:val="en-US" w:eastAsia="zh-CN"/>
        </w:rPr>
        <w:t>6</w:t>
      </w:r>
      <w:r>
        <w:rPr>
          <w:rFonts w:ascii="Times New Roman"/>
          <w:color w:val="auto"/>
        </w:rPr>
        <w:t>户农户（约</w:t>
      </w:r>
      <w:r>
        <w:rPr>
          <w:rFonts w:hint="eastAsia" w:ascii="Times New Roman"/>
          <w:color w:val="auto"/>
          <w:lang w:val="en-US" w:eastAsia="zh-CN"/>
        </w:rPr>
        <w:t>18</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w:t>
      </w:r>
      <w:r>
        <w:rPr>
          <w:rFonts w:ascii="Times New Roman"/>
          <w:color w:val="auto"/>
        </w:rPr>
        <w:t>侧厂界外</w:t>
      </w:r>
      <w:r>
        <w:rPr>
          <w:rFonts w:hint="eastAsia" w:ascii="Times New Roman"/>
          <w:color w:val="auto"/>
          <w:lang w:val="en-US" w:eastAsia="zh-CN"/>
        </w:rPr>
        <w:t>54-252</w:t>
      </w:r>
      <w:r>
        <w:rPr>
          <w:rFonts w:ascii="Times New Roman"/>
          <w:color w:val="auto"/>
        </w:rPr>
        <w:t>m处有</w:t>
      </w:r>
      <w:r>
        <w:rPr>
          <w:rFonts w:hint="eastAsia" w:ascii="Times New Roman"/>
          <w:color w:val="auto"/>
          <w:lang w:val="en-US" w:eastAsia="zh-CN"/>
        </w:rPr>
        <w:t>5</w:t>
      </w:r>
      <w:r>
        <w:rPr>
          <w:rFonts w:ascii="Times New Roman"/>
          <w:color w:val="auto"/>
        </w:rPr>
        <w:t>户农户（约</w:t>
      </w:r>
      <w:r>
        <w:rPr>
          <w:rFonts w:hint="eastAsia" w:ascii="Times New Roman"/>
          <w:color w:val="auto"/>
          <w:lang w:val="en-US" w:eastAsia="zh-CN"/>
        </w:rPr>
        <w:t>15</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西北</w:t>
      </w:r>
      <w:r>
        <w:rPr>
          <w:rFonts w:ascii="Times New Roman"/>
          <w:color w:val="auto"/>
        </w:rPr>
        <w:t>侧厂界外</w:t>
      </w:r>
      <w:r>
        <w:rPr>
          <w:rFonts w:hint="eastAsia" w:ascii="Times New Roman"/>
          <w:color w:val="auto"/>
          <w:lang w:val="en-US" w:eastAsia="zh-CN"/>
        </w:rPr>
        <w:t>3-85</w:t>
      </w:r>
      <w:r>
        <w:rPr>
          <w:rFonts w:ascii="Times New Roman"/>
          <w:color w:val="auto"/>
        </w:rPr>
        <w:t>m处有</w:t>
      </w:r>
      <w:r>
        <w:rPr>
          <w:rFonts w:hint="eastAsia" w:ascii="Times New Roman"/>
          <w:color w:val="auto"/>
          <w:lang w:val="en-US" w:eastAsia="zh-CN"/>
        </w:rPr>
        <w:t>7</w:t>
      </w:r>
      <w:r>
        <w:rPr>
          <w:rFonts w:ascii="Times New Roman"/>
          <w:color w:val="auto"/>
        </w:rPr>
        <w:t>户农户（约</w:t>
      </w:r>
      <w:r>
        <w:rPr>
          <w:rFonts w:hint="eastAsia" w:ascii="Times New Roman"/>
          <w:color w:val="auto"/>
          <w:lang w:val="en-US" w:eastAsia="zh-CN"/>
        </w:rPr>
        <w:t>21</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北</w:t>
      </w:r>
      <w:r>
        <w:rPr>
          <w:rFonts w:ascii="Times New Roman"/>
          <w:color w:val="auto"/>
        </w:rPr>
        <w:t>侧厂界外</w:t>
      </w:r>
      <w:r>
        <w:rPr>
          <w:rFonts w:hint="eastAsia" w:ascii="Times New Roman"/>
          <w:color w:val="auto"/>
          <w:lang w:val="en-US" w:eastAsia="zh-CN"/>
        </w:rPr>
        <w:t>145-341m</w:t>
      </w:r>
      <w:r>
        <w:rPr>
          <w:rFonts w:ascii="Times New Roman"/>
          <w:color w:val="auto"/>
        </w:rPr>
        <w:t>处有</w:t>
      </w:r>
      <w:r>
        <w:rPr>
          <w:rFonts w:hint="eastAsia" w:ascii="Times New Roman"/>
          <w:color w:val="auto"/>
          <w:lang w:val="en-US" w:eastAsia="zh-CN"/>
        </w:rPr>
        <w:t>5</w:t>
      </w:r>
      <w:r>
        <w:rPr>
          <w:rFonts w:ascii="Times New Roman"/>
          <w:color w:val="auto"/>
        </w:rPr>
        <w:t>户农户（约</w:t>
      </w:r>
      <w:r>
        <w:rPr>
          <w:rFonts w:hint="eastAsia" w:ascii="Times New Roman"/>
          <w:color w:val="auto"/>
          <w:lang w:val="en-US" w:eastAsia="zh-CN"/>
        </w:rPr>
        <w:t>15</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ascii="Times New Roman"/>
          <w:color w:val="auto"/>
          <w:szCs w:val="24"/>
        </w:rPr>
      </w:pPr>
      <w:r>
        <w:rPr>
          <w:rFonts w:hint="eastAsia" w:ascii="Times New Roman"/>
          <w:color w:val="auto"/>
        </w:rPr>
        <w:t>从本项目外环境现状看，外环境关系较简单。</w:t>
      </w:r>
      <w:r>
        <w:rPr>
          <w:rFonts w:hint="eastAsia" w:ascii="Times New Roman"/>
          <w:color w:val="auto"/>
          <w:lang w:val="en-US" w:eastAsia="zh-CN"/>
        </w:rPr>
        <w:t>周边</w:t>
      </w:r>
      <w:r>
        <w:rPr>
          <w:rFonts w:ascii="Times New Roman"/>
          <w:color w:val="auto"/>
        </w:rPr>
        <w:t>主要为</w:t>
      </w:r>
      <w:r>
        <w:rPr>
          <w:rFonts w:hint="eastAsia" w:ascii="Times New Roman"/>
          <w:color w:val="auto"/>
          <w:lang w:val="en-US" w:eastAsia="zh-CN"/>
        </w:rPr>
        <w:t>农户、</w:t>
      </w:r>
      <w:r>
        <w:rPr>
          <w:rFonts w:ascii="Times New Roman"/>
          <w:color w:val="auto"/>
        </w:rPr>
        <w:t>农田和</w:t>
      </w:r>
      <w:r>
        <w:rPr>
          <w:rFonts w:hint="eastAsia" w:ascii="Times New Roman"/>
          <w:color w:val="auto"/>
          <w:lang w:val="en-US" w:eastAsia="zh-CN"/>
        </w:rPr>
        <w:t>林地</w:t>
      </w:r>
      <w:r>
        <w:rPr>
          <w:rFonts w:ascii="Times New Roman"/>
          <w:color w:val="auto"/>
        </w:rPr>
        <w:t>，主要种植</w:t>
      </w:r>
      <w:r>
        <w:rPr>
          <w:rFonts w:hint="eastAsia" w:ascii="Times New Roman"/>
          <w:color w:val="auto"/>
          <w:lang w:val="en-US" w:eastAsia="zh-CN"/>
        </w:rPr>
        <w:t>作物</w:t>
      </w:r>
      <w:r>
        <w:rPr>
          <w:rFonts w:ascii="Times New Roman"/>
          <w:color w:val="auto"/>
        </w:rPr>
        <w:t>为水稻、麦子，</w:t>
      </w:r>
      <w:r>
        <w:rPr>
          <w:rFonts w:ascii="Times New Roman"/>
          <w:color w:val="auto"/>
          <w:szCs w:val="24"/>
        </w:rPr>
        <w:t>从本项目外环境现状看，外环境关系较简单。</w:t>
      </w:r>
    </w:p>
    <w:p>
      <w:pPr>
        <w:spacing w:line="460" w:lineRule="exact"/>
        <w:ind w:right="-17" w:firstLine="482" w:firstLineChars="200"/>
        <w:rPr>
          <w:b/>
          <w:color w:val="auto"/>
          <w:sz w:val="24"/>
        </w:rPr>
      </w:pPr>
      <w:r>
        <w:rPr>
          <w:b/>
          <w:color w:val="auto"/>
          <w:sz w:val="24"/>
        </w:rPr>
        <w:t>（2）选址合理性分析</w:t>
      </w:r>
    </w:p>
    <w:p>
      <w:pPr>
        <w:spacing w:line="460" w:lineRule="exact"/>
        <w:ind w:right="-17" w:firstLine="482" w:firstLineChars="200"/>
        <w:rPr>
          <w:b/>
          <w:color w:val="auto"/>
          <w:sz w:val="24"/>
        </w:rPr>
      </w:pPr>
      <w:r>
        <w:rPr>
          <w:b/>
          <w:color w:val="auto"/>
          <w:sz w:val="24"/>
        </w:rPr>
        <w:t>1）基础设施依托合理性分析</w:t>
      </w:r>
    </w:p>
    <w:p>
      <w:pPr>
        <w:spacing w:line="460" w:lineRule="exact"/>
        <w:ind w:right="-17" w:firstLine="480" w:firstLineChars="200"/>
        <w:rPr>
          <w:rFonts w:hint="eastAsia"/>
          <w:color w:val="auto"/>
          <w:sz w:val="24"/>
          <w:szCs w:val="32"/>
          <w:lang w:val="en-US" w:eastAsia="zh-CN"/>
        </w:rPr>
      </w:pPr>
      <w:r>
        <w:rPr>
          <w:rFonts w:hint="eastAsia"/>
          <w:color w:val="auto"/>
          <w:sz w:val="24"/>
        </w:rPr>
        <w:t>巴中乾兴产业园区建设投资有限公司</w:t>
      </w:r>
      <w:r>
        <w:rPr>
          <w:rFonts w:hint="eastAsia"/>
          <w:color w:val="auto"/>
          <w:sz w:val="24"/>
          <w:lang w:eastAsia="zh-CN"/>
        </w:rPr>
        <w:t>恩阳区群乐镇坳盘村巴山肉牛育肥场项目</w:t>
      </w:r>
      <w:r>
        <w:rPr>
          <w:rFonts w:hint="eastAsia"/>
          <w:color w:val="auto"/>
          <w:sz w:val="24"/>
          <w:szCs w:val="32"/>
          <w:lang w:val="en-US" w:eastAsia="zh-CN"/>
        </w:rPr>
        <w:t>选址于巴中市</w:t>
      </w:r>
      <w:r>
        <w:rPr>
          <w:rFonts w:hint="eastAsia"/>
          <w:color w:val="auto"/>
          <w:sz w:val="24"/>
          <w:szCs w:val="32"/>
          <w:lang w:eastAsia="zh-CN"/>
        </w:rPr>
        <w:t>恩阳区群乐镇坳盘村2组</w:t>
      </w:r>
      <w:r>
        <w:rPr>
          <w:rFonts w:hint="eastAsia"/>
          <w:color w:val="auto"/>
          <w:sz w:val="24"/>
          <w:szCs w:val="32"/>
          <w:lang w:val="en-US" w:eastAsia="zh-CN"/>
        </w:rPr>
        <w:t>，项目总用地面积</w:t>
      </w:r>
      <w:r>
        <w:rPr>
          <w:rFonts w:hint="eastAsia"/>
          <w:color w:val="auto"/>
          <w:sz w:val="24"/>
          <w:lang w:val="en-US" w:eastAsia="zh-CN"/>
        </w:rPr>
        <w:t>164626.67</w:t>
      </w:r>
      <w:r>
        <w:rPr>
          <w:rFonts w:hint="eastAsia"/>
          <w:color w:val="auto"/>
          <w:sz w:val="24"/>
        </w:rPr>
        <w:t>平方米（</w:t>
      </w:r>
      <w:r>
        <w:rPr>
          <w:rFonts w:hint="eastAsia"/>
          <w:color w:val="auto"/>
          <w:sz w:val="24"/>
          <w:lang w:val="en-US" w:eastAsia="zh-CN"/>
        </w:rPr>
        <w:t>246.94</w:t>
      </w:r>
      <w:r>
        <w:rPr>
          <w:rFonts w:hint="eastAsia"/>
          <w:color w:val="auto"/>
          <w:sz w:val="24"/>
        </w:rPr>
        <w:t>亩）</w:t>
      </w:r>
      <w:r>
        <w:rPr>
          <w:rFonts w:hint="eastAsia"/>
          <w:color w:val="auto"/>
          <w:sz w:val="24"/>
          <w:szCs w:val="32"/>
          <w:lang w:val="en-US" w:eastAsia="zh-CN"/>
        </w:rPr>
        <w:t>。根据《巴中市恩阳区人民政府设施农业项目用地备案通知书》（恩群设农备字[2023]第1号），“根据土地勘测定界报告确定设施农用地规模用地总面积为16.46公顷。其中：农用地16.46公顷(永久基本农田0公顷)；未利用土地0公顷。”</w:t>
      </w:r>
    </w:p>
    <w:p>
      <w:pPr>
        <w:spacing w:line="460" w:lineRule="exact"/>
        <w:ind w:right="-17" w:firstLine="480" w:firstLineChars="200"/>
        <w:rPr>
          <w:rFonts w:hint="eastAsia"/>
          <w:color w:val="auto"/>
          <w:sz w:val="24"/>
          <w:szCs w:val="32"/>
          <w:lang w:val="en-US" w:eastAsia="zh-CN"/>
        </w:rPr>
      </w:pPr>
      <w:r>
        <w:rPr>
          <w:rFonts w:hint="eastAsia"/>
          <w:color w:val="auto"/>
          <w:sz w:val="24"/>
          <w:szCs w:val="32"/>
          <w:lang w:val="en-US" w:eastAsia="zh-CN"/>
        </w:rPr>
        <w:t>项目选址位于巴中市</w:t>
      </w:r>
      <w:r>
        <w:rPr>
          <w:rFonts w:hint="eastAsia" w:ascii="Times New Roman"/>
          <w:color w:val="auto"/>
          <w:sz w:val="24"/>
          <w:szCs w:val="32"/>
        </w:rPr>
        <w:t>恩阳区群乐镇坳盘村2组</w:t>
      </w:r>
      <w:r>
        <w:rPr>
          <w:rFonts w:hint="eastAsia"/>
          <w:color w:val="auto"/>
          <w:sz w:val="24"/>
          <w:szCs w:val="32"/>
          <w:lang w:val="en-US" w:eastAsia="zh-CN"/>
        </w:rPr>
        <w:t>，项目有乡道连接，路况较好，故项目区域交通条件较好，项目选址交通便利；本项目供电均由市政电网供电，且本项目备有柴油发电机，故本项目的供电得到保障。</w:t>
      </w:r>
    </w:p>
    <w:p>
      <w:pPr>
        <w:spacing w:line="460" w:lineRule="exact"/>
        <w:ind w:right="-17" w:firstLine="480" w:firstLineChars="200"/>
        <w:rPr>
          <w:rFonts w:hint="eastAsia"/>
          <w:color w:val="auto"/>
          <w:sz w:val="24"/>
          <w:szCs w:val="32"/>
          <w:lang w:val="en-US" w:eastAsia="zh-CN"/>
        </w:rPr>
      </w:pPr>
      <w:r>
        <w:rPr>
          <w:rFonts w:hint="eastAsia"/>
          <w:color w:val="auto"/>
          <w:sz w:val="24"/>
          <w:szCs w:val="32"/>
          <w:lang w:val="en-US" w:eastAsia="zh-CN"/>
        </w:rPr>
        <w:t>综上，本项目场址从区域配套基础设施分析，其选址具有合理性。</w:t>
      </w:r>
    </w:p>
    <w:p>
      <w:pPr>
        <w:spacing w:line="460" w:lineRule="exact"/>
        <w:ind w:right="-17" w:firstLine="482" w:firstLineChars="200"/>
        <w:rPr>
          <w:b/>
          <w:color w:val="auto"/>
          <w:sz w:val="24"/>
        </w:rPr>
      </w:pPr>
      <w:r>
        <w:rPr>
          <w:rFonts w:hint="eastAsia"/>
          <w:b/>
          <w:color w:val="auto"/>
          <w:sz w:val="24"/>
          <w:lang w:val="en-US" w:eastAsia="zh-CN"/>
        </w:rPr>
        <w:t>2</w:t>
      </w:r>
      <w:r>
        <w:rPr>
          <w:b/>
          <w:color w:val="auto"/>
          <w:sz w:val="24"/>
        </w:rPr>
        <w:t>）场址周边制约性因素分析</w:t>
      </w:r>
    </w:p>
    <w:p>
      <w:pPr>
        <w:spacing w:line="460" w:lineRule="exact"/>
        <w:ind w:right="-17" w:firstLine="480" w:firstLineChars="200"/>
        <w:rPr>
          <w:color w:val="auto"/>
          <w:sz w:val="24"/>
        </w:rPr>
      </w:pPr>
      <w:r>
        <w:rPr>
          <w:color w:val="auto"/>
          <w:sz w:val="24"/>
        </w:rPr>
        <w:t>本项目拟选场址位于</w:t>
      </w:r>
      <w:r>
        <w:rPr>
          <w:rFonts w:hint="eastAsia"/>
          <w:color w:val="auto"/>
          <w:sz w:val="24"/>
          <w:szCs w:val="32"/>
          <w:lang w:val="en-US" w:eastAsia="zh-CN"/>
        </w:rPr>
        <w:t>巴中市</w:t>
      </w:r>
      <w:r>
        <w:rPr>
          <w:rFonts w:hint="eastAsia" w:ascii="Times New Roman"/>
          <w:color w:val="auto"/>
          <w:sz w:val="24"/>
          <w:szCs w:val="32"/>
        </w:rPr>
        <w:t>恩阳区群乐镇坳盘村2组</w:t>
      </w:r>
      <w:r>
        <w:rPr>
          <w:rFonts w:hint="eastAsia"/>
          <w:color w:val="auto"/>
          <w:sz w:val="24"/>
        </w:rPr>
        <w:t>，距离</w:t>
      </w:r>
      <w:r>
        <w:rPr>
          <w:rFonts w:hint="eastAsia"/>
          <w:color w:val="auto"/>
          <w:sz w:val="24"/>
          <w:szCs w:val="32"/>
          <w:lang w:val="en-US" w:eastAsia="zh-CN"/>
        </w:rPr>
        <w:t>群乐</w:t>
      </w:r>
      <w:r>
        <w:rPr>
          <w:rFonts w:hint="eastAsia" w:ascii="Times New Roman"/>
          <w:color w:val="auto"/>
          <w:sz w:val="24"/>
          <w:szCs w:val="32"/>
        </w:rPr>
        <w:t>镇</w:t>
      </w:r>
      <w:r>
        <w:rPr>
          <w:rFonts w:hint="eastAsia"/>
          <w:color w:val="auto"/>
          <w:sz w:val="24"/>
          <w:szCs w:val="32"/>
          <w:lang w:val="en-US" w:eastAsia="zh-CN"/>
        </w:rPr>
        <w:t>约</w:t>
      </w:r>
      <w:r>
        <w:rPr>
          <w:rFonts w:hint="eastAsia"/>
          <w:color w:val="auto"/>
          <w:sz w:val="24"/>
          <w:lang w:val="en-US" w:eastAsia="zh-CN"/>
        </w:rPr>
        <w:t>700</w:t>
      </w:r>
      <w:r>
        <w:rPr>
          <w:rFonts w:hint="eastAsia"/>
          <w:color w:val="auto"/>
          <w:sz w:val="24"/>
        </w:rPr>
        <w:t>m</w:t>
      </w:r>
      <w:r>
        <w:rPr>
          <w:color w:val="auto"/>
          <w:sz w:val="24"/>
        </w:rPr>
        <w:t>，周边主要为散居的农户，根据生态环境部关于畜禽养殖业选址问题的回复（2018-02-26）可知，散居的农户不属于《畜禽养殖业污染防治技术规范》（HJT81-2001）中3.1.2 规定的人口集中区，且对于养殖场与农村散户之间的距离，养殖场应在建设时应开展环境影响评价，根据当地的地理、环境及气象等因素确定与居民区之间的距离。项目建成后对周边敏感点的影响主要体现在项目恶臭及噪声对周边居民产生的影响，本项目采取了相关措施抑制恶臭的产生</w:t>
      </w:r>
      <w:r>
        <w:rPr>
          <w:rFonts w:hint="eastAsia"/>
          <w:color w:val="auto"/>
          <w:sz w:val="24"/>
          <w:lang w:val="en-US" w:eastAsia="zh-CN"/>
        </w:rPr>
        <w:t>影响</w:t>
      </w:r>
      <w:r>
        <w:rPr>
          <w:color w:val="auto"/>
          <w:sz w:val="24"/>
        </w:rPr>
        <w:t>，</w:t>
      </w:r>
      <w:r>
        <w:rPr>
          <w:rFonts w:hint="eastAsia"/>
          <w:color w:val="auto"/>
          <w:sz w:val="24"/>
          <w:lang w:val="en-US" w:eastAsia="zh-CN"/>
        </w:rPr>
        <w:t>且</w:t>
      </w:r>
      <w:r>
        <w:rPr>
          <w:b w:val="0"/>
          <w:bCs w:val="0"/>
          <w:color w:val="auto"/>
          <w:sz w:val="24"/>
        </w:rPr>
        <w:t>以本项目</w:t>
      </w:r>
      <w:r>
        <w:rPr>
          <w:rFonts w:hint="eastAsia"/>
          <w:b w:val="0"/>
          <w:bCs/>
          <w:color w:val="auto"/>
          <w:sz w:val="24"/>
        </w:rPr>
        <w:t>恶臭源</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、发酵床</w:t>
      </w:r>
      <w:r>
        <w:rPr>
          <w:rFonts w:hint="eastAsia"/>
          <w:b w:val="0"/>
          <w:bCs/>
          <w:color w:val="auto"/>
          <w:sz w:val="24"/>
        </w:rPr>
        <w:t>边界起1</w:t>
      </w:r>
      <w:r>
        <w:rPr>
          <w:b w:val="0"/>
          <w:bCs/>
          <w:color w:val="auto"/>
          <w:sz w:val="24"/>
        </w:rPr>
        <w:t>00m</w:t>
      </w:r>
      <w:r>
        <w:rPr>
          <w:rFonts w:hint="eastAsia"/>
          <w:b w:val="0"/>
          <w:bCs/>
          <w:color w:val="auto"/>
          <w:sz w:val="24"/>
          <w:lang w:val="en-US" w:eastAsia="zh-CN"/>
        </w:rPr>
        <w:t>和TMR管理中心</w:t>
      </w:r>
      <w:r>
        <w:rPr>
          <w:rFonts w:hint="eastAsia"/>
          <w:b w:val="0"/>
          <w:bCs/>
          <w:color w:val="auto"/>
          <w:sz w:val="24"/>
        </w:rPr>
        <w:t>边界起</w:t>
      </w:r>
      <w:r>
        <w:rPr>
          <w:rFonts w:hint="eastAsia"/>
          <w:b w:val="0"/>
          <w:bCs/>
          <w:color w:val="auto"/>
          <w:sz w:val="24"/>
          <w:lang w:val="en-US" w:eastAsia="zh-CN"/>
        </w:rPr>
        <w:t>5</w:t>
      </w:r>
      <w:r>
        <w:rPr>
          <w:b w:val="0"/>
          <w:bCs/>
          <w:color w:val="auto"/>
          <w:sz w:val="24"/>
        </w:rPr>
        <w:t>0m</w:t>
      </w:r>
      <w:r>
        <w:rPr>
          <w:rFonts w:hint="eastAsia"/>
          <w:b w:val="0"/>
          <w:bCs/>
          <w:color w:val="auto"/>
          <w:sz w:val="24"/>
        </w:rPr>
        <w:t>的区域</w:t>
      </w:r>
      <w:r>
        <w:rPr>
          <w:rFonts w:hint="eastAsia"/>
          <w:b w:val="0"/>
          <w:bCs/>
          <w:color w:val="auto"/>
          <w:sz w:val="24"/>
          <w:lang w:val="en-US" w:eastAsia="zh-CN"/>
        </w:rPr>
        <w:t>划定为</w:t>
      </w:r>
      <w:r>
        <w:rPr>
          <w:rFonts w:hint="eastAsia"/>
          <w:b w:val="0"/>
          <w:bCs/>
          <w:color w:val="auto"/>
          <w:sz w:val="24"/>
        </w:rPr>
        <w:t>卫生防护距离</w:t>
      </w:r>
      <w:r>
        <w:rPr>
          <w:rFonts w:hint="eastAsia"/>
          <w:color w:val="auto"/>
          <w:sz w:val="24"/>
          <w:lang w:eastAsia="zh-CN"/>
        </w:rPr>
        <w:t>，</w:t>
      </w:r>
      <w:r>
        <w:rPr>
          <w:rFonts w:hint="eastAsia"/>
          <w:bCs/>
          <w:color w:val="auto"/>
          <w:sz w:val="24"/>
        </w:rPr>
        <w:t>根据现场踏勘，卫生防护距离范围内</w:t>
      </w:r>
      <w:r>
        <w:rPr>
          <w:rFonts w:hint="eastAsia"/>
          <w:bCs/>
          <w:color w:val="auto"/>
          <w:sz w:val="24"/>
          <w:lang w:val="en-US" w:eastAsia="zh-CN"/>
        </w:rPr>
        <w:t>有20户农户</w:t>
      </w:r>
      <w:r>
        <w:rPr>
          <w:rFonts w:hint="eastAsia"/>
          <w:color w:val="auto"/>
          <w:sz w:val="24"/>
          <w:lang w:eastAsia="zh-CN"/>
        </w:rPr>
        <w:t>，</w:t>
      </w:r>
      <w:r>
        <w:rPr>
          <w:rFonts w:hint="eastAsia"/>
          <w:color w:val="auto"/>
          <w:sz w:val="24"/>
        </w:rPr>
        <w:t>已签订租赁合同，租赁为本项目的办公区域</w:t>
      </w:r>
      <w:r>
        <w:rPr>
          <w:rFonts w:hint="eastAsia"/>
          <w:color w:val="auto"/>
          <w:sz w:val="24"/>
          <w:lang w:eastAsia="zh-CN"/>
        </w:rPr>
        <w:t>，</w:t>
      </w:r>
      <w:r>
        <w:rPr>
          <w:color w:val="auto"/>
          <w:sz w:val="24"/>
        </w:rPr>
        <w:t>对卫生防护距离范围内的农户功能置换后，项目产生的恶臭及噪声对周围居民的影响在可接受范围内，因此项目选址通过从环保角度而言是合理的。</w:t>
      </w:r>
    </w:p>
    <w:p>
      <w:pPr>
        <w:spacing w:line="460" w:lineRule="exact"/>
        <w:ind w:right="-17" w:firstLine="480" w:firstLineChars="200"/>
        <w:rPr>
          <w:color w:val="auto"/>
          <w:sz w:val="24"/>
        </w:rPr>
      </w:pPr>
      <w:r>
        <w:rPr>
          <w:color w:val="auto"/>
          <w:sz w:val="24"/>
        </w:rPr>
        <w:t>本项目周围属农村环境，不属于禁止畜禽规模养殖区，生态环境良好，人口较稀疏，不涉及水源保护区、风景名胜区、自然保护区等环境敏感区，养殖区周围500m范围内、水源上游没有对产地环境构成威胁的污染源。本</w:t>
      </w:r>
      <w:r>
        <w:rPr>
          <w:rFonts w:hint="eastAsia"/>
          <w:color w:val="auto"/>
          <w:sz w:val="24"/>
          <w:lang w:val="en-US" w:eastAsia="zh-CN"/>
        </w:rPr>
        <w:t>项目</w:t>
      </w:r>
      <w:r>
        <w:rPr>
          <w:color w:val="auto"/>
          <w:sz w:val="24"/>
        </w:rPr>
        <w:t>外环境关系相对简单，场址周围无明显环境制约因素。项目占地不涉及饮用水水源保护区、风景名胜区、自然保护区等环境敏感区。本项目选址不在划定的畜禽养殖禁养区范围内，与《农产品安全质量—无公害畜禽肉产地环境要求》、《畜禽养殖业污染防治技术规范》等规范相符合。</w:t>
      </w:r>
    </w:p>
    <w:p>
      <w:pPr>
        <w:keepNext w:val="0"/>
        <w:keepLines w:val="0"/>
        <w:pageBreakBefore w:val="0"/>
        <w:widowControl w:val="0"/>
        <w:kinsoku/>
        <w:wordWrap/>
        <w:overflowPunct/>
        <w:topLinePunct w:val="0"/>
        <w:autoSpaceDE/>
        <w:autoSpaceDN/>
        <w:bidi w:val="0"/>
        <w:adjustRightInd/>
        <w:snapToGrid/>
        <w:spacing w:before="0" w:beforeLines="50" w:line="360" w:lineRule="auto"/>
        <w:ind w:right="-17" w:firstLine="482" w:firstLineChars="200"/>
        <w:textAlignment w:val="auto"/>
        <w:rPr>
          <w:b/>
          <w:color w:val="auto"/>
          <w:sz w:val="24"/>
        </w:rPr>
      </w:pPr>
      <w:r>
        <w:rPr>
          <w:rFonts w:hint="eastAsia"/>
          <w:b/>
          <w:color w:val="auto"/>
          <w:sz w:val="24"/>
          <w:lang w:val="en-US" w:eastAsia="zh-CN"/>
        </w:rPr>
        <w:t>3</w:t>
      </w:r>
      <w:r>
        <w:rPr>
          <w:b/>
          <w:color w:val="auto"/>
          <w:sz w:val="24"/>
        </w:rPr>
        <w:t>）场址选址合理性分析结论</w:t>
      </w:r>
    </w:p>
    <w:p>
      <w:pPr>
        <w:spacing w:line="360" w:lineRule="auto"/>
        <w:ind w:right="-17" w:firstLine="480" w:firstLineChars="200"/>
        <w:rPr>
          <w:color w:val="auto"/>
          <w:sz w:val="24"/>
        </w:rPr>
      </w:pPr>
      <w:r>
        <w:rPr>
          <w:color w:val="auto"/>
          <w:sz w:val="24"/>
        </w:rPr>
        <w:t>通过上述分析，本项目选址于</w:t>
      </w:r>
      <w:r>
        <w:rPr>
          <w:rFonts w:hint="eastAsia"/>
          <w:color w:val="auto"/>
          <w:sz w:val="24"/>
          <w:szCs w:val="32"/>
          <w:lang w:val="en-US" w:eastAsia="zh-CN"/>
        </w:rPr>
        <w:t>巴中市</w:t>
      </w:r>
      <w:r>
        <w:rPr>
          <w:rFonts w:hint="eastAsia"/>
          <w:color w:val="auto"/>
          <w:sz w:val="24"/>
          <w:szCs w:val="32"/>
          <w:lang w:eastAsia="zh-CN"/>
        </w:rPr>
        <w:t>恩阳区群乐镇坳盘村2组</w:t>
      </w:r>
      <w:r>
        <w:rPr>
          <w:color w:val="auto"/>
          <w:sz w:val="24"/>
        </w:rPr>
        <w:t>，项目区交通便利；项目区配套基础设施完善，为项目建设提供了可靠的保障；同时项目周边无任何其他企业，无企业制约因素；本项目选址主要受周围居民的制约</w:t>
      </w:r>
      <w:r>
        <w:rPr>
          <w:rFonts w:hint="eastAsia"/>
          <w:color w:val="auto"/>
          <w:sz w:val="24"/>
          <w:lang w:eastAsia="zh-CN"/>
        </w:rPr>
        <w:t>，</w:t>
      </w:r>
      <w:r>
        <w:rPr>
          <w:rFonts w:hint="eastAsia"/>
          <w:color w:val="auto"/>
          <w:sz w:val="24"/>
          <w:lang w:val="en-US" w:eastAsia="zh-CN"/>
        </w:rPr>
        <w:t>通过</w:t>
      </w:r>
      <w:r>
        <w:rPr>
          <w:color w:val="auto"/>
          <w:sz w:val="24"/>
        </w:rPr>
        <w:t>采取措施抑制恶臭的产生，周边农户对本项目选址制约因素不明显。</w:t>
      </w:r>
    </w:p>
    <w:p>
      <w:pPr>
        <w:spacing w:line="360" w:lineRule="auto"/>
        <w:ind w:right="-17" w:firstLine="480" w:firstLineChars="200"/>
        <w:rPr>
          <w:color w:val="auto"/>
          <w:sz w:val="24"/>
        </w:rPr>
      </w:pPr>
      <w:r>
        <w:rPr>
          <w:color w:val="auto"/>
          <w:sz w:val="24"/>
        </w:rPr>
        <w:t>综上，本项目选址主要受周围居民的制约，通过采取措施抑制恶臭的产生</w:t>
      </w:r>
      <w:r>
        <w:rPr>
          <w:rFonts w:hint="eastAsia"/>
          <w:color w:val="auto"/>
          <w:sz w:val="24"/>
          <w:lang w:eastAsia="zh-CN"/>
        </w:rPr>
        <w:t>，</w:t>
      </w:r>
      <w:r>
        <w:rPr>
          <w:rFonts w:hint="eastAsia"/>
          <w:color w:val="auto"/>
          <w:sz w:val="24"/>
          <w:lang w:val="en-US" w:eastAsia="zh-CN"/>
        </w:rPr>
        <w:t>减少对周边居民的影响</w:t>
      </w:r>
      <w:r>
        <w:rPr>
          <w:color w:val="auto"/>
          <w:sz w:val="24"/>
        </w:rPr>
        <w:t>，项目选址具有环境合理性。</w:t>
      </w:r>
    </w:p>
    <w:p>
      <w:pPr>
        <w:spacing w:line="360" w:lineRule="auto"/>
        <w:ind w:right="-17" w:firstLine="482" w:firstLineChars="200"/>
        <w:rPr>
          <w:color w:val="auto"/>
        </w:rPr>
      </w:pPr>
      <w:r>
        <w:rPr>
          <w:b/>
          <w:color w:val="auto"/>
          <w:sz w:val="24"/>
        </w:rPr>
        <w:t>综上所述，从综合因素考虑，本项目选址合理。</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137" w:name="_Toc7922"/>
      <w:bookmarkStart w:id="138" w:name="_Toc4361"/>
      <w:bookmarkStart w:id="139" w:name="_Toc4393"/>
      <w:r>
        <w:rPr>
          <w:rFonts w:ascii="Times New Roman" w:hAnsi="Times New Roman" w:cs="Times New Roman" w:eastAsiaTheme="majorEastAsia"/>
          <w:bCs/>
          <w:color w:val="auto"/>
          <w:kern w:val="2"/>
          <w:szCs w:val="32"/>
          <w:lang w:val="en-US" w:eastAsia="zh-CN"/>
        </w:rPr>
        <w:t>评价范围、主要保护目标及污染控制目标</w:t>
      </w:r>
      <w:bookmarkEnd w:id="137"/>
      <w:bookmarkEnd w:id="138"/>
      <w:bookmarkEnd w:id="139"/>
    </w:p>
    <w:p>
      <w:pPr>
        <w:pStyle w:val="180"/>
        <w:rPr>
          <w:rFonts w:hint="default" w:ascii="Times New Roman" w:hAnsi="Times New Roman" w:cs="Times New Roman" w:eastAsiaTheme="majorEastAsia"/>
          <w:b/>
          <w:bCs w:val="0"/>
          <w:color w:val="auto"/>
          <w:sz w:val="24"/>
          <w:szCs w:val="24"/>
        </w:rPr>
      </w:pPr>
      <w:bookmarkStart w:id="140" w:name="_Toc28952"/>
      <w:r>
        <w:rPr>
          <w:rFonts w:hint="default" w:ascii="Times New Roman" w:hAnsi="Times New Roman" w:cs="Times New Roman" w:eastAsiaTheme="majorEastAsia"/>
          <w:b/>
          <w:bCs w:val="0"/>
          <w:color w:val="auto"/>
          <w:sz w:val="24"/>
          <w:szCs w:val="24"/>
        </w:rPr>
        <w:t>评价范围</w:t>
      </w:r>
      <w:bookmarkEnd w:id="140"/>
    </w:p>
    <w:p>
      <w:pPr>
        <w:pStyle w:val="4"/>
        <w:spacing w:line="360" w:lineRule="auto"/>
        <w:ind w:firstLine="480"/>
        <w:jc w:val="both"/>
        <w:rPr>
          <w:rFonts w:ascii="Times New Roman"/>
          <w:color w:val="auto"/>
          <w:szCs w:val="24"/>
        </w:rPr>
      </w:pPr>
      <w:r>
        <w:rPr>
          <w:rFonts w:ascii="Times New Roman"/>
          <w:color w:val="auto"/>
          <w:szCs w:val="24"/>
        </w:rPr>
        <w:t>（1）大气环境</w:t>
      </w:r>
    </w:p>
    <w:p>
      <w:pPr>
        <w:pStyle w:val="4"/>
        <w:spacing w:line="360" w:lineRule="auto"/>
        <w:ind w:firstLine="480"/>
        <w:jc w:val="both"/>
        <w:rPr>
          <w:rFonts w:hint="default" w:ascii="Times New Roman" w:hAnsi="Times New Roman" w:cs="Times New Roman"/>
          <w:color w:val="auto"/>
          <w:szCs w:val="24"/>
        </w:rPr>
      </w:pPr>
      <w:r>
        <w:rPr>
          <w:rFonts w:hint="default" w:ascii="Times New Roman" w:hAnsi="Times New Roman" w:cs="Times New Roman"/>
          <w:color w:val="auto"/>
        </w:rPr>
        <w:t>依据《环境影响评价技术导则大气环境》（HJ2.2-2018）</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本项目为</w:t>
      </w:r>
      <w:r>
        <w:rPr>
          <w:rFonts w:hint="eastAsia" w:ascii="Times New Roman" w:cs="Times New Roman"/>
          <w:color w:val="auto"/>
          <w:szCs w:val="24"/>
          <w:lang w:val="en-US" w:eastAsia="zh-CN"/>
        </w:rPr>
        <w:t>二</w:t>
      </w:r>
      <w:r>
        <w:rPr>
          <w:rFonts w:hint="default" w:ascii="Times New Roman" w:hAnsi="Times New Roman" w:cs="Times New Roman"/>
          <w:color w:val="auto"/>
          <w:szCs w:val="24"/>
          <w:lang w:val="en-US" w:eastAsia="zh-CN"/>
        </w:rPr>
        <w:t>级评价</w:t>
      </w:r>
      <w:r>
        <w:rPr>
          <w:rFonts w:hint="default" w:ascii="Times New Roman" w:hAnsi="Times New Roman" w:cs="Times New Roman"/>
          <w:color w:val="auto"/>
          <w:lang w:val="en-US" w:eastAsia="zh-CN"/>
        </w:rPr>
        <w:t>，因此</w:t>
      </w:r>
      <w:r>
        <w:rPr>
          <w:rFonts w:hint="default" w:ascii="Times New Roman" w:hAnsi="Times New Roman" w:cs="Times New Roman"/>
          <w:color w:val="auto"/>
          <w:szCs w:val="24"/>
        </w:rPr>
        <w:t>评价范围为以厂址为中心，边长5km×5km的范围。</w:t>
      </w:r>
    </w:p>
    <w:p>
      <w:pPr>
        <w:pStyle w:val="4"/>
        <w:spacing w:line="360" w:lineRule="auto"/>
        <w:ind w:firstLine="480"/>
        <w:jc w:val="both"/>
        <w:rPr>
          <w:rFonts w:ascii="Times New Roman"/>
          <w:color w:val="auto"/>
          <w:szCs w:val="24"/>
        </w:rPr>
      </w:pPr>
      <w:r>
        <w:rPr>
          <w:rFonts w:ascii="Times New Roman"/>
          <w:color w:val="auto"/>
          <w:szCs w:val="24"/>
        </w:rPr>
        <w:t>（2）地表水环境</w:t>
      </w:r>
    </w:p>
    <w:p>
      <w:pPr>
        <w:pStyle w:val="4"/>
        <w:spacing w:line="360" w:lineRule="auto"/>
        <w:ind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本项目所产生的废水</w:t>
      </w:r>
      <w:r>
        <w:rPr>
          <w:rFonts w:hint="eastAsia" w:ascii="Times New Roman" w:cs="Times New Roman"/>
          <w:color w:val="auto"/>
          <w:lang w:val="en-US" w:eastAsia="zh-CN"/>
        </w:rPr>
        <w:t>经发酵床处理后，不外排</w:t>
      </w:r>
      <w:r>
        <w:rPr>
          <w:rFonts w:hint="default" w:ascii="Times New Roman" w:hAnsi="Times New Roman" w:cs="Times New Roman"/>
          <w:color w:val="auto"/>
          <w:szCs w:val="24"/>
        </w:rPr>
        <w:t>，故本项目不划定地表水环境评价范围。</w:t>
      </w:r>
    </w:p>
    <w:p>
      <w:pPr>
        <w:pStyle w:val="4"/>
        <w:spacing w:line="360" w:lineRule="auto"/>
        <w:ind w:firstLine="480"/>
        <w:jc w:val="both"/>
        <w:rPr>
          <w:rFonts w:ascii="Times New Roman"/>
          <w:color w:val="auto"/>
          <w:szCs w:val="24"/>
        </w:rPr>
      </w:pPr>
      <w:r>
        <w:rPr>
          <w:rFonts w:ascii="Times New Roman"/>
          <w:color w:val="auto"/>
          <w:szCs w:val="24"/>
        </w:rPr>
        <w:t>（3）声环境</w:t>
      </w:r>
    </w:p>
    <w:p>
      <w:pPr>
        <w:pStyle w:val="4"/>
        <w:spacing w:line="360" w:lineRule="auto"/>
        <w:ind w:firstLine="480"/>
        <w:jc w:val="both"/>
        <w:rPr>
          <w:rFonts w:ascii="Times New Roman"/>
          <w:color w:val="auto"/>
          <w:szCs w:val="24"/>
        </w:rPr>
      </w:pPr>
      <w:r>
        <w:rPr>
          <w:rFonts w:ascii="Times New Roman"/>
          <w:color w:val="auto"/>
        </w:rPr>
        <w:t>根据《环境影响评价技术导则声环境》（HJ2.4-2009）中的有关规定，确定本项目声环境评价范围为建设项目场区边界外</w:t>
      </w:r>
      <w:r>
        <w:rPr>
          <w:rFonts w:hint="eastAsia" w:ascii="Times New Roman"/>
          <w:color w:val="auto"/>
        </w:rPr>
        <w:t>2</w:t>
      </w:r>
      <w:r>
        <w:rPr>
          <w:rFonts w:ascii="Times New Roman"/>
          <w:color w:val="auto"/>
        </w:rPr>
        <w:t>00m以内的范围。</w:t>
      </w:r>
    </w:p>
    <w:p>
      <w:pPr>
        <w:pStyle w:val="4"/>
        <w:spacing w:line="360" w:lineRule="auto"/>
        <w:ind w:firstLine="480"/>
        <w:jc w:val="both"/>
        <w:rPr>
          <w:rFonts w:ascii="Times New Roman"/>
          <w:color w:val="auto"/>
          <w:szCs w:val="24"/>
        </w:rPr>
      </w:pPr>
      <w:r>
        <w:rPr>
          <w:rFonts w:ascii="Times New Roman"/>
          <w:color w:val="auto"/>
          <w:szCs w:val="24"/>
        </w:rPr>
        <w:t>（4）地下水环境</w:t>
      </w:r>
    </w:p>
    <w:p>
      <w:pPr>
        <w:pStyle w:val="4"/>
        <w:spacing w:line="360" w:lineRule="auto"/>
        <w:ind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根据《环境影响评价技术导则--地下水环境》(HJ610-2016)中相关要求，地下水评价范围确定方法有公式法、查表法和自定义法三种，本评价采用公式法确定项目地下水评价范围。</w:t>
      </w:r>
    </w:p>
    <w:p>
      <w:pPr>
        <w:pStyle w:val="4"/>
        <w:spacing w:line="360" w:lineRule="auto"/>
        <w:ind w:firstLine="480"/>
        <w:jc w:val="both"/>
        <w:rPr>
          <w:rFonts w:hint="eastAsia" w:hAnsi="宋体" w:eastAsia="宋体"/>
          <w:color w:val="auto"/>
          <w:szCs w:val="24"/>
          <w:lang w:eastAsia="zh-CN"/>
        </w:rPr>
      </w:pPr>
      <w:r>
        <w:rPr>
          <w:rFonts w:hAnsi="宋体"/>
          <w:color w:val="auto"/>
          <w:szCs w:val="24"/>
        </w:rPr>
        <w:t>评价范围为建设场地及周边</w:t>
      </w:r>
      <w:r>
        <w:rPr>
          <w:rFonts w:hint="eastAsia" w:hAnsi="宋体"/>
          <w:color w:val="auto"/>
          <w:szCs w:val="24"/>
          <w:lang w:val="en-US" w:eastAsia="zh-CN"/>
        </w:rPr>
        <w:t>0.431</w:t>
      </w:r>
      <w:r>
        <w:rPr>
          <w:rFonts w:hint="default" w:ascii="Times New Roman" w:hAnsi="Times New Roman" w:cs="Times New Roman"/>
          <w:color w:val="auto"/>
          <w:szCs w:val="24"/>
        </w:rPr>
        <w:t>km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范</w:t>
      </w:r>
      <w:r>
        <w:rPr>
          <w:rFonts w:hAnsi="宋体"/>
          <w:color w:val="auto"/>
          <w:szCs w:val="24"/>
        </w:rPr>
        <w:t>围</w:t>
      </w:r>
      <w:r>
        <w:rPr>
          <w:rFonts w:hint="eastAsia" w:hAnsi="宋体"/>
          <w:color w:val="auto"/>
          <w:szCs w:val="24"/>
          <w:lang w:eastAsia="zh-CN"/>
        </w:rPr>
        <w:t>。</w:t>
      </w:r>
    </w:p>
    <w:p>
      <w:pPr>
        <w:pStyle w:val="4"/>
        <w:spacing w:line="360" w:lineRule="auto"/>
        <w:ind w:firstLine="480"/>
        <w:jc w:val="both"/>
        <w:rPr>
          <w:rFonts w:ascii="Times New Roman"/>
          <w:color w:val="auto"/>
          <w:szCs w:val="24"/>
        </w:rPr>
      </w:pPr>
      <w:r>
        <w:rPr>
          <w:rFonts w:ascii="Times New Roman"/>
          <w:color w:val="auto"/>
          <w:szCs w:val="24"/>
        </w:rPr>
        <w:t>（5）土壤环境</w:t>
      </w:r>
    </w:p>
    <w:p>
      <w:pPr>
        <w:pStyle w:val="4"/>
        <w:spacing w:line="360" w:lineRule="auto"/>
        <w:ind w:firstLine="480"/>
        <w:jc w:val="both"/>
        <w:rPr>
          <w:rFonts w:ascii="Times New Roman"/>
          <w:color w:val="auto"/>
          <w:szCs w:val="24"/>
        </w:rPr>
      </w:pPr>
      <w:r>
        <w:rPr>
          <w:rFonts w:ascii="Times New Roman"/>
          <w:color w:val="auto"/>
          <w:szCs w:val="24"/>
        </w:rPr>
        <w:t>按照环评技术导则规范要求，项目评价范围为厂址外0.05km范围。</w:t>
      </w:r>
    </w:p>
    <w:p>
      <w:pPr>
        <w:pStyle w:val="4"/>
        <w:spacing w:line="360" w:lineRule="auto"/>
        <w:ind w:firstLine="480"/>
        <w:jc w:val="both"/>
        <w:rPr>
          <w:rFonts w:ascii="Times New Roman"/>
          <w:color w:val="auto"/>
          <w:szCs w:val="24"/>
        </w:rPr>
      </w:pPr>
      <w:r>
        <w:rPr>
          <w:rFonts w:ascii="Times New Roman"/>
          <w:color w:val="auto"/>
          <w:szCs w:val="24"/>
        </w:rPr>
        <w:t>（6）生态环境</w:t>
      </w:r>
    </w:p>
    <w:p>
      <w:pPr>
        <w:pStyle w:val="4"/>
        <w:spacing w:line="360" w:lineRule="auto"/>
        <w:ind w:firstLine="480"/>
        <w:jc w:val="both"/>
        <w:rPr>
          <w:rFonts w:ascii="Times New Roman"/>
          <w:color w:val="auto"/>
          <w:szCs w:val="24"/>
        </w:rPr>
      </w:pPr>
      <w:r>
        <w:rPr>
          <w:rFonts w:ascii="Times New Roman"/>
          <w:color w:val="auto"/>
          <w:szCs w:val="24"/>
        </w:rPr>
        <w:t>根据《环境影响评价技术导则生态影响》（HJ19-2011）的规定，并结合本项目周边实际环境情况，确定生态评价范围为本项目各侧外扩500m范围内区域。</w:t>
      </w:r>
    </w:p>
    <w:p>
      <w:pPr>
        <w:pStyle w:val="180"/>
        <w:rPr>
          <w:rFonts w:hint="default" w:ascii="Times New Roman" w:hAnsi="Times New Roman" w:cs="Times New Roman" w:eastAsiaTheme="majorEastAsia"/>
          <w:b/>
          <w:bCs w:val="0"/>
          <w:color w:val="auto"/>
          <w:sz w:val="24"/>
          <w:szCs w:val="24"/>
        </w:rPr>
      </w:pPr>
      <w:bookmarkStart w:id="141" w:name="_Toc3652"/>
      <w:r>
        <w:rPr>
          <w:rFonts w:hint="default" w:ascii="Times New Roman" w:hAnsi="Times New Roman" w:cs="Times New Roman" w:eastAsiaTheme="majorEastAsia"/>
          <w:b/>
          <w:bCs w:val="0"/>
          <w:color w:val="auto"/>
          <w:sz w:val="24"/>
          <w:szCs w:val="24"/>
        </w:rPr>
        <w:t>主要保护目标</w:t>
      </w:r>
      <w:bookmarkEnd w:id="141"/>
    </w:p>
    <w:p>
      <w:pPr>
        <w:pStyle w:val="4"/>
        <w:spacing w:line="360" w:lineRule="auto"/>
        <w:ind w:firstLine="480"/>
        <w:jc w:val="both"/>
        <w:rPr>
          <w:rFonts w:ascii="Times New Roman"/>
          <w:color w:val="auto"/>
        </w:rPr>
      </w:pPr>
      <w:r>
        <w:rPr>
          <w:rFonts w:ascii="Times New Roman"/>
          <w:color w:val="auto"/>
        </w:rPr>
        <w:t>根据现场勘查，本项目位于</w:t>
      </w:r>
      <w:r>
        <w:rPr>
          <w:rFonts w:hint="eastAsia" w:ascii="Times New Roman"/>
          <w:color w:val="auto"/>
          <w:lang w:val="en-US" w:eastAsia="zh-CN"/>
        </w:rPr>
        <w:t>巴中市</w:t>
      </w:r>
      <w:r>
        <w:rPr>
          <w:rFonts w:hint="eastAsia" w:ascii="Times New Roman"/>
          <w:color w:val="auto"/>
        </w:rPr>
        <w:t>恩阳区群乐镇坳盘村2组</w:t>
      </w:r>
      <w:r>
        <w:rPr>
          <w:rFonts w:ascii="Times New Roman"/>
          <w:color w:val="auto"/>
        </w:rPr>
        <w:t>，项目周边为农村环境，周边主要为林地和农田，无其他工业企业，通过现场调查，对项目周边四至环境进行详细介绍：</w:t>
      </w:r>
    </w:p>
    <w:p>
      <w:pPr>
        <w:pStyle w:val="4"/>
        <w:spacing w:line="360" w:lineRule="auto"/>
        <w:ind w:firstLine="480"/>
        <w:jc w:val="both"/>
        <w:rPr>
          <w:rFonts w:hint="eastAsia" w:ascii="Times New Roman"/>
          <w:color w:val="auto"/>
          <w:lang w:eastAsia="zh-CN"/>
        </w:rPr>
      </w:pPr>
      <w:r>
        <w:rPr>
          <w:rFonts w:ascii="Times New Roman"/>
          <w:color w:val="auto"/>
        </w:rPr>
        <w:t>项目东侧厂界外</w:t>
      </w:r>
      <w:r>
        <w:rPr>
          <w:rFonts w:hint="eastAsia" w:ascii="Times New Roman"/>
          <w:color w:val="auto"/>
          <w:lang w:val="en-US" w:eastAsia="zh-CN"/>
        </w:rPr>
        <w:t>32-339</w:t>
      </w:r>
      <w:r>
        <w:rPr>
          <w:rFonts w:ascii="Times New Roman"/>
          <w:color w:val="auto"/>
        </w:rPr>
        <w:t>m处有</w:t>
      </w:r>
      <w:r>
        <w:rPr>
          <w:rFonts w:hint="eastAsia" w:ascii="Times New Roman"/>
          <w:color w:val="auto"/>
          <w:lang w:val="en-US" w:eastAsia="zh-CN"/>
        </w:rPr>
        <w:t>12</w:t>
      </w:r>
      <w:r>
        <w:rPr>
          <w:rFonts w:ascii="Times New Roman"/>
          <w:color w:val="auto"/>
        </w:rPr>
        <w:t>户农户（约</w:t>
      </w:r>
      <w:r>
        <w:rPr>
          <w:rFonts w:hint="eastAsia" w:ascii="Times New Roman"/>
          <w:color w:val="auto"/>
          <w:lang w:val="en-US" w:eastAsia="zh-CN"/>
        </w:rPr>
        <w:t>36</w:t>
      </w:r>
      <w:r>
        <w:rPr>
          <w:rFonts w:ascii="Times New Roman"/>
          <w:color w:val="auto"/>
        </w:rPr>
        <w:t>人）</w:t>
      </w:r>
      <w:r>
        <w:rPr>
          <w:rFonts w:hint="eastAsia" w:ascii="Times New Roman"/>
          <w:color w:val="auto"/>
          <w:lang w:eastAsia="zh-CN"/>
        </w:rPr>
        <w:t>；</w:t>
      </w:r>
      <w:r>
        <w:rPr>
          <w:rFonts w:hint="eastAsia" w:ascii="Times New Roman"/>
          <w:color w:val="auto"/>
          <w:lang w:val="en-US" w:eastAsia="zh-CN"/>
        </w:rPr>
        <w:t>东北侧厂界外24m处3户</w:t>
      </w:r>
      <w:r>
        <w:rPr>
          <w:rFonts w:ascii="Times New Roman"/>
          <w:color w:val="auto"/>
        </w:rPr>
        <w:t>农户（约</w:t>
      </w:r>
      <w:r>
        <w:rPr>
          <w:rFonts w:hint="eastAsia" w:ascii="Times New Roman"/>
          <w:color w:val="auto"/>
          <w:lang w:val="en-US" w:eastAsia="zh-CN"/>
        </w:rPr>
        <w:t>9</w:t>
      </w:r>
      <w:r>
        <w:rPr>
          <w:rFonts w:ascii="Times New Roman"/>
          <w:color w:val="auto"/>
        </w:rPr>
        <w:t>人）</w:t>
      </w:r>
      <w:r>
        <w:rPr>
          <w:rFonts w:hint="eastAsia" w:ascii="Times New Roman"/>
          <w:color w:val="auto"/>
          <w:lang w:eastAsia="zh-CN"/>
        </w:rPr>
        <w:t>；</w:t>
      </w:r>
      <w:r>
        <w:rPr>
          <w:rFonts w:ascii="Times New Roman"/>
          <w:color w:val="auto"/>
        </w:rPr>
        <w:t>项目东</w:t>
      </w:r>
      <w:r>
        <w:rPr>
          <w:rFonts w:hint="eastAsia" w:ascii="Times New Roman"/>
          <w:color w:val="auto"/>
          <w:lang w:val="en-US" w:eastAsia="zh-CN"/>
        </w:rPr>
        <w:t>北</w:t>
      </w:r>
      <w:r>
        <w:rPr>
          <w:rFonts w:ascii="Times New Roman"/>
          <w:color w:val="auto"/>
        </w:rPr>
        <w:t>侧厂界外</w:t>
      </w:r>
      <w:r>
        <w:rPr>
          <w:rFonts w:hint="eastAsia" w:ascii="Times New Roman"/>
          <w:color w:val="auto"/>
          <w:lang w:val="en-US" w:eastAsia="zh-CN"/>
        </w:rPr>
        <w:t>99-332</w:t>
      </w:r>
      <w:r>
        <w:rPr>
          <w:rFonts w:ascii="Times New Roman"/>
          <w:color w:val="auto"/>
        </w:rPr>
        <w:t>m处有</w:t>
      </w:r>
      <w:r>
        <w:rPr>
          <w:rFonts w:hint="eastAsia" w:ascii="Times New Roman"/>
          <w:color w:val="auto"/>
          <w:lang w:val="en-US" w:eastAsia="zh-CN"/>
        </w:rPr>
        <w:t>13</w:t>
      </w:r>
      <w:r>
        <w:rPr>
          <w:rFonts w:ascii="Times New Roman"/>
          <w:color w:val="auto"/>
        </w:rPr>
        <w:t>户农户（约</w:t>
      </w:r>
      <w:r>
        <w:rPr>
          <w:rFonts w:hint="eastAsia" w:ascii="Times New Roman"/>
          <w:color w:val="auto"/>
          <w:lang w:val="en-US" w:eastAsia="zh-CN"/>
        </w:rPr>
        <w:t>39</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东</w:t>
      </w:r>
      <w:r>
        <w:rPr>
          <w:rFonts w:ascii="Times New Roman"/>
          <w:color w:val="auto"/>
        </w:rPr>
        <w:t>南侧厂界外</w:t>
      </w:r>
      <w:r>
        <w:rPr>
          <w:rFonts w:hint="eastAsia" w:ascii="Times New Roman"/>
          <w:color w:val="auto"/>
          <w:lang w:val="en-US" w:eastAsia="zh-CN"/>
        </w:rPr>
        <w:t>5-380</w:t>
      </w:r>
      <w:r>
        <w:rPr>
          <w:rFonts w:hint="eastAsia" w:ascii="Times New Roman"/>
          <w:color w:val="auto"/>
        </w:rPr>
        <w:t>m处有</w:t>
      </w:r>
      <w:r>
        <w:rPr>
          <w:rFonts w:hint="eastAsia" w:ascii="Times New Roman"/>
          <w:color w:val="auto"/>
          <w:lang w:val="en-US" w:eastAsia="zh-CN"/>
        </w:rPr>
        <w:t>10</w:t>
      </w:r>
      <w:r>
        <w:rPr>
          <w:rFonts w:hint="eastAsia" w:ascii="Times New Roman"/>
          <w:color w:val="auto"/>
        </w:rPr>
        <w:t>户</w:t>
      </w:r>
      <w:r>
        <w:rPr>
          <w:rFonts w:ascii="Times New Roman"/>
          <w:color w:val="auto"/>
        </w:rPr>
        <w:t>农户（约</w:t>
      </w:r>
      <w:r>
        <w:rPr>
          <w:rFonts w:hint="eastAsia" w:ascii="Times New Roman"/>
          <w:color w:val="auto"/>
          <w:lang w:val="en-US" w:eastAsia="zh-CN"/>
        </w:rPr>
        <w:t>30</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南</w:t>
      </w:r>
      <w:r>
        <w:rPr>
          <w:rFonts w:ascii="Times New Roman"/>
          <w:color w:val="auto"/>
        </w:rPr>
        <w:t>侧厂界外</w:t>
      </w:r>
      <w:r>
        <w:rPr>
          <w:rFonts w:hint="eastAsia" w:ascii="Times New Roman"/>
          <w:color w:val="auto"/>
          <w:lang w:val="en-US" w:eastAsia="zh-CN"/>
        </w:rPr>
        <w:t>5-366</w:t>
      </w:r>
      <w:r>
        <w:rPr>
          <w:rFonts w:ascii="Times New Roman"/>
          <w:color w:val="auto"/>
        </w:rPr>
        <w:t>m处有</w:t>
      </w:r>
      <w:r>
        <w:rPr>
          <w:rFonts w:hint="eastAsia" w:ascii="Times New Roman"/>
          <w:color w:val="auto"/>
          <w:lang w:val="en-US" w:eastAsia="zh-CN"/>
        </w:rPr>
        <w:t>19</w:t>
      </w:r>
      <w:r>
        <w:rPr>
          <w:rFonts w:ascii="Times New Roman"/>
          <w:color w:val="auto"/>
        </w:rPr>
        <w:t>户农户（约</w:t>
      </w:r>
      <w:r>
        <w:rPr>
          <w:rFonts w:hint="eastAsia" w:ascii="Times New Roman"/>
          <w:color w:val="auto"/>
          <w:lang w:val="en-US" w:eastAsia="zh-CN"/>
        </w:rPr>
        <w:t>57</w:t>
      </w:r>
      <w:r>
        <w:rPr>
          <w:rFonts w:ascii="Times New Roman"/>
          <w:color w:val="auto"/>
        </w:rPr>
        <w:t>人）</w:t>
      </w:r>
      <w:r>
        <w:rPr>
          <w:rFonts w:hint="eastAsia" w:ascii="Times New Roman"/>
          <w:color w:val="auto"/>
          <w:lang w:eastAsia="zh-CN"/>
        </w:rPr>
        <w:t>；</w:t>
      </w:r>
      <w:r>
        <w:rPr>
          <w:rFonts w:hint="eastAsia" w:ascii="Times New Roman"/>
          <w:color w:val="auto"/>
          <w:lang w:val="en-US" w:eastAsia="zh-CN"/>
        </w:rPr>
        <w:t>南侧厂界外229-556m处8户</w:t>
      </w:r>
      <w:r>
        <w:rPr>
          <w:rFonts w:ascii="Times New Roman"/>
          <w:color w:val="auto"/>
        </w:rPr>
        <w:t>农户（约</w:t>
      </w:r>
      <w:r>
        <w:rPr>
          <w:rFonts w:hint="eastAsia" w:ascii="Times New Roman"/>
          <w:color w:val="auto"/>
          <w:lang w:val="en-US" w:eastAsia="zh-CN"/>
        </w:rPr>
        <w:t>24</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西南</w:t>
      </w:r>
      <w:r>
        <w:rPr>
          <w:rFonts w:ascii="Times New Roman"/>
          <w:color w:val="auto"/>
        </w:rPr>
        <w:t>侧厂界外</w:t>
      </w:r>
      <w:r>
        <w:rPr>
          <w:rFonts w:hint="eastAsia" w:ascii="Times New Roman"/>
          <w:color w:val="auto"/>
          <w:lang w:val="en-US" w:eastAsia="zh-CN"/>
        </w:rPr>
        <w:t>150-360</w:t>
      </w:r>
      <w:r>
        <w:rPr>
          <w:rFonts w:ascii="Times New Roman"/>
          <w:color w:val="auto"/>
        </w:rPr>
        <w:t>m处有</w:t>
      </w:r>
      <w:r>
        <w:rPr>
          <w:rFonts w:hint="eastAsia" w:ascii="Times New Roman"/>
          <w:color w:val="auto"/>
          <w:lang w:val="en-US" w:eastAsia="zh-CN"/>
        </w:rPr>
        <w:t>3</w:t>
      </w:r>
      <w:r>
        <w:rPr>
          <w:rFonts w:ascii="Times New Roman"/>
          <w:color w:val="auto"/>
        </w:rPr>
        <w:t>户农户（约</w:t>
      </w:r>
      <w:r>
        <w:rPr>
          <w:rFonts w:hint="eastAsia" w:ascii="Times New Roman"/>
          <w:color w:val="auto"/>
          <w:lang w:val="en-US" w:eastAsia="zh-CN"/>
        </w:rPr>
        <w:t>24</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西南</w:t>
      </w:r>
      <w:r>
        <w:rPr>
          <w:rFonts w:ascii="Times New Roman"/>
          <w:color w:val="auto"/>
        </w:rPr>
        <w:t>侧厂界外</w:t>
      </w:r>
      <w:r>
        <w:rPr>
          <w:rFonts w:hint="eastAsia" w:ascii="Times New Roman"/>
          <w:color w:val="auto"/>
          <w:lang w:val="en-US" w:eastAsia="zh-CN"/>
        </w:rPr>
        <w:t>48</w:t>
      </w:r>
      <w:r>
        <w:rPr>
          <w:rFonts w:ascii="Times New Roman"/>
          <w:color w:val="auto"/>
        </w:rPr>
        <w:t>m</w:t>
      </w:r>
      <w:r>
        <w:rPr>
          <w:rFonts w:hint="eastAsia" w:ascii="Times New Roman"/>
          <w:color w:val="auto"/>
          <w:lang w:val="en-US" w:eastAsia="zh-CN"/>
        </w:rPr>
        <w:t>-118</w:t>
      </w:r>
      <w:r>
        <w:rPr>
          <w:rFonts w:ascii="Times New Roman"/>
          <w:color w:val="auto"/>
        </w:rPr>
        <w:t>处有</w:t>
      </w:r>
      <w:r>
        <w:rPr>
          <w:rFonts w:hint="eastAsia" w:ascii="Times New Roman"/>
          <w:color w:val="auto"/>
          <w:lang w:val="en-US" w:eastAsia="zh-CN"/>
        </w:rPr>
        <w:t>6</w:t>
      </w:r>
      <w:r>
        <w:rPr>
          <w:rFonts w:ascii="Times New Roman"/>
          <w:color w:val="auto"/>
        </w:rPr>
        <w:t>户农户（约</w:t>
      </w:r>
      <w:r>
        <w:rPr>
          <w:rFonts w:hint="eastAsia" w:ascii="Times New Roman"/>
          <w:color w:val="auto"/>
          <w:lang w:val="en-US" w:eastAsia="zh-CN"/>
        </w:rPr>
        <w:t>18</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w:t>
      </w:r>
      <w:r>
        <w:rPr>
          <w:rFonts w:ascii="Times New Roman"/>
          <w:color w:val="auto"/>
        </w:rPr>
        <w:t>侧厂界外</w:t>
      </w:r>
      <w:r>
        <w:rPr>
          <w:rFonts w:hint="eastAsia" w:ascii="Times New Roman"/>
          <w:color w:val="auto"/>
          <w:lang w:val="en-US" w:eastAsia="zh-CN"/>
        </w:rPr>
        <w:t>54-252</w:t>
      </w:r>
      <w:r>
        <w:rPr>
          <w:rFonts w:ascii="Times New Roman"/>
          <w:color w:val="auto"/>
        </w:rPr>
        <w:t>m处有</w:t>
      </w:r>
      <w:r>
        <w:rPr>
          <w:rFonts w:hint="eastAsia" w:ascii="Times New Roman"/>
          <w:color w:val="auto"/>
          <w:lang w:val="en-US" w:eastAsia="zh-CN"/>
        </w:rPr>
        <w:t>5</w:t>
      </w:r>
      <w:r>
        <w:rPr>
          <w:rFonts w:ascii="Times New Roman"/>
          <w:color w:val="auto"/>
        </w:rPr>
        <w:t>户农户（约</w:t>
      </w:r>
      <w:r>
        <w:rPr>
          <w:rFonts w:hint="eastAsia" w:ascii="Times New Roman"/>
          <w:color w:val="auto"/>
          <w:lang w:val="en-US" w:eastAsia="zh-CN"/>
        </w:rPr>
        <w:t>15</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西北</w:t>
      </w:r>
      <w:r>
        <w:rPr>
          <w:rFonts w:ascii="Times New Roman"/>
          <w:color w:val="auto"/>
        </w:rPr>
        <w:t>侧厂界外</w:t>
      </w:r>
      <w:r>
        <w:rPr>
          <w:rFonts w:hint="eastAsia" w:ascii="Times New Roman"/>
          <w:color w:val="auto"/>
          <w:lang w:val="en-US" w:eastAsia="zh-CN"/>
        </w:rPr>
        <w:t>3-85</w:t>
      </w:r>
      <w:r>
        <w:rPr>
          <w:rFonts w:ascii="Times New Roman"/>
          <w:color w:val="auto"/>
        </w:rPr>
        <w:t>m处有</w:t>
      </w:r>
      <w:r>
        <w:rPr>
          <w:rFonts w:hint="eastAsia" w:ascii="Times New Roman"/>
          <w:color w:val="auto"/>
          <w:lang w:val="en-US" w:eastAsia="zh-CN"/>
        </w:rPr>
        <w:t>7</w:t>
      </w:r>
      <w:r>
        <w:rPr>
          <w:rFonts w:ascii="Times New Roman"/>
          <w:color w:val="auto"/>
        </w:rPr>
        <w:t>户农户（约</w:t>
      </w:r>
      <w:r>
        <w:rPr>
          <w:rFonts w:hint="eastAsia" w:ascii="Times New Roman"/>
          <w:color w:val="auto"/>
          <w:lang w:val="en-US" w:eastAsia="zh-CN"/>
        </w:rPr>
        <w:t>21</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北</w:t>
      </w:r>
      <w:r>
        <w:rPr>
          <w:rFonts w:ascii="Times New Roman"/>
          <w:color w:val="auto"/>
        </w:rPr>
        <w:t>侧厂界外</w:t>
      </w:r>
      <w:r>
        <w:rPr>
          <w:rFonts w:hint="eastAsia" w:ascii="Times New Roman"/>
          <w:color w:val="auto"/>
          <w:lang w:val="en-US" w:eastAsia="zh-CN"/>
        </w:rPr>
        <w:t>145-341m</w:t>
      </w:r>
      <w:r>
        <w:rPr>
          <w:rFonts w:ascii="Times New Roman"/>
          <w:color w:val="auto"/>
        </w:rPr>
        <w:t>处有</w:t>
      </w:r>
      <w:r>
        <w:rPr>
          <w:rFonts w:hint="eastAsia" w:ascii="Times New Roman"/>
          <w:color w:val="auto"/>
          <w:lang w:val="en-US" w:eastAsia="zh-CN"/>
        </w:rPr>
        <w:t>5</w:t>
      </w:r>
      <w:r>
        <w:rPr>
          <w:rFonts w:ascii="Times New Roman"/>
          <w:color w:val="auto"/>
        </w:rPr>
        <w:t>户农户（约</w:t>
      </w:r>
      <w:r>
        <w:rPr>
          <w:rFonts w:hint="eastAsia" w:ascii="Times New Roman"/>
          <w:color w:val="auto"/>
          <w:lang w:val="en-US" w:eastAsia="zh-CN"/>
        </w:rPr>
        <w:t>15</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ascii="Times New Roman"/>
          <w:color w:val="auto"/>
          <w:szCs w:val="24"/>
        </w:rPr>
      </w:pPr>
      <w:r>
        <w:rPr>
          <w:rFonts w:hint="eastAsia" w:ascii="Times New Roman"/>
          <w:color w:val="auto"/>
          <w:szCs w:val="24"/>
          <w:lang w:val="en-US" w:eastAsia="zh-CN"/>
        </w:rPr>
        <w:t>从</w:t>
      </w:r>
      <w:r>
        <w:rPr>
          <w:rFonts w:ascii="Times New Roman"/>
          <w:color w:val="auto"/>
          <w:szCs w:val="24"/>
        </w:rPr>
        <w:t>本项目外环境现状看，外环境关系较简单。</w:t>
      </w:r>
    </w:p>
    <w:p>
      <w:pPr>
        <w:pStyle w:val="4"/>
        <w:spacing w:line="360" w:lineRule="auto"/>
        <w:ind w:firstLine="480"/>
        <w:jc w:val="both"/>
        <w:rPr>
          <w:rFonts w:ascii="Times New Roman"/>
          <w:color w:val="auto"/>
          <w:szCs w:val="24"/>
        </w:rPr>
      </w:pPr>
      <w:r>
        <w:rPr>
          <w:rFonts w:ascii="Times New Roman"/>
          <w:color w:val="auto"/>
          <w:szCs w:val="24"/>
        </w:rPr>
        <w:t>本评价按照环境要素确定主要保护目标见表</w:t>
      </w:r>
      <w:r>
        <w:rPr>
          <w:rFonts w:hint="eastAsia" w:ascii="Times New Roman"/>
          <w:color w:val="auto"/>
          <w:szCs w:val="24"/>
          <w:lang w:val="en-US" w:eastAsia="zh-CN"/>
        </w:rPr>
        <w:t>2</w:t>
      </w:r>
      <w:r>
        <w:rPr>
          <w:rFonts w:hint="eastAsia" w:ascii="Times New Roman"/>
          <w:color w:val="auto"/>
          <w:szCs w:val="24"/>
        </w:rPr>
        <w:t>.7</w:t>
      </w:r>
      <w:r>
        <w:rPr>
          <w:rFonts w:ascii="Times New Roman"/>
          <w:color w:val="auto"/>
          <w:szCs w:val="24"/>
        </w:rPr>
        <w:t>-</w:t>
      </w:r>
      <w:r>
        <w:rPr>
          <w:rFonts w:hint="eastAsia" w:ascii="Times New Roman"/>
          <w:color w:val="auto"/>
          <w:szCs w:val="24"/>
        </w:rPr>
        <w:t>1</w:t>
      </w:r>
      <w:r>
        <w:rPr>
          <w:rFonts w:ascii="Times New Roman"/>
          <w:color w:val="auto"/>
          <w:szCs w:val="24"/>
        </w:rPr>
        <w:t>。</w:t>
      </w:r>
    </w:p>
    <w:p>
      <w:pPr>
        <w:pStyle w:val="4"/>
        <w:spacing w:line="240" w:lineRule="auto"/>
        <w:ind w:firstLine="454"/>
        <w:jc w:val="center"/>
        <w:rPr>
          <w:rFonts w:ascii="Times New Roman" w:eastAsia="黑体"/>
          <w:color w:val="auto"/>
          <w:sz w:val="21"/>
        </w:rPr>
      </w:pPr>
      <w:r>
        <w:rPr>
          <w:rFonts w:ascii="Times New Roman" w:eastAsia="黑体"/>
          <w:color w:val="auto"/>
          <w:sz w:val="21"/>
        </w:rPr>
        <w:t>表</w:t>
      </w:r>
      <w:r>
        <w:rPr>
          <w:rFonts w:hint="eastAsia" w:ascii="Times New Roman" w:eastAsia="黑体"/>
          <w:color w:val="auto"/>
          <w:sz w:val="21"/>
          <w:lang w:val="en-US" w:eastAsia="zh-CN"/>
        </w:rPr>
        <w:t>2</w:t>
      </w:r>
      <w:r>
        <w:rPr>
          <w:rFonts w:hint="eastAsia" w:ascii="Times New Roman" w:eastAsia="黑体"/>
          <w:color w:val="auto"/>
          <w:sz w:val="21"/>
        </w:rPr>
        <w:t>.7</w:t>
      </w:r>
      <w:r>
        <w:rPr>
          <w:rFonts w:ascii="Times New Roman" w:eastAsia="黑体"/>
          <w:color w:val="auto"/>
          <w:sz w:val="21"/>
        </w:rPr>
        <w:t>-</w:t>
      </w:r>
      <w:r>
        <w:rPr>
          <w:rFonts w:hint="eastAsia" w:ascii="Times New Roman" w:eastAsia="黑体"/>
          <w:color w:val="auto"/>
          <w:sz w:val="21"/>
        </w:rPr>
        <w:t>1</w:t>
      </w:r>
      <w:r>
        <w:rPr>
          <w:rFonts w:ascii="Times New Roman" w:eastAsia="黑体"/>
          <w:color w:val="auto"/>
          <w:sz w:val="21"/>
        </w:rPr>
        <w:t xml:space="preserve"> </w:t>
      </w:r>
      <w:r>
        <w:rPr>
          <w:rFonts w:hint="eastAsia" w:ascii="Times New Roman" w:eastAsia="黑体"/>
          <w:color w:val="auto"/>
          <w:sz w:val="21"/>
        </w:rPr>
        <w:t xml:space="preserve"> </w:t>
      </w:r>
      <w:r>
        <w:rPr>
          <w:rFonts w:ascii="Times New Roman" w:eastAsia="黑体"/>
          <w:color w:val="auto"/>
          <w:sz w:val="21"/>
        </w:rPr>
        <w:t>评价范围内主要环境保护目标分布</w:t>
      </w:r>
    </w:p>
    <w:tbl>
      <w:tblPr>
        <w:tblStyle w:val="89"/>
        <w:tblW w:w="8522" w:type="dxa"/>
        <w:tblInd w:w="0" w:type="dxa"/>
        <w:tblLayout w:type="fixed"/>
        <w:tblCellMar>
          <w:top w:w="0" w:type="dxa"/>
          <w:left w:w="108" w:type="dxa"/>
          <w:bottom w:w="0" w:type="dxa"/>
          <w:right w:w="108" w:type="dxa"/>
        </w:tblCellMar>
      </w:tblPr>
      <w:tblGrid>
        <w:gridCol w:w="671"/>
        <w:gridCol w:w="936"/>
        <w:gridCol w:w="178"/>
        <w:gridCol w:w="345"/>
        <w:gridCol w:w="246"/>
        <w:gridCol w:w="992"/>
        <w:gridCol w:w="892"/>
        <w:gridCol w:w="100"/>
        <w:gridCol w:w="510"/>
        <w:gridCol w:w="260"/>
        <w:gridCol w:w="891"/>
        <w:gridCol w:w="66"/>
        <w:gridCol w:w="303"/>
        <w:gridCol w:w="335"/>
        <w:gridCol w:w="802"/>
        <w:gridCol w:w="995"/>
      </w:tblGrid>
      <w:tr>
        <w:tblPrEx>
          <w:tblCellMar>
            <w:top w:w="0" w:type="dxa"/>
            <w:left w:w="108" w:type="dxa"/>
            <w:bottom w:w="0" w:type="dxa"/>
            <w:right w:w="108" w:type="dxa"/>
          </w:tblCellMar>
        </w:tblPrEx>
        <w:trPr>
          <w:trHeight w:val="397" w:hRule="atLeast"/>
        </w:trPr>
        <w:tc>
          <w:tcPr>
            <w:tcW w:w="8522" w:type="dxa"/>
            <w:gridSpan w:val="1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olor w:val="auto"/>
                <w:kern w:val="0"/>
              </w:rPr>
            </w:pPr>
            <w:r>
              <w:rPr>
                <w:rFonts w:hint="eastAsia" w:ascii="宋体" w:hAnsi="宋体"/>
                <w:color w:val="auto"/>
                <w:kern w:val="0"/>
              </w:rPr>
              <w:t>大气环境</w:t>
            </w:r>
          </w:p>
        </w:tc>
      </w:tr>
      <w:tr>
        <w:tblPrEx>
          <w:tblCellMar>
            <w:top w:w="0" w:type="dxa"/>
            <w:left w:w="108" w:type="dxa"/>
            <w:bottom w:w="0" w:type="dxa"/>
            <w:right w:w="108" w:type="dxa"/>
          </w:tblCellMar>
        </w:tblPrEx>
        <w:trPr>
          <w:trHeight w:val="397" w:hRule="atLeast"/>
        </w:trPr>
        <w:tc>
          <w:tcPr>
            <w:tcW w:w="6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序号</w:t>
            </w:r>
          </w:p>
        </w:tc>
        <w:tc>
          <w:tcPr>
            <w:tcW w:w="1114" w:type="dxa"/>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名称</w:t>
            </w:r>
          </w:p>
        </w:tc>
        <w:tc>
          <w:tcPr>
            <w:tcW w:w="2575" w:type="dxa"/>
            <w:gridSpan w:val="5"/>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坐标</w:t>
            </w:r>
            <w:r>
              <w:rPr>
                <w:rFonts w:hint="default"/>
                <w:color w:val="auto"/>
                <w:kern w:val="0"/>
              </w:rPr>
              <w:t>/m</w:t>
            </w:r>
          </w:p>
        </w:tc>
        <w:tc>
          <w:tcPr>
            <w:tcW w:w="770" w:type="dxa"/>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保护内容</w:t>
            </w:r>
          </w:p>
        </w:tc>
        <w:tc>
          <w:tcPr>
            <w:tcW w:w="891"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环境功能区</w:t>
            </w:r>
          </w:p>
        </w:tc>
        <w:tc>
          <w:tcPr>
            <w:tcW w:w="704" w:type="dxa"/>
            <w:gridSpan w:val="3"/>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ascii="宋体" w:hAnsi="宋体"/>
                <w:color w:val="auto"/>
                <w:kern w:val="0"/>
              </w:rPr>
            </w:pPr>
            <w:r>
              <w:rPr>
                <w:rFonts w:hint="eastAsia"/>
                <w:color w:val="auto"/>
              </w:rPr>
              <w:t>人数</w:t>
            </w:r>
          </w:p>
        </w:tc>
        <w:tc>
          <w:tcPr>
            <w:tcW w:w="802"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相对厂址方位</w:t>
            </w:r>
          </w:p>
        </w:tc>
        <w:tc>
          <w:tcPr>
            <w:tcW w:w="99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相对距离</w:t>
            </w:r>
            <w:r>
              <w:rPr>
                <w:rFonts w:hint="default"/>
                <w:color w:val="auto"/>
                <w:kern w:val="0"/>
              </w:rPr>
              <w:t>/m</w:t>
            </w:r>
          </w:p>
        </w:tc>
      </w:tr>
      <w:tr>
        <w:tblPrEx>
          <w:tblCellMar>
            <w:top w:w="0" w:type="dxa"/>
            <w:left w:w="108" w:type="dxa"/>
            <w:bottom w:w="0" w:type="dxa"/>
            <w:right w:w="108" w:type="dxa"/>
          </w:tblCellMar>
        </w:tblPrEx>
        <w:trPr>
          <w:trHeight w:val="90"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1114"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1583" w:type="dxa"/>
            <w:gridSpan w:val="3"/>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i/>
                <w:iCs/>
                <w:color w:val="auto"/>
                <w:kern w:val="0"/>
              </w:rPr>
            </w:pPr>
            <w:r>
              <w:rPr>
                <w:rFonts w:hint="default"/>
                <w:i/>
                <w:iCs/>
                <w:color w:val="auto"/>
                <w:kern w:val="0"/>
              </w:rPr>
              <w:t>X</w:t>
            </w:r>
          </w:p>
        </w:tc>
        <w:tc>
          <w:tcPr>
            <w:tcW w:w="992" w:type="dxa"/>
            <w:gridSpan w:val="2"/>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i/>
                <w:iCs/>
                <w:color w:val="auto"/>
                <w:kern w:val="0"/>
              </w:rPr>
            </w:pPr>
            <w:r>
              <w:rPr>
                <w:rFonts w:hint="default"/>
                <w:i/>
                <w:iCs/>
                <w:color w:val="auto"/>
                <w:kern w:val="0"/>
              </w:rPr>
              <w:t>Y</w:t>
            </w:r>
          </w:p>
        </w:tc>
        <w:tc>
          <w:tcPr>
            <w:tcW w:w="770"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8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704"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80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r>
      <w:tr>
        <w:tblPrEx>
          <w:tblCellMar>
            <w:top w:w="0" w:type="dxa"/>
            <w:left w:w="108" w:type="dxa"/>
            <w:bottom w:w="0" w:type="dxa"/>
            <w:right w:w="108" w:type="dxa"/>
          </w:tblCellMar>
        </w:tblPrEx>
        <w:trPr>
          <w:trHeight w:val="309" w:hRule="atLeast"/>
        </w:trPr>
        <w:tc>
          <w:tcPr>
            <w:tcW w:w="671"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w:t>
            </w:r>
          </w:p>
        </w:tc>
        <w:tc>
          <w:tcPr>
            <w:tcW w:w="1114"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群乐镇</w:t>
            </w:r>
          </w:p>
        </w:tc>
        <w:tc>
          <w:tcPr>
            <w:tcW w:w="1583" w:type="dxa"/>
            <w:gridSpan w:val="3"/>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-1327</w:t>
            </w:r>
          </w:p>
        </w:tc>
        <w:tc>
          <w:tcPr>
            <w:tcW w:w="99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lang w:val="en-US" w:eastAsia="zh-CN"/>
              </w:rPr>
              <w:t>0</w:t>
            </w:r>
          </w:p>
        </w:tc>
        <w:tc>
          <w:tcPr>
            <w:tcW w:w="770"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gridSpan w:val="3"/>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2000</w:t>
            </w:r>
          </w:p>
        </w:tc>
        <w:tc>
          <w:tcPr>
            <w:tcW w:w="8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kern w:val="0"/>
                <w:lang w:eastAsia="zh-CN"/>
              </w:rPr>
            </w:pPr>
            <w:r>
              <w:rPr>
                <w:rFonts w:hint="eastAsia"/>
                <w:color w:val="auto"/>
                <w:kern w:val="0"/>
                <w:lang w:val="en-US" w:eastAsia="zh-CN"/>
              </w:rPr>
              <w:t>W</w:t>
            </w:r>
          </w:p>
        </w:tc>
        <w:tc>
          <w:tcPr>
            <w:tcW w:w="99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1327</w:t>
            </w:r>
          </w:p>
        </w:tc>
      </w:tr>
      <w:tr>
        <w:tblPrEx>
          <w:tblCellMar>
            <w:top w:w="0" w:type="dxa"/>
            <w:left w:w="108" w:type="dxa"/>
            <w:bottom w:w="0" w:type="dxa"/>
            <w:right w:w="108" w:type="dxa"/>
          </w:tblCellMar>
        </w:tblPrEx>
        <w:trPr>
          <w:trHeight w:val="181"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w:t>
            </w:r>
          </w:p>
        </w:tc>
        <w:tc>
          <w:tcPr>
            <w:tcW w:w="1114"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龙呈寨村</w:t>
            </w:r>
          </w:p>
        </w:tc>
        <w:tc>
          <w:tcPr>
            <w:tcW w:w="1583"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lang w:val="en-US" w:eastAsia="zh-CN"/>
              </w:rPr>
            </w:pPr>
            <w:r>
              <w:rPr>
                <w:rFonts w:hint="eastAsia"/>
                <w:color w:val="auto"/>
                <w:kern w:val="0"/>
                <w:lang w:val="en-US" w:eastAsia="zh-CN"/>
              </w:rPr>
              <w:t>1225</w:t>
            </w:r>
          </w:p>
        </w:tc>
        <w:tc>
          <w:tcPr>
            <w:tcW w:w="99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lang w:val="en-US" w:eastAsia="zh-CN"/>
              </w:rPr>
            </w:pPr>
            <w:r>
              <w:rPr>
                <w:rFonts w:hint="eastAsia"/>
                <w:color w:val="auto"/>
                <w:lang w:val="en-US" w:eastAsia="zh-CN"/>
              </w:rPr>
              <w:t>-40</w:t>
            </w:r>
          </w:p>
        </w:tc>
        <w:tc>
          <w:tcPr>
            <w:tcW w:w="77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color w:val="auto"/>
                <w:kern w:val="0"/>
              </w:rPr>
              <w:t>居民</w:t>
            </w:r>
          </w:p>
        </w:tc>
        <w:tc>
          <w:tcPr>
            <w:tcW w:w="89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color w:val="auto"/>
                <w:kern w:val="0"/>
              </w:rPr>
              <w:t>2</w:t>
            </w:r>
            <w:r>
              <w:rPr>
                <w:rFonts w:hint="eastAsia" w:ascii="宋体" w:hAnsi="宋体"/>
                <w:color w:val="auto"/>
                <w:kern w:val="0"/>
              </w:rPr>
              <w:t>类</w:t>
            </w:r>
          </w:p>
        </w:tc>
        <w:tc>
          <w:tcPr>
            <w:tcW w:w="70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eastAsia"/>
                <w:color w:val="auto"/>
                <w:kern w:val="0"/>
                <w:lang w:val="en-US" w:eastAsia="zh-CN"/>
              </w:rPr>
              <w:t>400</w:t>
            </w:r>
          </w:p>
        </w:tc>
        <w:tc>
          <w:tcPr>
            <w:tcW w:w="80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SE</w:t>
            </w:r>
          </w:p>
        </w:tc>
        <w:tc>
          <w:tcPr>
            <w:tcW w:w="99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1364</w:t>
            </w:r>
          </w:p>
        </w:tc>
      </w:tr>
      <w:tr>
        <w:tblPrEx>
          <w:tblCellMar>
            <w:top w:w="0" w:type="dxa"/>
            <w:left w:w="108" w:type="dxa"/>
            <w:bottom w:w="0" w:type="dxa"/>
            <w:right w:w="108" w:type="dxa"/>
          </w:tblCellMar>
        </w:tblPrEx>
        <w:trPr>
          <w:trHeight w:val="162"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w:t>
            </w:r>
          </w:p>
        </w:tc>
        <w:tc>
          <w:tcPr>
            <w:tcW w:w="1114"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lang w:val="en-US" w:eastAsia="zh-CN"/>
              </w:rPr>
            </w:pPr>
            <w:r>
              <w:rPr>
                <w:rFonts w:hint="eastAsia"/>
                <w:color w:val="auto"/>
                <w:kern w:val="0"/>
                <w:lang w:val="en-US" w:eastAsia="zh-CN"/>
              </w:rPr>
              <w:t>朱家寨村</w:t>
            </w:r>
          </w:p>
        </w:tc>
        <w:tc>
          <w:tcPr>
            <w:tcW w:w="1583"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125</w:t>
            </w:r>
          </w:p>
        </w:tc>
        <w:tc>
          <w:tcPr>
            <w:tcW w:w="99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lang w:val="en-US" w:eastAsia="zh-CN"/>
              </w:rPr>
            </w:pPr>
            <w:r>
              <w:rPr>
                <w:rFonts w:hint="eastAsia"/>
                <w:color w:val="auto"/>
                <w:lang w:val="en-US" w:eastAsia="zh-CN"/>
              </w:rPr>
              <w:t>1085</w:t>
            </w:r>
          </w:p>
        </w:tc>
        <w:tc>
          <w:tcPr>
            <w:tcW w:w="77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color w:val="auto"/>
                <w:kern w:val="0"/>
              </w:rPr>
              <w:t>居民</w:t>
            </w:r>
          </w:p>
        </w:tc>
        <w:tc>
          <w:tcPr>
            <w:tcW w:w="89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color w:val="auto"/>
                <w:kern w:val="0"/>
              </w:rPr>
              <w:t>2</w:t>
            </w:r>
            <w:r>
              <w:rPr>
                <w:rFonts w:hint="eastAsia" w:ascii="宋体" w:hAnsi="宋体"/>
                <w:color w:val="auto"/>
                <w:kern w:val="0"/>
              </w:rPr>
              <w:t>类</w:t>
            </w:r>
          </w:p>
        </w:tc>
        <w:tc>
          <w:tcPr>
            <w:tcW w:w="70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eastAsia"/>
                <w:color w:val="auto"/>
                <w:kern w:val="0"/>
                <w:lang w:val="en-US" w:eastAsia="zh-CN"/>
              </w:rPr>
              <w:t>300</w:t>
            </w:r>
          </w:p>
        </w:tc>
        <w:tc>
          <w:tcPr>
            <w:tcW w:w="80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NE</w:t>
            </w:r>
          </w:p>
        </w:tc>
        <w:tc>
          <w:tcPr>
            <w:tcW w:w="99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1190</w:t>
            </w:r>
          </w:p>
        </w:tc>
      </w:tr>
      <w:tr>
        <w:tblPrEx>
          <w:tblCellMar>
            <w:top w:w="0" w:type="dxa"/>
            <w:left w:w="108" w:type="dxa"/>
            <w:bottom w:w="0" w:type="dxa"/>
            <w:right w:w="108" w:type="dxa"/>
          </w:tblCellMar>
        </w:tblPrEx>
        <w:trPr>
          <w:trHeight w:val="9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w:t>
            </w:r>
          </w:p>
        </w:tc>
        <w:tc>
          <w:tcPr>
            <w:tcW w:w="1114"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柳家沟村</w:t>
            </w:r>
          </w:p>
        </w:tc>
        <w:tc>
          <w:tcPr>
            <w:tcW w:w="1583"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1957</w:t>
            </w:r>
          </w:p>
        </w:tc>
        <w:tc>
          <w:tcPr>
            <w:tcW w:w="99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lang w:val="en-US" w:eastAsia="zh-CN"/>
              </w:rPr>
            </w:pPr>
            <w:r>
              <w:rPr>
                <w:rFonts w:hint="eastAsia"/>
                <w:color w:val="auto"/>
                <w:lang w:val="en-US" w:eastAsia="zh-CN"/>
              </w:rPr>
              <w:t>2645</w:t>
            </w:r>
          </w:p>
        </w:tc>
        <w:tc>
          <w:tcPr>
            <w:tcW w:w="77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color w:val="auto"/>
                <w:kern w:val="0"/>
              </w:rPr>
              <w:t>居民</w:t>
            </w:r>
          </w:p>
        </w:tc>
        <w:tc>
          <w:tcPr>
            <w:tcW w:w="89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color w:val="auto"/>
                <w:kern w:val="0"/>
              </w:rPr>
              <w:t>2</w:t>
            </w:r>
            <w:r>
              <w:rPr>
                <w:rFonts w:hint="eastAsia" w:ascii="宋体" w:hAnsi="宋体"/>
                <w:color w:val="auto"/>
                <w:kern w:val="0"/>
              </w:rPr>
              <w:t>类</w:t>
            </w:r>
          </w:p>
        </w:tc>
        <w:tc>
          <w:tcPr>
            <w:tcW w:w="70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eastAsia"/>
                <w:color w:val="auto"/>
                <w:kern w:val="0"/>
                <w:lang w:val="en-US" w:eastAsia="zh-CN"/>
              </w:rPr>
              <w:t>500</w:t>
            </w:r>
          </w:p>
        </w:tc>
        <w:tc>
          <w:tcPr>
            <w:tcW w:w="80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NE</w:t>
            </w:r>
          </w:p>
        </w:tc>
        <w:tc>
          <w:tcPr>
            <w:tcW w:w="99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3718</w:t>
            </w:r>
          </w:p>
        </w:tc>
      </w:tr>
      <w:tr>
        <w:tblPrEx>
          <w:tblCellMar>
            <w:top w:w="0" w:type="dxa"/>
            <w:left w:w="108" w:type="dxa"/>
            <w:bottom w:w="0" w:type="dxa"/>
            <w:right w:w="108" w:type="dxa"/>
          </w:tblCellMar>
        </w:tblPrEx>
        <w:trPr>
          <w:trHeight w:val="104"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w:t>
            </w:r>
          </w:p>
        </w:tc>
        <w:tc>
          <w:tcPr>
            <w:tcW w:w="1114"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太子岩村</w:t>
            </w:r>
          </w:p>
        </w:tc>
        <w:tc>
          <w:tcPr>
            <w:tcW w:w="1583"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1898</w:t>
            </w:r>
          </w:p>
        </w:tc>
        <w:tc>
          <w:tcPr>
            <w:tcW w:w="99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lang w:val="en-US" w:eastAsia="zh-CN"/>
              </w:rPr>
            </w:pPr>
            <w:r>
              <w:rPr>
                <w:rFonts w:hint="eastAsia"/>
                <w:color w:val="auto"/>
                <w:lang w:val="en-US" w:eastAsia="zh-CN"/>
              </w:rPr>
              <w:t>3843</w:t>
            </w:r>
          </w:p>
        </w:tc>
        <w:tc>
          <w:tcPr>
            <w:tcW w:w="77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color w:val="auto"/>
                <w:kern w:val="0"/>
              </w:rPr>
              <w:t>居民</w:t>
            </w:r>
          </w:p>
        </w:tc>
        <w:tc>
          <w:tcPr>
            <w:tcW w:w="89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color w:val="auto"/>
                <w:kern w:val="0"/>
              </w:rPr>
              <w:t>2</w:t>
            </w:r>
            <w:r>
              <w:rPr>
                <w:rFonts w:hint="eastAsia" w:ascii="宋体" w:hAnsi="宋体"/>
                <w:color w:val="auto"/>
                <w:kern w:val="0"/>
              </w:rPr>
              <w:t>类</w:t>
            </w:r>
          </w:p>
        </w:tc>
        <w:tc>
          <w:tcPr>
            <w:tcW w:w="70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eastAsia"/>
                <w:color w:val="auto"/>
                <w:kern w:val="0"/>
                <w:lang w:val="en-US" w:eastAsia="zh-CN"/>
              </w:rPr>
              <w:t>400</w:t>
            </w:r>
          </w:p>
        </w:tc>
        <w:tc>
          <w:tcPr>
            <w:tcW w:w="80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NE</w:t>
            </w:r>
          </w:p>
        </w:tc>
        <w:tc>
          <w:tcPr>
            <w:tcW w:w="99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4773</w:t>
            </w:r>
          </w:p>
        </w:tc>
      </w:tr>
      <w:tr>
        <w:tblPrEx>
          <w:tblCellMar>
            <w:top w:w="0" w:type="dxa"/>
            <w:left w:w="108" w:type="dxa"/>
            <w:bottom w:w="0" w:type="dxa"/>
            <w:right w:w="108" w:type="dxa"/>
          </w:tblCellMar>
        </w:tblPrEx>
        <w:trPr>
          <w:trHeight w:val="397"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w:t>
            </w:r>
          </w:p>
        </w:tc>
        <w:tc>
          <w:tcPr>
            <w:tcW w:w="1114"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川石村</w:t>
            </w:r>
          </w:p>
        </w:tc>
        <w:tc>
          <w:tcPr>
            <w:tcW w:w="1583"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lang w:val="en-US" w:eastAsia="zh-CN"/>
              </w:rPr>
              <w:t>815</w:t>
            </w:r>
          </w:p>
        </w:tc>
        <w:tc>
          <w:tcPr>
            <w:tcW w:w="99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lang w:val="en-US" w:eastAsia="zh-CN"/>
              </w:rPr>
              <w:t>-2669</w:t>
            </w:r>
          </w:p>
        </w:tc>
        <w:tc>
          <w:tcPr>
            <w:tcW w:w="77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500</w:t>
            </w:r>
          </w:p>
        </w:tc>
        <w:tc>
          <w:tcPr>
            <w:tcW w:w="80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kern w:val="0"/>
                <w:lang w:val="en-US" w:eastAsia="zh-CN"/>
              </w:rPr>
            </w:pPr>
            <w:r>
              <w:rPr>
                <w:rFonts w:hint="eastAsia"/>
                <w:color w:val="auto"/>
                <w:kern w:val="0"/>
                <w:lang w:val="en-US" w:eastAsia="zh-CN"/>
              </w:rPr>
              <w:t>S</w:t>
            </w:r>
            <w:r>
              <w:rPr>
                <w:rFonts w:hint="default"/>
                <w:color w:val="auto"/>
                <w:kern w:val="0"/>
              </w:rPr>
              <w:t>E</w:t>
            </w:r>
          </w:p>
        </w:tc>
        <w:tc>
          <w:tcPr>
            <w:tcW w:w="99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2773</w:t>
            </w:r>
          </w:p>
        </w:tc>
      </w:tr>
      <w:tr>
        <w:tblPrEx>
          <w:tblCellMar>
            <w:top w:w="0" w:type="dxa"/>
            <w:left w:w="108" w:type="dxa"/>
            <w:bottom w:w="0" w:type="dxa"/>
            <w:right w:w="108" w:type="dxa"/>
          </w:tblCellMar>
        </w:tblPrEx>
        <w:trPr>
          <w:trHeight w:val="397" w:hRule="atLeast"/>
        </w:trPr>
        <w:tc>
          <w:tcPr>
            <w:tcW w:w="671"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w:t>
            </w:r>
          </w:p>
        </w:tc>
        <w:tc>
          <w:tcPr>
            <w:tcW w:w="1114"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五郎村</w:t>
            </w:r>
          </w:p>
        </w:tc>
        <w:tc>
          <w:tcPr>
            <w:tcW w:w="1583" w:type="dxa"/>
            <w:gridSpan w:val="3"/>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lang w:val="en-US" w:eastAsia="zh-CN"/>
              </w:rPr>
              <w:t>-3135</w:t>
            </w:r>
          </w:p>
        </w:tc>
        <w:tc>
          <w:tcPr>
            <w:tcW w:w="99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lang w:val="en-US" w:eastAsia="zh-CN"/>
              </w:rPr>
              <w:t>-1012</w:t>
            </w:r>
          </w:p>
        </w:tc>
        <w:tc>
          <w:tcPr>
            <w:tcW w:w="770"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省级文物保护单位</w:t>
            </w:r>
          </w:p>
        </w:tc>
        <w:tc>
          <w:tcPr>
            <w:tcW w:w="89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gridSpan w:val="3"/>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400</w:t>
            </w:r>
          </w:p>
        </w:tc>
        <w:tc>
          <w:tcPr>
            <w:tcW w:w="8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SW</w:t>
            </w:r>
          </w:p>
        </w:tc>
        <w:tc>
          <w:tcPr>
            <w:tcW w:w="99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3718</w:t>
            </w:r>
          </w:p>
        </w:tc>
      </w:tr>
      <w:tr>
        <w:tblPrEx>
          <w:tblCellMar>
            <w:top w:w="0" w:type="dxa"/>
            <w:left w:w="108" w:type="dxa"/>
            <w:bottom w:w="0" w:type="dxa"/>
            <w:right w:w="108" w:type="dxa"/>
          </w:tblCellMar>
        </w:tblPrEx>
        <w:trPr>
          <w:trHeight w:val="397" w:hRule="atLeast"/>
        </w:trPr>
        <w:tc>
          <w:tcPr>
            <w:tcW w:w="671"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w:t>
            </w:r>
          </w:p>
        </w:tc>
        <w:tc>
          <w:tcPr>
            <w:tcW w:w="1114"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南江村</w:t>
            </w:r>
          </w:p>
        </w:tc>
        <w:tc>
          <w:tcPr>
            <w:tcW w:w="1583" w:type="dxa"/>
            <w:gridSpan w:val="3"/>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-2626</w:t>
            </w:r>
          </w:p>
        </w:tc>
        <w:tc>
          <w:tcPr>
            <w:tcW w:w="99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lang w:val="en-US" w:eastAsia="zh-CN"/>
              </w:rPr>
              <w:t>1408</w:t>
            </w:r>
          </w:p>
        </w:tc>
        <w:tc>
          <w:tcPr>
            <w:tcW w:w="770"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gridSpan w:val="3"/>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300</w:t>
            </w:r>
          </w:p>
        </w:tc>
        <w:tc>
          <w:tcPr>
            <w:tcW w:w="8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kern w:val="0"/>
                <w:lang w:eastAsia="zh-CN"/>
              </w:rPr>
            </w:pPr>
            <w:r>
              <w:rPr>
                <w:rFonts w:hint="eastAsia"/>
                <w:color w:val="auto"/>
                <w:kern w:val="0"/>
                <w:lang w:val="en-US" w:eastAsia="zh-CN"/>
              </w:rPr>
              <w:t>NW</w:t>
            </w:r>
          </w:p>
        </w:tc>
        <w:tc>
          <w:tcPr>
            <w:tcW w:w="99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3575</w:t>
            </w:r>
          </w:p>
        </w:tc>
      </w:tr>
      <w:tr>
        <w:tblPrEx>
          <w:tblCellMar>
            <w:top w:w="0" w:type="dxa"/>
            <w:left w:w="108" w:type="dxa"/>
            <w:bottom w:w="0" w:type="dxa"/>
            <w:right w:w="108" w:type="dxa"/>
          </w:tblCellMar>
        </w:tblPrEx>
        <w:trPr>
          <w:trHeight w:val="397" w:hRule="atLeast"/>
        </w:trPr>
        <w:tc>
          <w:tcPr>
            <w:tcW w:w="671"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w:t>
            </w:r>
          </w:p>
        </w:tc>
        <w:tc>
          <w:tcPr>
            <w:tcW w:w="1114"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石龙寺村</w:t>
            </w:r>
          </w:p>
        </w:tc>
        <w:tc>
          <w:tcPr>
            <w:tcW w:w="1583" w:type="dxa"/>
            <w:gridSpan w:val="3"/>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lang w:val="en-US" w:eastAsia="zh-CN"/>
              </w:rPr>
              <w:t>-2426</w:t>
            </w:r>
          </w:p>
        </w:tc>
        <w:tc>
          <w:tcPr>
            <w:tcW w:w="99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lang w:val="en-US" w:eastAsia="zh-CN"/>
              </w:rPr>
              <w:t>2540</w:t>
            </w:r>
          </w:p>
        </w:tc>
        <w:tc>
          <w:tcPr>
            <w:tcW w:w="770"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gridSpan w:val="3"/>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200</w:t>
            </w:r>
          </w:p>
        </w:tc>
        <w:tc>
          <w:tcPr>
            <w:tcW w:w="80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kern w:val="0"/>
                <w:lang w:eastAsia="zh-CN"/>
              </w:rPr>
            </w:pPr>
            <w:r>
              <w:rPr>
                <w:rFonts w:hint="eastAsia"/>
                <w:color w:val="auto"/>
                <w:kern w:val="0"/>
                <w:lang w:val="en-US" w:eastAsia="zh-CN"/>
              </w:rPr>
              <w:t>NW</w:t>
            </w:r>
          </w:p>
        </w:tc>
        <w:tc>
          <w:tcPr>
            <w:tcW w:w="99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3904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2" w:type="dxa"/>
            <w:gridSpan w:val="16"/>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7" w:type="dxa"/>
            <w:gridSpan w:val="2"/>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名称</w:t>
            </w:r>
          </w:p>
        </w:tc>
        <w:tc>
          <w:tcPr>
            <w:tcW w:w="1761"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规模</w:t>
            </w:r>
          </w:p>
        </w:tc>
        <w:tc>
          <w:tcPr>
            <w:tcW w:w="1502" w:type="dxa"/>
            <w:gridSpan w:val="3"/>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环境功能区</w:t>
            </w:r>
          </w:p>
        </w:tc>
        <w:tc>
          <w:tcPr>
            <w:tcW w:w="1217" w:type="dxa"/>
            <w:gridSpan w:val="3"/>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方位</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607"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default"/>
                <w:color w:val="auto"/>
                <w:szCs w:val="21"/>
              </w:rPr>
              <w:t>当地农户</w:t>
            </w:r>
          </w:p>
        </w:tc>
        <w:tc>
          <w:tcPr>
            <w:tcW w:w="1761" w:type="dxa"/>
            <w:gridSpan w:val="4"/>
            <w:shd w:val="clear" w:color="auto" w:fill="auto"/>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3</w:t>
            </w:r>
            <w:r>
              <w:rPr>
                <w:rFonts w:hint="default"/>
                <w:color w:val="auto"/>
                <w:szCs w:val="21"/>
              </w:rPr>
              <w:t>户，约</w:t>
            </w:r>
            <w:r>
              <w:rPr>
                <w:rFonts w:hint="eastAsia"/>
                <w:color w:val="auto"/>
                <w:szCs w:val="21"/>
                <w:lang w:val="en-US" w:eastAsia="zh-CN"/>
              </w:rPr>
              <w:t>9</w:t>
            </w:r>
            <w:r>
              <w:rPr>
                <w:rFonts w:hint="default"/>
                <w:color w:val="auto"/>
                <w:szCs w:val="21"/>
              </w:rPr>
              <w:t>人</w:t>
            </w:r>
          </w:p>
        </w:tc>
        <w:tc>
          <w:tcPr>
            <w:tcW w:w="1502" w:type="dxa"/>
            <w:gridSpan w:val="3"/>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2类</w:t>
            </w:r>
          </w:p>
        </w:tc>
        <w:tc>
          <w:tcPr>
            <w:tcW w:w="1217" w:type="dxa"/>
            <w:gridSpan w:val="3"/>
            <w:shd w:val="clear" w:color="auto" w:fill="auto"/>
            <w:vAlign w:val="top"/>
          </w:tcPr>
          <w:p>
            <w:pPr>
              <w:pStyle w:val="1248"/>
              <w:keepNext w:val="0"/>
              <w:keepLines w:val="0"/>
              <w:suppressLineNumbers w:val="0"/>
              <w:spacing w:before="0" w:beforeAutospacing="0" w:after="0" w:afterAutospacing="0" w:line="256" w:lineRule="exact"/>
              <w:ind w:left="103" w:leftChars="0" w:right="-2" w:rightChars="0"/>
              <w:jc w:val="center"/>
              <w:rPr>
                <w:rFonts w:hint="default" w:eastAsia="宋体"/>
                <w:color w:val="auto"/>
                <w:szCs w:val="21"/>
                <w:lang w:val="en-US" w:eastAsia="zh-CN"/>
              </w:rPr>
            </w:pPr>
            <w:r>
              <w:rPr>
                <w:rFonts w:hint="default" w:ascii="Times New Roman" w:hAnsi="Times New Roman" w:eastAsia="宋体" w:cs="Times New Roman"/>
                <w:i w:val="0"/>
                <w:iCs w:val="0"/>
                <w:color w:val="auto"/>
                <w:sz w:val="21"/>
                <w:szCs w:val="21"/>
                <w:lang w:val="en-US" w:eastAsia="zh-CN"/>
              </w:rPr>
              <w:t>东北</w:t>
            </w:r>
            <w:r>
              <w:rPr>
                <w:rFonts w:hint="default" w:ascii="Times New Roman" w:hAnsi="Times New Roman" w:eastAsia="宋体" w:cs="Times New Roman"/>
                <w:i w:val="0"/>
                <w:iCs w:val="0"/>
                <w:color w:val="auto"/>
                <w:sz w:val="21"/>
                <w:szCs w:val="21"/>
              </w:rPr>
              <w:t>侧</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eastAsia="宋体" w:cs="Calibri"/>
                <w:color w:val="auto"/>
                <w:kern w:val="0"/>
                <w:lang w:val="en-US" w:eastAsia="zh-CN"/>
              </w:rPr>
            </w:pPr>
            <w:r>
              <w:rPr>
                <w:rFonts w:hint="eastAsia"/>
                <w:color w:val="auto"/>
                <w:szCs w:val="21"/>
                <w:lang w:val="en-US" w:eastAsia="zh-CN"/>
              </w:rPr>
              <w:t>24m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607"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default"/>
                <w:color w:val="auto"/>
                <w:szCs w:val="21"/>
              </w:rPr>
              <w:t>当地农户</w:t>
            </w:r>
          </w:p>
        </w:tc>
        <w:tc>
          <w:tcPr>
            <w:tcW w:w="1761" w:type="dxa"/>
            <w:gridSpan w:val="4"/>
            <w:shd w:val="clear" w:color="auto" w:fill="auto"/>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7</w:t>
            </w:r>
            <w:r>
              <w:rPr>
                <w:rFonts w:hint="default"/>
                <w:color w:val="auto"/>
                <w:szCs w:val="21"/>
              </w:rPr>
              <w:t>户，约</w:t>
            </w:r>
            <w:r>
              <w:rPr>
                <w:rFonts w:hint="eastAsia"/>
                <w:color w:val="auto"/>
                <w:szCs w:val="21"/>
                <w:lang w:val="en-US" w:eastAsia="zh-CN"/>
              </w:rPr>
              <w:t>21</w:t>
            </w:r>
            <w:r>
              <w:rPr>
                <w:rFonts w:hint="default"/>
                <w:color w:val="auto"/>
                <w:szCs w:val="21"/>
              </w:rPr>
              <w:t>人</w:t>
            </w:r>
          </w:p>
        </w:tc>
        <w:tc>
          <w:tcPr>
            <w:tcW w:w="1502" w:type="dxa"/>
            <w:gridSpan w:val="3"/>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2类</w:t>
            </w:r>
          </w:p>
        </w:tc>
        <w:tc>
          <w:tcPr>
            <w:tcW w:w="1217" w:type="dxa"/>
            <w:gridSpan w:val="3"/>
            <w:shd w:val="clear" w:color="auto" w:fill="auto"/>
            <w:vAlign w:val="top"/>
          </w:tcPr>
          <w:p>
            <w:pPr>
              <w:pStyle w:val="1248"/>
              <w:keepNext w:val="0"/>
              <w:keepLines w:val="0"/>
              <w:suppressLineNumbers w:val="0"/>
              <w:spacing w:before="0" w:beforeAutospacing="0" w:after="0" w:afterAutospacing="0" w:line="289" w:lineRule="exact"/>
              <w:ind w:left="0" w:right="0" w:rightChars="0"/>
              <w:jc w:val="center"/>
              <w:rPr>
                <w:rFonts w:hint="eastAsia" w:eastAsia="宋体"/>
                <w:color w:val="auto"/>
                <w:szCs w:val="21"/>
                <w:lang w:val="en-US" w:eastAsia="zh-CN"/>
              </w:rPr>
            </w:pPr>
            <w:r>
              <w:rPr>
                <w:rFonts w:hint="default" w:ascii="Times New Roman" w:hAnsi="Times New Roman" w:eastAsia="宋体" w:cs="Times New Roman"/>
                <w:i w:val="0"/>
                <w:iCs w:val="0"/>
                <w:color w:val="auto"/>
                <w:sz w:val="21"/>
                <w:szCs w:val="21"/>
              </w:rPr>
              <w:t>东侧</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eastAsia="宋体" w:cs="Calibri"/>
                <w:color w:val="auto"/>
                <w:kern w:val="0"/>
                <w:lang w:val="en-US" w:eastAsia="zh-CN"/>
              </w:rPr>
            </w:pPr>
            <w:r>
              <w:rPr>
                <w:rFonts w:hint="eastAsia"/>
                <w:color w:val="auto"/>
                <w:szCs w:val="21"/>
                <w:lang w:val="en-US" w:eastAsia="zh-CN"/>
              </w:rPr>
              <w:t>32-200m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607" w:type="dxa"/>
            <w:gridSpan w:val="2"/>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当地农户</w:t>
            </w:r>
          </w:p>
        </w:tc>
        <w:tc>
          <w:tcPr>
            <w:tcW w:w="1761" w:type="dxa"/>
            <w:gridSpan w:val="4"/>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4</w:t>
            </w:r>
            <w:r>
              <w:rPr>
                <w:rFonts w:hint="default"/>
                <w:color w:val="auto"/>
                <w:szCs w:val="21"/>
              </w:rPr>
              <w:t>户，约</w:t>
            </w:r>
            <w:r>
              <w:rPr>
                <w:rFonts w:hint="eastAsia"/>
                <w:color w:val="auto"/>
                <w:szCs w:val="21"/>
                <w:lang w:val="en-US" w:eastAsia="zh-CN"/>
              </w:rPr>
              <w:t>12</w:t>
            </w:r>
            <w:r>
              <w:rPr>
                <w:rFonts w:hint="default"/>
                <w:color w:val="auto"/>
                <w:szCs w:val="21"/>
              </w:rPr>
              <w:t>人</w:t>
            </w:r>
          </w:p>
        </w:tc>
        <w:tc>
          <w:tcPr>
            <w:tcW w:w="1502" w:type="dxa"/>
            <w:gridSpan w:val="3"/>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2类</w:t>
            </w:r>
          </w:p>
        </w:tc>
        <w:tc>
          <w:tcPr>
            <w:tcW w:w="1217" w:type="dxa"/>
            <w:gridSpan w:val="3"/>
            <w:shd w:val="clear" w:color="auto" w:fill="auto"/>
            <w:vAlign w:val="top"/>
          </w:tcPr>
          <w:p>
            <w:pPr>
              <w:keepNext w:val="0"/>
              <w:keepLines w:val="0"/>
              <w:suppressLineNumbers w:val="0"/>
              <w:spacing w:before="0" w:beforeAutospacing="0" w:after="0" w:afterAutospacing="0" w:line="289" w:lineRule="exact"/>
              <w:ind w:left="0" w:right="0" w:rightChars="0"/>
              <w:jc w:val="center"/>
              <w:rPr>
                <w:rFonts w:hint="default" w:ascii="Times New Roman" w:hAnsi="Times New Roman" w:eastAsia="宋体" w:cs="Times New Roman"/>
                <w:i w:val="0"/>
                <w:iCs w:val="0"/>
                <w:color w:val="auto"/>
                <w:sz w:val="21"/>
                <w:szCs w:val="21"/>
              </w:rPr>
            </w:pPr>
            <w:r>
              <w:rPr>
                <w:rFonts w:hint="default" w:ascii="Times New Roman" w:hAnsi="Times New Roman" w:eastAsia="宋体" w:cs="Times New Roman"/>
                <w:i w:val="0"/>
                <w:iCs w:val="0"/>
                <w:color w:val="auto"/>
                <w:sz w:val="21"/>
                <w:szCs w:val="21"/>
              </w:rPr>
              <w:t>东</w:t>
            </w:r>
            <w:r>
              <w:rPr>
                <w:rFonts w:hint="eastAsia" w:cs="Times New Roman"/>
                <w:i w:val="0"/>
                <w:iCs w:val="0"/>
                <w:color w:val="auto"/>
                <w:sz w:val="21"/>
                <w:szCs w:val="21"/>
                <w:lang w:val="en-US" w:eastAsia="zh-CN"/>
              </w:rPr>
              <w:t>北</w:t>
            </w:r>
            <w:r>
              <w:rPr>
                <w:rFonts w:hint="default" w:ascii="Times New Roman" w:hAnsi="Times New Roman" w:eastAsia="宋体" w:cs="Times New Roman"/>
                <w:i w:val="0"/>
                <w:iCs w:val="0"/>
                <w:color w:val="auto"/>
                <w:sz w:val="21"/>
                <w:szCs w:val="21"/>
              </w:rPr>
              <w:t>侧</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99-200m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607" w:type="dxa"/>
            <w:gridSpan w:val="2"/>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当地农户</w:t>
            </w:r>
          </w:p>
        </w:tc>
        <w:tc>
          <w:tcPr>
            <w:tcW w:w="1761" w:type="dxa"/>
            <w:gridSpan w:val="4"/>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9</w:t>
            </w:r>
            <w:r>
              <w:rPr>
                <w:rFonts w:hint="default"/>
                <w:color w:val="auto"/>
                <w:szCs w:val="21"/>
              </w:rPr>
              <w:t>户，约</w:t>
            </w:r>
            <w:r>
              <w:rPr>
                <w:rFonts w:hint="eastAsia"/>
                <w:color w:val="auto"/>
                <w:szCs w:val="21"/>
                <w:lang w:val="en-US" w:eastAsia="zh-CN"/>
              </w:rPr>
              <w:t>27</w:t>
            </w:r>
            <w:r>
              <w:rPr>
                <w:rFonts w:hint="default"/>
                <w:color w:val="auto"/>
                <w:szCs w:val="21"/>
              </w:rPr>
              <w:t>人</w:t>
            </w:r>
          </w:p>
        </w:tc>
        <w:tc>
          <w:tcPr>
            <w:tcW w:w="1502" w:type="dxa"/>
            <w:gridSpan w:val="3"/>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2类</w:t>
            </w:r>
          </w:p>
        </w:tc>
        <w:tc>
          <w:tcPr>
            <w:tcW w:w="1217" w:type="dxa"/>
            <w:gridSpan w:val="3"/>
            <w:shd w:val="clear" w:color="auto" w:fill="auto"/>
            <w:vAlign w:val="top"/>
          </w:tcPr>
          <w:p>
            <w:pPr>
              <w:keepNext w:val="0"/>
              <w:keepLines w:val="0"/>
              <w:suppressLineNumbers w:val="0"/>
              <w:spacing w:before="0" w:beforeAutospacing="0" w:after="0" w:afterAutospacing="0" w:line="289" w:lineRule="exact"/>
              <w:ind w:left="0" w:leftChars="0" w:right="0" w:rightChars="0"/>
              <w:jc w:val="center"/>
              <w:rPr>
                <w:rFonts w:hint="default" w:ascii="Times New Roman" w:hAnsi="Times New Roman" w:eastAsia="宋体" w:cs="Times New Roman"/>
                <w:i w:val="0"/>
                <w:iCs w:val="0"/>
                <w:color w:val="auto"/>
                <w:sz w:val="21"/>
                <w:szCs w:val="21"/>
              </w:rPr>
            </w:pPr>
            <w:r>
              <w:rPr>
                <w:rFonts w:hint="eastAsia" w:ascii="Times New Roman" w:hAnsi="Times New Roman" w:eastAsia="宋体" w:cs="Times New Roman"/>
                <w:i w:val="0"/>
                <w:iCs w:val="0"/>
                <w:color w:val="auto"/>
                <w:sz w:val="21"/>
                <w:szCs w:val="21"/>
                <w:lang w:val="en-US" w:eastAsia="zh-CN"/>
              </w:rPr>
              <w:t>南</w:t>
            </w:r>
            <w:r>
              <w:rPr>
                <w:rFonts w:hint="default" w:ascii="Times New Roman" w:hAnsi="Times New Roman" w:eastAsia="宋体" w:cs="Times New Roman"/>
                <w:i w:val="0"/>
                <w:iCs w:val="0"/>
                <w:color w:val="auto"/>
                <w:sz w:val="21"/>
                <w:szCs w:val="21"/>
              </w:rPr>
              <w:t>侧</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5-200m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607" w:type="dxa"/>
            <w:gridSpan w:val="2"/>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当地农户</w:t>
            </w:r>
          </w:p>
        </w:tc>
        <w:tc>
          <w:tcPr>
            <w:tcW w:w="1761" w:type="dxa"/>
            <w:gridSpan w:val="4"/>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8</w:t>
            </w:r>
            <w:r>
              <w:rPr>
                <w:rFonts w:hint="default"/>
                <w:color w:val="auto"/>
                <w:szCs w:val="21"/>
              </w:rPr>
              <w:t>户，约</w:t>
            </w:r>
            <w:r>
              <w:rPr>
                <w:rFonts w:hint="eastAsia"/>
                <w:color w:val="auto"/>
                <w:szCs w:val="21"/>
                <w:lang w:val="en-US" w:eastAsia="zh-CN"/>
              </w:rPr>
              <w:t>24</w:t>
            </w:r>
            <w:r>
              <w:rPr>
                <w:rFonts w:hint="default"/>
                <w:color w:val="auto"/>
                <w:szCs w:val="21"/>
              </w:rPr>
              <w:t>人</w:t>
            </w:r>
          </w:p>
        </w:tc>
        <w:tc>
          <w:tcPr>
            <w:tcW w:w="1502" w:type="dxa"/>
            <w:gridSpan w:val="3"/>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2类</w:t>
            </w:r>
          </w:p>
        </w:tc>
        <w:tc>
          <w:tcPr>
            <w:tcW w:w="1217" w:type="dxa"/>
            <w:gridSpan w:val="3"/>
            <w:shd w:val="clear" w:color="auto" w:fill="auto"/>
            <w:vAlign w:val="top"/>
          </w:tcPr>
          <w:p>
            <w:pPr>
              <w:keepNext w:val="0"/>
              <w:keepLines w:val="0"/>
              <w:suppressLineNumbers w:val="0"/>
              <w:spacing w:before="0" w:beforeAutospacing="0" w:after="0" w:afterAutospacing="0" w:line="289" w:lineRule="exact"/>
              <w:ind w:left="0" w:right="0" w:rightChars="0"/>
              <w:jc w:val="center"/>
              <w:rPr>
                <w:rFonts w:hint="default" w:ascii="Times New Roman" w:hAnsi="Times New Roman" w:eastAsia="宋体" w:cs="Times New Roman"/>
                <w:i w:val="0"/>
                <w:iCs w:val="0"/>
                <w:color w:val="auto"/>
                <w:sz w:val="21"/>
                <w:szCs w:val="21"/>
              </w:rPr>
            </w:pPr>
            <w:r>
              <w:rPr>
                <w:rFonts w:hint="eastAsia" w:ascii="Times New Roman" w:hAnsi="Times New Roman" w:eastAsia="宋体" w:cs="Times New Roman"/>
                <w:i w:val="0"/>
                <w:iCs w:val="0"/>
                <w:color w:val="auto"/>
                <w:sz w:val="21"/>
                <w:szCs w:val="21"/>
                <w:lang w:val="en-US" w:eastAsia="zh-CN"/>
              </w:rPr>
              <w:t>西南</w:t>
            </w:r>
            <w:r>
              <w:rPr>
                <w:rFonts w:hint="default" w:ascii="Times New Roman" w:hAnsi="Times New Roman" w:eastAsia="宋体" w:cs="Times New Roman"/>
                <w:i w:val="0"/>
                <w:iCs w:val="0"/>
                <w:color w:val="auto"/>
                <w:sz w:val="21"/>
                <w:szCs w:val="21"/>
              </w:rPr>
              <w:t>侧</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33-145m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607" w:type="dxa"/>
            <w:gridSpan w:val="2"/>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当地农户</w:t>
            </w:r>
          </w:p>
        </w:tc>
        <w:tc>
          <w:tcPr>
            <w:tcW w:w="1761" w:type="dxa"/>
            <w:gridSpan w:val="4"/>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7</w:t>
            </w:r>
            <w:r>
              <w:rPr>
                <w:rFonts w:hint="default"/>
                <w:color w:val="auto"/>
                <w:szCs w:val="21"/>
              </w:rPr>
              <w:t>户，约</w:t>
            </w:r>
            <w:r>
              <w:rPr>
                <w:rFonts w:hint="eastAsia"/>
                <w:color w:val="auto"/>
                <w:szCs w:val="21"/>
                <w:lang w:val="en-US" w:eastAsia="zh-CN"/>
              </w:rPr>
              <w:t>21</w:t>
            </w:r>
            <w:r>
              <w:rPr>
                <w:rFonts w:hint="default"/>
                <w:color w:val="auto"/>
                <w:szCs w:val="21"/>
              </w:rPr>
              <w:t>人</w:t>
            </w:r>
          </w:p>
        </w:tc>
        <w:tc>
          <w:tcPr>
            <w:tcW w:w="1502" w:type="dxa"/>
            <w:gridSpan w:val="3"/>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2类</w:t>
            </w:r>
          </w:p>
        </w:tc>
        <w:tc>
          <w:tcPr>
            <w:tcW w:w="1217" w:type="dxa"/>
            <w:gridSpan w:val="3"/>
            <w:shd w:val="clear" w:color="auto" w:fill="auto"/>
            <w:vAlign w:val="top"/>
          </w:tcPr>
          <w:p>
            <w:pPr>
              <w:keepNext w:val="0"/>
              <w:keepLines w:val="0"/>
              <w:suppressLineNumbers w:val="0"/>
              <w:spacing w:before="0" w:beforeAutospacing="0" w:after="0" w:afterAutospacing="0" w:line="289" w:lineRule="exact"/>
              <w:ind w:left="0" w:right="0" w:rightChars="0"/>
              <w:jc w:val="center"/>
              <w:rPr>
                <w:rFonts w:hint="default" w:ascii="Times New Roman" w:hAnsi="Times New Roman" w:eastAsia="宋体" w:cs="Times New Roman"/>
                <w:i w:val="0"/>
                <w:iCs w:val="0"/>
                <w:color w:val="auto"/>
                <w:sz w:val="21"/>
                <w:szCs w:val="21"/>
              </w:rPr>
            </w:pPr>
            <w:r>
              <w:rPr>
                <w:rFonts w:hint="eastAsia" w:ascii="Times New Roman" w:hAnsi="Times New Roman" w:eastAsia="宋体" w:cs="Times New Roman"/>
                <w:i w:val="0"/>
                <w:iCs w:val="0"/>
                <w:color w:val="auto"/>
                <w:sz w:val="21"/>
                <w:szCs w:val="21"/>
                <w:lang w:val="en-US" w:eastAsia="zh-CN"/>
              </w:rPr>
              <w:t>西</w:t>
            </w:r>
            <w:r>
              <w:rPr>
                <w:rFonts w:hint="default" w:ascii="Times New Roman" w:hAnsi="Times New Roman" w:eastAsia="宋体" w:cs="Times New Roman"/>
                <w:i w:val="0"/>
                <w:iCs w:val="0"/>
                <w:color w:val="auto"/>
                <w:sz w:val="21"/>
                <w:szCs w:val="21"/>
              </w:rPr>
              <w:t>侧</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71-203m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607" w:type="dxa"/>
            <w:gridSpan w:val="2"/>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当地农户</w:t>
            </w:r>
          </w:p>
        </w:tc>
        <w:tc>
          <w:tcPr>
            <w:tcW w:w="1761" w:type="dxa"/>
            <w:gridSpan w:val="4"/>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8</w:t>
            </w:r>
            <w:r>
              <w:rPr>
                <w:rFonts w:hint="default"/>
                <w:color w:val="auto"/>
                <w:szCs w:val="21"/>
              </w:rPr>
              <w:t>户，约</w:t>
            </w:r>
            <w:r>
              <w:rPr>
                <w:rFonts w:hint="eastAsia"/>
                <w:color w:val="auto"/>
                <w:szCs w:val="21"/>
                <w:lang w:val="en-US" w:eastAsia="zh-CN"/>
              </w:rPr>
              <w:t>24</w:t>
            </w:r>
            <w:r>
              <w:rPr>
                <w:rFonts w:hint="default"/>
                <w:color w:val="auto"/>
                <w:szCs w:val="21"/>
              </w:rPr>
              <w:t>人</w:t>
            </w:r>
          </w:p>
        </w:tc>
        <w:tc>
          <w:tcPr>
            <w:tcW w:w="1502" w:type="dxa"/>
            <w:gridSpan w:val="3"/>
            <w:vAlign w:val="center"/>
          </w:tcPr>
          <w:p>
            <w:pPr>
              <w:keepNext w:val="0"/>
              <w:keepLines w:val="0"/>
              <w:suppressLineNumbers w:val="0"/>
              <w:spacing w:before="0" w:beforeAutospacing="0" w:after="0" w:afterAutospacing="0"/>
              <w:ind w:left="0" w:leftChars="0" w:right="0" w:rightChars="0"/>
              <w:jc w:val="center"/>
              <w:rPr>
                <w:rFonts w:hint="default"/>
                <w:color w:val="auto"/>
                <w:szCs w:val="21"/>
              </w:rPr>
            </w:pPr>
            <w:r>
              <w:rPr>
                <w:rFonts w:hint="default"/>
                <w:color w:val="auto"/>
                <w:szCs w:val="21"/>
              </w:rPr>
              <w:t>2类</w:t>
            </w:r>
          </w:p>
        </w:tc>
        <w:tc>
          <w:tcPr>
            <w:tcW w:w="1217" w:type="dxa"/>
            <w:gridSpan w:val="3"/>
            <w:shd w:val="clear" w:color="auto" w:fill="auto"/>
            <w:vAlign w:val="top"/>
          </w:tcPr>
          <w:p>
            <w:pPr>
              <w:keepNext w:val="0"/>
              <w:keepLines w:val="0"/>
              <w:suppressLineNumbers w:val="0"/>
              <w:spacing w:before="0" w:beforeAutospacing="0" w:after="0" w:afterAutospacing="0" w:line="289" w:lineRule="exact"/>
              <w:ind w:left="0" w:right="0" w:rightChars="0"/>
              <w:jc w:val="center"/>
              <w:rPr>
                <w:rFonts w:hint="default" w:ascii="Times New Roman" w:hAnsi="Times New Roman" w:eastAsia="宋体" w:cs="Times New Roman"/>
                <w:i w:val="0"/>
                <w:iCs w:val="0"/>
                <w:color w:val="auto"/>
                <w:sz w:val="21"/>
                <w:szCs w:val="21"/>
              </w:rPr>
            </w:pPr>
            <w:r>
              <w:rPr>
                <w:rFonts w:hint="eastAsia" w:ascii="Times New Roman" w:hAnsi="Times New Roman" w:eastAsia="宋体" w:cs="Times New Roman"/>
                <w:i w:val="0"/>
                <w:iCs w:val="0"/>
                <w:color w:val="auto"/>
                <w:sz w:val="21"/>
                <w:szCs w:val="21"/>
                <w:lang w:val="en-US" w:eastAsia="zh-CN"/>
              </w:rPr>
              <w:t>西北</w:t>
            </w:r>
            <w:r>
              <w:rPr>
                <w:rFonts w:hint="default" w:ascii="Times New Roman" w:hAnsi="Times New Roman" w:eastAsia="宋体" w:cs="Times New Roman"/>
                <w:i w:val="0"/>
                <w:iCs w:val="0"/>
                <w:color w:val="auto"/>
                <w:sz w:val="21"/>
                <w:szCs w:val="21"/>
              </w:rPr>
              <w:t>侧</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5-173m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1607" w:type="dxa"/>
            <w:gridSpan w:val="2"/>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当地农户</w:t>
            </w:r>
          </w:p>
        </w:tc>
        <w:tc>
          <w:tcPr>
            <w:tcW w:w="1761" w:type="dxa"/>
            <w:gridSpan w:val="4"/>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w:t>
            </w:r>
            <w:r>
              <w:rPr>
                <w:rFonts w:hint="default"/>
                <w:color w:val="auto"/>
                <w:szCs w:val="21"/>
              </w:rPr>
              <w:t>户，约</w:t>
            </w:r>
            <w:r>
              <w:rPr>
                <w:rFonts w:hint="eastAsia"/>
                <w:color w:val="auto"/>
                <w:szCs w:val="21"/>
                <w:lang w:val="en-US" w:eastAsia="zh-CN"/>
              </w:rPr>
              <w:t>15</w:t>
            </w:r>
            <w:r>
              <w:rPr>
                <w:rFonts w:hint="default"/>
                <w:color w:val="auto"/>
                <w:szCs w:val="21"/>
              </w:rPr>
              <w:t>人</w:t>
            </w:r>
          </w:p>
        </w:tc>
        <w:tc>
          <w:tcPr>
            <w:tcW w:w="1502" w:type="dxa"/>
            <w:gridSpan w:val="3"/>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2类</w:t>
            </w:r>
          </w:p>
        </w:tc>
        <w:tc>
          <w:tcPr>
            <w:tcW w:w="1217" w:type="dxa"/>
            <w:gridSpan w:val="3"/>
            <w:shd w:val="clear" w:color="auto" w:fill="auto"/>
            <w:vAlign w:val="top"/>
          </w:tcPr>
          <w:p>
            <w:pPr>
              <w:keepNext w:val="0"/>
              <w:keepLines w:val="0"/>
              <w:suppressLineNumbers w:val="0"/>
              <w:spacing w:before="0" w:beforeAutospacing="0" w:after="0" w:afterAutospacing="0" w:line="289" w:lineRule="exact"/>
              <w:ind w:left="0" w:leftChars="0" w:right="0" w:rightChars="0"/>
              <w:jc w:val="center"/>
              <w:rPr>
                <w:rFonts w:hint="eastAsia" w:ascii="Times New Roman" w:hAnsi="Times New Roman" w:eastAsia="宋体" w:cs="Times New Roman"/>
                <w:i w:val="0"/>
                <w:iCs w:val="0"/>
                <w:color w:val="auto"/>
                <w:kern w:val="2"/>
                <w:sz w:val="21"/>
                <w:szCs w:val="21"/>
                <w:lang w:val="en-US" w:eastAsia="zh-CN" w:bidi="ar-SA"/>
              </w:rPr>
            </w:pPr>
            <w:r>
              <w:rPr>
                <w:rFonts w:hint="eastAsia" w:ascii="Times New Roman" w:hAnsi="Times New Roman" w:eastAsia="宋体" w:cs="Times New Roman"/>
                <w:i w:val="0"/>
                <w:iCs w:val="0"/>
                <w:color w:val="auto"/>
                <w:sz w:val="21"/>
                <w:szCs w:val="21"/>
                <w:lang w:val="en-US" w:eastAsia="zh-CN"/>
              </w:rPr>
              <w:t>北</w:t>
            </w:r>
            <w:r>
              <w:rPr>
                <w:rFonts w:hint="default" w:ascii="Times New Roman" w:hAnsi="Times New Roman" w:eastAsia="宋体" w:cs="Times New Roman"/>
                <w:i w:val="0"/>
                <w:iCs w:val="0"/>
                <w:color w:val="auto"/>
                <w:sz w:val="21"/>
                <w:szCs w:val="21"/>
              </w:rPr>
              <w:t>侧</w:t>
            </w:r>
          </w:p>
        </w:tc>
        <w:tc>
          <w:tcPr>
            <w:tcW w:w="2435" w:type="dxa"/>
            <w:gridSpan w:val="4"/>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color w:val="auto"/>
                <w:lang w:val="en-US" w:eastAsia="zh-CN"/>
              </w:rPr>
              <w:t>145-341m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8522" w:type="dxa"/>
            <w:gridSpan w:val="16"/>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cs="Calibri"/>
                <w:color w:val="auto"/>
                <w:kern w:val="0"/>
              </w:rPr>
            </w:pPr>
            <w:r>
              <w:rPr>
                <w:rFonts w:hint="eastAsia" w:ascii="Calibri" w:hAnsi="Calibri" w:cs="Calibri"/>
                <w:color w:val="auto"/>
                <w:kern w:val="0"/>
              </w:rPr>
              <w:t>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130"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保护目标</w:t>
            </w:r>
          </w:p>
        </w:tc>
        <w:tc>
          <w:tcPr>
            <w:tcW w:w="2130" w:type="dxa"/>
            <w:gridSpan w:val="3"/>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环境功能区</w:t>
            </w:r>
          </w:p>
        </w:tc>
        <w:tc>
          <w:tcPr>
            <w:tcW w:w="2130" w:type="dxa"/>
            <w:gridSpan w:val="6"/>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方位</w:t>
            </w:r>
          </w:p>
        </w:tc>
        <w:tc>
          <w:tcPr>
            <w:tcW w:w="2132" w:type="dxa"/>
            <w:gridSpan w:val="3"/>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cs="Calibri"/>
                <w:color w:val="auto"/>
                <w:kern w:val="0"/>
              </w:rPr>
            </w:pPr>
            <w:r>
              <w:rPr>
                <w:rFonts w:hint="eastAsia" w:ascii="宋体" w:hAnsi="宋体" w:cs="宋体"/>
                <w:color w:val="auto"/>
                <w:kern w:val="0"/>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130" w:type="dxa"/>
            <w:gridSpan w:val="4"/>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lang w:val="en-US" w:eastAsia="zh-CN"/>
              </w:rPr>
            </w:pPr>
            <w:r>
              <w:rPr>
                <w:rFonts w:hint="eastAsia" w:ascii="Calibri" w:hAnsi="Calibri" w:cs="Calibri"/>
                <w:color w:val="auto"/>
                <w:kern w:val="0"/>
                <w:lang w:val="en-US" w:eastAsia="zh-CN"/>
              </w:rPr>
              <w:t>思凤溪河</w:t>
            </w:r>
          </w:p>
        </w:tc>
        <w:tc>
          <w:tcPr>
            <w:tcW w:w="213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eastAsia="宋体"/>
                <w:b/>
                <w:color w:val="auto"/>
                <w:szCs w:val="21"/>
                <w:lang w:val="en-US" w:eastAsia="zh-CN"/>
              </w:rPr>
            </w:pPr>
            <w:r>
              <w:rPr>
                <w:rFonts w:hint="default"/>
                <w:color w:val="auto"/>
                <w:szCs w:val="21"/>
              </w:rPr>
              <w:t>Ⅲ类</w:t>
            </w:r>
            <w:r>
              <w:rPr>
                <w:rFonts w:hint="eastAsia"/>
                <w:color w:val="auto"/>
                <w:szCs w:val="21"/>
              </w:rPr>
              <w:t>、</w:t>
            </w:r>
            <w:r>
              <w:rPr>
                <w:rFonts w:hint="default"/>
                <w:color w:val="auto"/>
                <w:szCs w:val="21"/>
              </w:rPr>
              <w:t>农业、灌溉、泄洪</w:t>
            </w:r>
            <w:r>
              <w:rPr>
                <w:rFonts w:hint="eastAsia"/>
                <w:color w:val="auto"/>
                <w:szCs w:val="21"/>
                <w:lang w:eastAsia="zh-CN"/>
              </w:rPr>
              <w:t>、</w:t>
            </w:r>
            <w:r>
              <w:rPr>
                <w:rFonts w:hint="eastAsia"/>
                <w:color w:val="auto"/>
                <w:szCs w:val="21"/>
                <w:lang w:val="en-US" w:eastAsia="zh-CN"/>
              </w:rPr>
              <w:t>饮用水功能</w:t>
            </w:r>
          </w:p>
        </w:tc>
        <w:tc>
          <w:tcPr>
            <w:tcW w:w="2130" w:type="dxa"/>
            <w:gridSpan w:val="6"/>
            <w:shd w:val="clear" w:color="auto" w:fill="auto"/>
            <w:vAlign w:val="center"/>
          </w:tcPr>
          <w:p>
            <w:pPr>
              <w:keepNext w:val="0"/>
              <w:keepLines w:val="0"/>
              <w:suppressLineNumbers w:val="0"/>
              <w:spacing w:before="0" w:beforeAutospacing="0" w:after="0" w:afterAutospacing="0"/>
              <w:ind w:left="0" w:right="0" w:firstLine="174" w:firstLineChars="83"/>
              <w:jc w:val="center"/>
              <w:rPr>
                <w:rFonts w:hint="default"/>
                <w:b/>
                <w:color w:val="auto"/>
                <w:szCs w:val="21"/>
              </w:rPr>
            </w:pPr>
            <w:r>
              <w:rPr>
                <w:rFonts w:hint="eastAsia"/>
                <w:color w:val="auto"/>
                <w:szCs w:val="21"/>
              </w:rPr>
              <w:t>西</w:t>
            </w:r>
          </w:p>
        </w:tc>
        <w:tc>
          <w:tcPr>
            <w:tcW w:w="2132" w:type="dxa"/>
            <w:gridSpan w:val="3"/>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cs="Calibri"/>
                <w:color w:val="auto"/>
                <w:kern w:val="0"/>
                <w:lang w:val="en-US"/>
              </w:rPr>
            </w:pPr>
            <w:r>
              <w:rPr>
                <w:rFonts w:hint="eastAsia"/>
                <w:color w:val="auto"/>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522" w:type="dxa"/>
            <w:gridSpan w:val="16"/>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cs="Calibri"/>
                <w:color w:val="auto"/>
                <w:kern w:val="0"/>
              </w:rPr>
            </w:pPr>
            <w:r>
              <w:rPr>
                <w:rFonts w:hint="default" w:ascii="Calibri" w:hAnsi="Calibri" w:cs="Calibri"/>
                <w:color w:val="auto"/>
                <w:kern w:val="0"/>
              </w:rPr>
              <w:t>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376" w:type="dxa"/>
            <w:gridSpan w:val="5"/>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保护目标</w:t>
            </w:r>
          </w:p>
        </w:tc>
        <w:tc>
          <w:tcPr>
            <w:tcW w:w="6146" w:type="dxa"/>
            <w:gridSpan w:val="11"/>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cs="Calibri"/>
                <w:color w:val="auto"/>
                <w:kern w:val="0"/>
              </w:rPr>
            </w:pPr>
            <w:r>
              <w:rPr>
                <w:rFonts w:hint="default" w:ascii="Calibri" w:hAnsi="Calibri" w:cs="Calibri"/>
                <w:color w:val="auto"/>
                <w:kern w:val="0"/>
              </w:rPr>
              <w:t>保护</w:t>
            </w:r>
            <w:r>
              <w:rPr>
                <w:rFonts w:hint="default" w:ascii="宋体" w:hAnsi="宋体" w:cs="宋体"/>
                <w:color w:val="auto"/>
                <w:kern w:val="0"/>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6" w:type="dxa"/>
            <w:gridSpan w:val="5"/>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评价范围内潜水含水层</w:t>
            </w:r>
          </w:p>
        </w:tc>
        <w:tc>
          <w:tcPr>
            <w:tcW w:w="6146" w:type="dxa"/>
            <w:gridSpan w:val="11"/>
            <w:shd w:val="clear" w:color="auto" w:fill="auto"/>
            <w:vAlign w:val="center"/>
          </w:tcPr>
          <w:p>
            <w:pPr>
              <w:keepNext w:val="0"/>
              <w:keepLines w:val="0"/>
              <w:widowControl/>
              <w:suppressLineNumbers w:val="0"/>
              <w:spacing w:before="0" w:beforeAutospacing="0" w:after="0" w:afterAutospacing="0"/>
              <w:ind w:left="0" w:right="0"/>
              <w:jc w:val="center"/>
              <w:rPr>
                <w:rFonts w:hint="default" w:ascii="Calibri" w:hAnsi="Calibri" w:cs="Calibri"/>
                <w:color w:val="auto"/>
                <w:kern w:val="0"/>
              </w:rPr>
            </w:pPr>
            <w:r>
              <w:rPr>
                <w:rFonts w:hint="default"/>
                <w:color w:val="auto"/>
              </w:rPr>
              <w:t>《地下水质量标准》（GB/T14848-2017）中的</w:t>
            </w:r>
            <w:r>
              <w:rPr>
                <w:rFonts w:hint="eastAsia" w:ascii="宋体" w:hAnsi="宋体" w:cs="宋体"/>
                <w:color w:val="auto"/>
              </w:rPr>
              <w:t>Ⅲ</w:t>
            </w:r>
            <w:r>
              <w:rPr>
                <w:rFonts w:hint="default"/>
                <w:color w:va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522" w:type="dxa"/>
            <w:gridSpan w:val="16"/>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rPr>
            </w:pPr>
            <w:r>
              <w:rPr>
                <w:rFonts w:hint="eastAsia"/>
                <w:color w:val="auto"/>
              </w:rPr>
              <w:t>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376" w:type="dxa"/>
            <w:gridSpan w:val="5"/>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保护目标</w:t>
            </w:r>
          </w:p>
        </w:tc>
        <w:tc>
          <w:tcPr>
            <w:tcW w:w="6146" w:type="dxa"/>
            <w:gridSpan w:val="11"/>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rPr>
            </w:pPr>
            <w:r>
              <w:rPr>
                <w:rFonts w:hint="default" w:ascii="Calibri" w:hAnsi="Calibri" w:cs="Calibri"/>
                <w:color w:val="auto"/>
                <w:kern w:val="0"/>
              </w:rPr>
              <w:t>保护</w:t>
            </w:r>
            <w:r>
              <w:rPr>
                <w:rFonts w:hint="default" w:ascii="宋体" w:hAnsi="宋体" w:cs="宋体"/>
                <w:color w:val="auto"/>
                <w:kern w:val="0"/>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376" w:type="dxa"/>
            <w:gridSpan w:val="5"/>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w:t>
            </w:r>
          </w:p>
        </w:tc>
        <w:tc>
          <w:tcPr>
            <w:tcW w:w="6146" w:type="dxa"/>
            <w:gridSpan w:val="11"/>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lang w:val="en-US" w:eastAsia="zh-CN"/>
              </w:rPr>
            </w:pPr>
            <w:r>
              <w:rPr>
                <w:rFonts w:hint="default" w:ascii="Times New Roman"/>
                <w:color w:val="auto"/>
              </w:rPr>
              <w:t>《土壤环境质量 农用地土壤污染风险管控标准》（GB15618-2018）</w:t>
            </w:r>
            <w:r>
              <w:rPr>
                <w:rFonts w:hint="eastAsia"/>
                <w:color w:val="auto"/>
              </w:rPr>
              <w:t>中</w:t>
            </w:r>
            <w:r>
              <w:rPr>
                <w:rFonts w:hint="eastAsia"/>
                <w:color w:val="auto"/>
                <w:lang w:val="en-US" w:eastAsia="zh-CN"/>
              </w:rPr>
              <w:t>标准值</w:t>
            </w:r>
            <w:r>
              <w:rPr>
                <w:rFonts w:hint="default" w:ascii="Times New Roman"/>
                <w:color w:val="auto"/>
              </w:rPr>
              <w:t>（试行）</w:t>
            </w:r>
          </w:p>
        </w:tc>
      </w:tr>
    </w:tbl>
    <w:p>
      <w:pPr>
        <w:pStyle w:val="4"/>
        <w:spacing w:line="360" w:lineRule="auto"/>
        <w:ind w:firstLine="480"/>
        <w:jc w:val="both"/>
        <w:rPr>
          <w:rFonts w:ascii="Times New Roman"/>
          <w:color w:val="auto"/>
          <w:szCs w:val="24"/>
        </w:rPr>
      </w:pPr>
    </w:p>
    <w:p>
      <w:pPr>
        <w:pStyle w:val="5"/>
        <w:rPr>
          <w:color w:val="auto"/>
        </w:rPr>
        <w:sectPr>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bookmarkStart w:id="142" w:name="_Toc180824061"/>
      <w:bookmarkStart w:id="143" w:name="_Toc23612"/>
      <w:bookmarkStart w:id="144" w:name="_Toc180817026"/>
      <w:bookmarkStart w:id="145" w:name="_Toc484402641"/>
      <w:bookmarkStart w:id="146" w:name="_Toc453167162"/>
      <w:bookmarkStart w:id="147" w:name="_Toc483622988"/>
      <w:bookmarkStart w:id="148" w:name="_Toc453129265"/>
      <w:bookmarkStart w:id="149" w:name="_Toc424995961"/>
      <w:bookmarkStart w:id="150" w:name="_Toc436130153"/>
      <w:bookmarkStart w:id="151" w:name="_Toc436191250"/>
      <w:bookmarkStart w:id="152" w:name="_Toc422562144"/>
      <w:bookmarkStart w:id="153" w:name="_Toc422563408"/>
      <w:bookmarkStart w:id="154" w:name="_Toc424983432"/>
    </w:p>
    <w:p>
      <w:pPr>
        <w:pStyle w:val="5"/>
        <w:rPr>
          <w:rFonts w:hint="eastAsia" w:asciiTheme="majorEastAsia" w:hAnsiTheme="majorEastAsia" w:eastAsiaTheme="majorEastAsia" w:cstheme="majorEastAsia"/>
          <w:b/>
          <w:bCs/>
          <w:color w:val="auto"/>
          <w:sz w:val="32"/>
          <w:szCs w:val="32"/>
        </w:rPr>
      </w:pPr>
      <w:bookmarkStart w:id="155" w:name="_Toc18011"/>
      <w:bookmarkStart w:id="156" w:name="_Toc9579"/>
      <w:r>
        <w:rPr>
          <w:rFonts w:hint="eastAsia" w:asciiTheme="majorEastAsia" w:hAnsiTheme="majorEastAsia" w:eastAsiaTheme="majorEastAsia" w:cstheme="majorEastAsia"/>
          <w:b/>
          <w:bCs/>
          <w:color w:val="auto"/>
          <w:sz w:val="32"/>
          <w:szCs w:val="32"/>
        </w:rPr>
        <w:t>建设项目工程分析</w:t>
      </w:r>
      <w:bookmarkEnd w:id="142"/>
      <w:bookmarkEnd w:id="143"/>
      <w:bookmarkEnd w:id="144"/>
      <w:bookmarkEnd w:id="155"/>
      <w:bookmarkEnd w:id="156"/>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157" w:name="_Toc6201"/>
      <w:bookmarkStart w:id="158" w:name="_Toc180817027"/>
      <w:bookmarkStart w:id="159" w:name="_Toc5532"/>
      <w:bookmarkStart w:id="160" w:name="_Toc20200"/>
      <w:bookmarkStart w:id="161" w:name="_Toc180824062"/>
      <w:r>
        <w:rPr>
          <w:rFonts w:ascii="Times New Roman" w:hAnsi="Times New Roman" w:cs="Times New Roman" w:eastAsiaTheme="majorEastAsia"/>
          <w:bCs/>
          <w:color w:val="auto"/>
          <w:kern w:val="2"/>
          <w:szCs w:val="32"/>
          <w:lang w:val="en-US" w:eastAsia="zh-CN"/>
        </w:rPr>
        <w:t>建设项目概况</w:t>
      </w:r>
      <w:bookmarkEnd w:id="157"/>
      <w:bookmarkEnd w:id="158"/>
      <w:bookmarkEnd w:id="159"/>
      <w:bookmarkEnd w:id="160"/>
      <w:bookmarkEnd w:id="161"/>
    </w:p>
    <w:bookmarkEnd w:id="145"/>
    <w:bookmarkEnd w:id="146"/>
    <w:bookmarkEnd w:id="147"/>
    <w:bookmarkEnd w:id="148"/>
    <w:bookmarkEnd w:id="149"/>
    <w:bookmarkEnd w:id="150"/>
    <w:bookmarkEnd w:id="151"/>
    <w:bookmarkEnd w:id="152"/>
    <w:bookmarkEnd w:id="153"/>
    <w:bookmarkEnd w:id="154"/>
    <w:p>
      <w:pPr>
        <w:pStyle w:val="180"/>
        <w:rPr>
          <w:rFonts w:hint="default" w:ascii="Times New Roman" w:hAnsi="Times New Roman" w:cs="Times New Roman" w:eastAsiaTheme="majorEastAsia"/>
          <w:b/>
          <w:bCs w:val="0"/>
          <w:color w:val="auto"/>
          <w:sz w:val="24"/>
          <w:szCs w:val="24"/>
        </w:rPr>
      </w:pPr>
      <w:bookmarkStart w:id="162" w:name="_Toc369359661"/>
      <w:bookmarkStart w:id="163" w:name="_Toc369334794"/>
      <w:bookmarkStart w:id="164" w:name="_Toc180824064"/>
      <w:bookmarkStart w:id="165" w:name="_Toc369197776"/>
      <w:bookmarkStart w:id="166" w:name="_Toc3331"/>
      <w:bookmarkStart w:id="167" w:name="_Toc369191611"/>
      <w:bookmarkStart w:id="168" w:name="_Toc369334614"/>
      <w:r>
        <w:rPr>
          <w:rFonts w:hint="default" w:ascii="Times New Roman" w:hAnsi="Times New Roman" w:cs="Times New Roman" w:eastAsiaTheme="majorEastAsia"/>
          <w:b/>
          <w:bCs w:val="0"/>
          <w:color w:val="auto"/>
          <w:sz w:val="24"/>
          <w:szCs w:val="24"/>
        </w:rPr>
        <w:t>项目名称、地点、性质</w:t>
      </w:r>
      <w:bookmarkEnd w:id="162"/>
      <w:bookmarkEnd w:id="163"/>
      <w:bookmarkEnd w:id="164"/>
      <w:bookmarkEnd w:id="165"/>
      <w:bookmarkEnd w:id="166"/>
      <w:bookmarkEnd w:id="167"/>
      <w:bookmarkEnd w:id="168"/>
    </w:p>
    <w:p>
      <w:pPr>
        <w:pStyle w:val="4"/>
        <w:spacing w:line="360" w:lineRule="auto"/>
        <w:ind w:firstLine="508"/>
        <w:jc w:val="both"/>
        <w:rPr>
          <w:rFonts w:hint="eastAsia" w:ascii="Times New Roman" w:eastAsia="宋体"/>
          <w:snapToGrid w:val="0"/>
          <w:color w:val="auto"/>
          <w:lang w:eastAsia="zh-CN"/>
        </w:rPr>
      </w:pPr>
      <w:r>
        <w:rPr>
          <w:rFonts w:ascii="Times New Roman"/>
          <w:color w:val="auto"/>
        </w:rPr>
        <w:t>项目名称：</w:t>
      </w:r>
      <w:r>
        <w:rPr>
          <w:rFonts w:hint="eastAsia" w:ascii="Times New Roman" w:eastAsiaTheme="minorEastAsia"/>
          <w:snapToGrid w:val="0"/>
          <w:color w:val="auto"/>
          <w:lang w:eastAsia="zh-CN"/>
        </w:rPr>
        <w:t>恩阳区群乐镇坳盘村巴山肉牛育肥场项目</w:t>
      </w:r>
    </w:p>
    <w:p>
      <w:pPr>
        <w:pStyle w:val="4"/>
        <w:spacing w:line="360" w:lineRule="auto"/>
        <w:ind w:firstLine="508"/>
        <w:jc w:val="both"/>
        <w:rPr>
          <w:rFonts w:ascii="Times New Roman"/>
          <w:color w:val="auto"/>
        </w:rPr>
      </w:pPr>
      <w:r>
        <w:rPr>
          <w:rFonts w:ascii="Times New Roman"/>
          <w:color w:val="auto"/>
        </w:rPr>
        <w:t>建设单位：</w:t>
      </w:r>
      <w:r>
        <w:rPr>
          <w:rFonts w:hint="eastAsia" w:ascii="Times New Roman"/>
          <w:color w:val="auto"/>
        </w:rPr>
        <w:t>巴中乾兴产业园区建设投资有限公司</w:t>
      </w:r>
    </w:p>
    <w:p>
      <w:pPr>
        <w:pStyle w:val="4"/>
        <w:spacing w:line="360" w:lineRule="auto"/>
        <w:ind w:firstLine="508"/>
        <w:jc w:val="both"/>
        <w:rPr>
          <w:rFonts w:hint="default" w:ascii="Times New Roman" w:eastAsia="宋体"/>
          <w:color w:val="auto"/>
          <w:szCs w:val="24"/>
          <w:lang w:val="en-US" w:eastAsia="zh-CN"/>
        </w:rPr>
      </w:pPr>
      <w:r>
        <w:rPr>
          <w:rFonts w:ascii="Times New Roman"/>
          <w:color w:val="auto"/>
          <w:szCs w:val="24"/>
        </w:rPr>
        <w:t>建设地点：</w:t>
      </w:r>
      <w:r>
        <w:rPr>
          <w:rFonts w:hint="eastAsia" w:ascii="Times New Roman"/>
          <w:color w:val="auto"/>
        </w:rPr>
        <w:t>恩阳区群乐镇坳盘村2组</w:t>
      </w:r>
    </w:p>
    <w:p>
      <w:pPr>
        <w:pStyle w:val="4"/>
        <w:spacing w:line="360" w:lineRule="auto"/>
        <w:ind w:firstLine="508"/>
        <w:jc w:val="both"/>
        <w:rPr>
          <w:rFonts w:ascii="Times New Roman"/>
          <w:color w:val="auto"/>
          <w:szCs w:val="24"/>
        </w:rPr>
      </w:pPr>
      <w:r>
        <w:rPr>
          <w:rFonts w:ascii="Times New Roman"/>
          <w:color w:val="auto"/>
          <w:szCs w:val="24"/>
        </w:rPr>
        <w:t>建设性质：新建</w:t>
      </w:r>
    </w:p>
    <w:p>
      <w:pPr>
        <w:pStyle w:val="4"/>
        <w:spacing w:line="360" w:lineRule="auto"/>
        <w:ind w:firstLine="508"/>
        <w:jc w:val="both"/>
        <w:rPr>
          <w:rFonts w:ascii="Times New Roman"/>
          <w:color w:val="auto"/>
          <w:szCs w:val="24"/>
        </w:rPr>
      </w:pPr>
      <w:r>
        <w:rPr>
          <w:rFonts w:ascii="Times New Roman"/>
          <w:color w:val="auto"/>
          <w:szCs w:val="24"/>
        </w:rPr>
        <w:t>占地面积：</w:t>
      </w:r>
      <w:r>
        <w:rPr>
          <w:rFonts w:hint="eastAsia" w:ascii="Times New Roman"/>
          <w:color w:val="auto"/>
          <w:szCs w:val="24"/>
          <w:lang w:val="en-US" w:eastAsia="zh-CN"/>
        </w:rPr>
        <w:t>164626.67</w:t>
      </w:r>
      <w:r>
        <w:rPr>
          <w:rFonts w:ascii="Times New Roman"/>
          <w:color w:val="auto"/>
          <w:szCs w:val="24"/>
        </w:rPr>
        <w:t>平方米（</w:t>
      </w:r>
      <w:r>
        <w:rPr>
          <w:rFonts w:hint="eastAsia" w:ascii="Times New Roman"/>
          <w:color w:val="auto"/>
          <w:lang w:val="en-US" w:eastAsia="zh-CN"/>
        </w:rPr>
        <w:t>246.94</w:t>
      </w:r>
      <w:r>
        <w:rPr>
          <w:rFonts w:ascii="Times New Roman"/>
          <w:color w:val="auto"/>
          <w:szCs w:val="24"/>
        </w:rPr>
        <w:t>亩）</w:t>
      </w:r>
    </w:p>
    <w:p>
      <w:pPr>
        <w:pStyle w:val="4"/>
        <w:spacing w:line="360" w:lineRule="auto"/>
        <w:ind w:firstLine="508"/>
        <w:jc w:val="both"/>
        <w:rPr>
          <w:rFonts w:ascii="Times New Roman"/>
          <w:color w:val="auto"/>
          <w:szCs w:val="24"/>
        </w:rPr>
      </w:pPr>
      <w:r>
        <w:rPr>
          <w:rFonts w:ascii="Times New Roman"/>
          <w:color w:val="auto"/>
          <w:szCs w:val="24"/>
        </w:rPr>
        <w:t>工程建设总投资：</w:t>
      </w:r>
      <w:r>
        <w:rPr>
          <w:rFonts w:hint="eastAsia" w:ascii="Times New Roman"/>
          <w:color w:val="auto"/>
          <w:szCs w:val="24"/>
          <w:lang w:val="en-US" w:eastAsia="zh-CN"/>
        </w:rPr>
        <w:t>19685.37</w:t>
      </w:r>
      <w:r>
        <w:rPr>
          <w:rFonts w:ascii="Times New Roman"/>
          <w:color w:val="auto"/>
          <w:szCs w:val="24"/>
        </w:rPr>
        <w:t>万元</w:t>
      </w:r>
    </w:p>
    <w:p>
      <w:pPr>
        <w:pStyle w:val="180"/>
        <w:rPr>
          <w:rFonts w:hint="default" w:ascii="Times New Roman" w:hAnsi="Times New Roman" w:cs="Times New Roman" w:eastAsiaTheme="majorEastAsia"/>
          <w:b/>
          <w:bCs w:val="0"/>
          <w:color w:val="auto"/>
          <w:sz w:val="24"/>
          <w:szCs w:val="24"/>
        </w:rPr>
      </w:pPr>
      <w:bookmarkStart w:id="169" w:name="_Toc30630"/>
      <w:r>
        <w:rPr>
          <w:rFonts w:hint="default" w:ascii="Times New Roman" w:hAnsi="Times New Roman" w:cs="Times New Roman" w:eastAsiaTheme="majorEastAsia"/>
          <w:b/>
          <w:bCs w:val="0"/>
          <w:color w:val="auto"/>
          <w:sz w:val="24"/>
          <w:szCs w:val="24"/>
        </w:rPr>
        <w:t>建设规模</w:t>
      </w:r>
      <w:bookmarkEnd w:id="169"/>
    </w:p>
    <w:p>
      <w:pPr>
        <w:pStyle w:val="4"/>
        <w:spacing w:line="360" w:lineRule="auto"/>
        <w:ind w:firstLine="508"/>
        <w:jc w:val="both"/>
        <w:rPr>
          <w:rFonts w:hint="default" w:ascii="Times New Roman" w:eastAsia="宋体"/>
          <w:color w:val="auto"/>
          <w:szCs w:val="24"/>
          <w:lang w:val="en-US" w:eastAsia="zh-CN"/>
        </w:rPr>
      </w:pPr>
      <w:r>
        <w:rPr>
          <w:rFonts w:ascii="Times New Roman"/>
          <w:b/>
          <w:color w:val="auto"/>
          <w:szCs w:val="24"/>
        </w:rPr>
        <w:t>建设规模：</w:t>
      </w:r>
      <w:r>
        <w:rPr>
          <w:rFonts w:hint="eastAsia"/>
          <w:color w:val="auto"/>
          <w:lang w:val="en-US" w:eastAsia="zh-CN"/>
        </w:rPr>
        <w:t>本项目养殖肉牛，</w:t>
      </w:r>
      <w:r>
        <w:rPr>
          <w:rFonts w:hint="eastAsia" w:ascii="Times New Roman"/>
          <w:b w:val="0"/>
          <w:bCs/>
          <w:color w:val="auto"/>
          <w:szCs w:val="24"/>
          <w:lang w:val="en-US" w:eastAsia="zh-CN"/>
        </w:rPr>
        <w:t>外购100kg的小牛</w:t>
      </w:r>
      <w:r>
        <w:rPr>
          <w:rFonts w:hint="eastAsia" w:ascii="Times New Roman"/>
          <w:color w:val="auto"/>
          <w:szCs w:val="24"/>
          <w:lang w:val="en-US" w:eastAsia="zh-CN"/>
        </w:rPr>
        <w:t>5840头，肉牛出栏周期为一年，出栏重量为600kg/头</w:t>
      </w:r>
      <w:r>
        <w:rPr>
          <w:rFonts w:hint="eastAsia"/>
          <w:color w:val="auto"/>
          <w:lang w:val="en-US" w:eastAsia="zh-CN"/>
        </w:rPr>
        <w:t>。</w:t>
      </w:r>
    </w:p>
    <w:p>
      <w:pPr>
        <w:pStyle w:val="4"/>
        <w:spacing w:line="360" w:lineRule="auto"/>
        <w:ind w:firstLine="508"/>
        <w:jc w:val="both"/>
        <w:rPr>
          <w:rFonts w:hint="default" w:ascii="Times New Roman" w:hAnsi="Times New Roman" w:cs="Times New Roman"/>
          <w:color w:val="auto"/>
          <w:szCs w:val="24"/>
          <w:lang w:eastAsia="zh-CN"/>
        </w:rPr>
      </w:pPr>
      <w:r>
        <w:rPr>
          <w:rFonts w:ascii="Times New Roman"/>
          <w:color w:val="auto"/>
          <w:szCs w:val="24"/>
        </w:rPr>
        <w:t>根据</w:t>
      </w:r>
      <w:r>
        <w:rPr>
          <w:rFonts w:hint="eastAsia"/>
          <w:color w:val="auto"/>
          <w:sz w:val="24"/>
        </w:rPr>
        <w:t>《排污许可证申请与核发技</w:t>
      </w:r>
      <w:r>
        <w:rPr>
          <w:rFonts w:hint="default" w:ascii="Times New Roman" w:hAnsi="Times New Roman" w:cs="Times New Roman"/>
          <w:color w:val="auto"/>
          <w:sz w:val="24"/>
        </w:rPr>
        <w:t>术规范 畜禽养殖行业》（HJ1029-2019）</w:t>
      </w:r>
      <w:r>
        <w:rPr>
          <w:rFonts w:hint="default" w:ascii="Times New Roman" w:hAnsi="Times New Roman" w:cs="Times New Roman"/>
          <w:color w:val="auto"/>
          <w:szCs w:val="24"/>
        </w:rPr>
        <w:t>出栏不同生长期肉牛的规模化畜禽养殖场，其标准肉牛养殖量按</w:t>
      </w:r>
      <w:r>
        <w:rPr>
          <w:rFonts w:hint="default" w:ascii="Times New Roman" w:hAnsi="Times New Roman" w:cs="Times New Roman"/>
          <w:color w:val="auto"/>
          <w:szCs w:val="24"/>
          <w:lang w:val="en-US" w:eastAsia="zh-CN"/>
        </w:rPr>
        <w:t>下列</w:t>
      </w:r>
      <w:r>
        <w:rPr>
          <w:rFonts w:hint="default" w:ascii="Times New Roman" w:hAnsi="Times New Roman" w:cs="Times New Roman"/>
          <w:color w:val="auto"/>
          <w:szCs w:val="24"/>
        </w:rPr>
        <w:t>公式折算</w:t>
      </w:r>
      <w:r>
        <w:rPr>
          <w:rFonts w:hint="default" w:ascii="Times New Roman" w:hAnsi="Times New Roman" w:cs="Times New Roman"/>
          <w:color w:val="auto"/>
          <w:szCs w:val="24"/>
          <w:lang w:eastAsia="zh-CN"/>
        </w:rPr>
        <w:t>：</w:t>
      </w:r>
    </w:p>
    <w:p>
      <w:pPr>
        <w:jc w:val="center"/>
        <w:rPr>
          <w:rFonts w:hint="eastAsia"/>
          <w:color w:val="auto"/>
          <w:lang w:eastAsia="zh-CN"/>
        </w:rPr>
      </w:pPr>
      <w:r>
        <w:rPr>
          <w:rFonts w:hint="eastAsia"/>
          <w:color w:val="auto"/>
          <w:position w:val="-12"/>
          <w:lang w:eastAsia="zh-CN"/>
        </w:rPr>
        <w:object>
          <v:shape id="_x0000_i1026" o:spt="75" type="#_x0000_t75" style="height:18pt;width:112pt;" o:ole="t" filled="f" o:preferrelative="t" stroked="f" coordsize="21600,21600">
            <v:path/>
            <v:fill on="f" focussize="0,0"/>
            <v:stroke on="f"/>
            <v:imagedata r:id="rId23" o:title=""/>
            <o:lock v:ext="edit" aspectratio="t"/>
            <w10:wrap type="none"/>
            <w10:anchorlock/>
          </v:shape>
          <o:OLEObject Type="Embed" ProgID="Equation.KSEE3" ShapeID="_x0000_i1026" DrawAspect="Content" ObjectID="_1468075726" r:id="rId22">
            <o:LockedField>false</o:LockedField>
          </o:OLEObject>
        </w:object>
      </w:r>
    </w:p>
    <w:p>
      <w:pPr>
        <w:spacing w:line="360" w:lineRule="auto"/>
        <w:ind w:firstLine="480" w:firstLineChars="200"/>
        <w:jc w:val="left"/>
        <w:rPr>
          <w:rFonts w:hint="default"/>
          <w:color w:val="auto"/>
          <w:sz w:val="24"/>
          <w:lang w:val="en-US" w:eastAsia="zh-CN"/>
        </w:rPr>
      </w:pPr>
      <w:r>
        <w:rPr>
          <w:rFonts w:hint="eastAsia"/>
          <w:color w:val="auto"/>
          <w:sz w:val="24"/>
          <w:lang w:eastAsia="zh-CN"/>
        </w:rPr>
        <w:t>式中：K—排污单位折算标准肉牛养殖量，头；</w:t>
      </w:r>
    </w:p>
    <w:p>
      <w:pPr>
        <w:spacing w:line="360" w:lineRule="auto"/>
        <w:ind w:firstLine="480" w:firstLineChars="200"/>
        <w:jc w:val="left"/>
        <w:rPr>
          <w:rFonts w:hint="default"/>
          <w:color w:val="auto"/>
          <w:sz w:val="24"/>
          <w:lang w:val="en-US" w:eastAsia="zh-CN"/>
        </w:rPr>
      </w:pPr>
      <w:r>
        <w:rPr>
          <w:rFonts w:hint="eastAsia"/>
          <w:color w:val="auto"/>
          <w:sz w:val="24"/>
          <w:lang w:eastAsia="zh-CN"/>
        </w:rPr>
        <w:t>m</w:t>
      </w:r>
      <w:r>
        <w:rPr>
          <w:rFonts w:hint="eastAsia"/>
          <w:color w:val="auto"/>
          <w:sz w:val="24"/>
          <w:vertAlign w:val="subscript"/>
          <w:lang w:eastAsia="zh-CN"/>
        </w:rPr>
        <w:t>出</w:t>
      </w:r>
      <w:r>
        <w:rPr>
          <w:rFonts w:hint="eastAsia"/>
          <w:color w:val="auto"/>
          <w:sz w:val="24"/>
          <w:lang w:eastAsia="zh-CN"/>
        </w:rPr>
        <w:t>—排污单位出栏某生长期肉牛的体重，kg；</w:t>
      </w:r>
      <w:r>
        <w:rPr>
          <w:rFonts w:hint="eastAsia"/>
          <w:color w:val="auto"/>
          <w:sz w:val="24"/>
          <w:lang w:val="en-US" w:eastAsia="zh-CN"/>
        </w:rPr>
        <w:t>本项目出栏牛重量约为600kg。</w:t>
      </w:r>
    </w:p>
    <w:p>
      <w:pPr>
        <w:spacing w:line="360" w:lineRule="auto"/>
        <w:ind w:firstLine="480" w:firstLineChars="200"/>
        <w:jc w:val="left"/>
        <w:rPr>
          <w:rFonts w:hint="eastAsia"/>
          <w:color w:val="auto"/>
          <w:sz w:val="24"/>
          <w:lang w:eastAsia="zh-CN"/>
        </w:rPr>
      </w:pPr>
      <w:r>
        <w:rPr>
          <w:rFonts w:hint="eastAsia"/>
          <w:color w:val="auto"/>
          <w:sz w:val="24"/>
          <w:lang w:eastAsia="zh-CN"/>
        </w:rPr>
        <w:t>m</w:t>
      </w:r>
      <w:r>
        <w:rPr>
          <w:rFonts w:hint="eastAsia"/>
          <w:color w:val="auto"/>
          <w:sz w:val="24"/>
          <w:vertAlign w:val="subscript"/>
          <w:lang w:eastAsia="zh-CN"/>
        </w:rPr>
        <w:t>进</w:t>
      </w:r>
      <w:r>
        <w:rPr>
          <w:rFonts w:hint="eastAsia"/>
          <w:color w:val="auto"/>
          <w:sz w:val="24"/>
          <w:lang w:eastAsia="zh-CN"/>
        </w:rPr>
        <w:t>—排污单位出栏某生长期肉牛进栏时的体重，kg；</w:t>
      </w:r>
      <w:r>
        <w:rPr>
          <w:rFonts w:hint="eastAsia"/>
          <w:color w:val="auto"/>
          <w:sz w:val="24"/>
          <w:lang w:val="en-US" w:eastAsia="zh-CN"/>
        </w:rPr>
        <w:t>本项目小牛重量约为100kg。</w:t>
      </w:r>
    </w:p>
    <w:p>
      <w:pPr>
        <w:spacing w:line="360" w:lineRule="auto"/>
        <w:ind w:firstLine="480" w:firstLineChars="200"/>
        <w:jc w:val="left"/>
        <w:rPr>
          <w:rFonts w:hint="eastAsia"/>
          <w:color w:val="auto"/>
          <w:sz w:val="24"/>
          <w:lang w:eastAsia="zh-CN"/>
        </w:rPr>
      </w:pPr>
      <w:r>
        <w:rPr>
          <w:rFonts w:hint="eastAsia"/>
          <w:color w:val="auto"/>
          <w:sz w:val="24"/>
          <w:lang w:eastAsia="zh-CN"/>
        </w:rPr>
        <w:t>M—正常情况下肉牛出栏时的平均体重，肉牛为600kg；</w:t>
      </w:r>
    </w:p>
    <w:p>
      <w:pPr>
        <w:spacing w:line="360" w:lineRule="auto"/>
        <w:ind w:firstLine="480" w:firstLineChars="200"/>
        <w:jc w:val="left"/>
        <w:rPr>
          <w:rFonts w:hint="eastAsia"/>
          <w:color w:val="auto"/>
          <w:sz w:val="24"/>
          <w:lang w:eastAsia="zh-CN"/>
        </w:rPr>
      </w:pPr>
      <w:r>
        <w:rPr>
          <w:rFonts w:hint="eastAsia"/>
          <w:color w:val="auto"/>
          <w:sz w:val="24"/>
          <w:lang w:eastAsia="zh-CN"/>
        </w:rPr>
        <w:t>L—排污单位某生长期肉牛实际出栏量，头。</w:t>
      </w:r>
    </w:p>
    <w:p>
      <w:pPr>
        <w:spacing w:line="360" w:lineRule="auto"/>
        <w:ind w:firstLine="480" w:firstLineChars="200"/>
        <w:jc w:val="left"/>
        <w:rPr>
          <w:rFonts w:hint="default" w:eastAsia="宋体"/>
          <w:color w:val="auto"/>
          <w:sz w:val="24"/>
          <w:lang w:val="en-US" w:eastAsia="zh-CN"/>
        </w:rPr>
      </w:pPr>
      <w:r>
        <w:rPr>
          <w:rFonts w:hint="eastAsia"/>
          <w:color w:val="auto"/>
          <w:sz w:val="24"/>
          <w:lang w:val="en-US" w:eastAsia="zh-CN"/>
        </w:rPr>
        <w:t>本项目年出栏肉牛K=4867头。</w:t>
      </w:r>
    </w:p>
    <w:p>
      <w:pPr>
        <w:spacing w:line="360" w:lineRule="auto"/>
        <w:ind w:firstLine="480" w:firstLineChars="200"/>
        <w:jc w:val="left"/>
        <w:rPr>
          <w:color w:val="auto"/>
          <w:sz w:val="24"/>
        </w:rPr>
      </w:pPr>
      <w:r>
        <w:rPr>
          <w:rFonts w:hint="eastAsia"/>
          <w:color w:val="auto"/>
          <w:sz w:val="24"/>
        </w:rPr>
        <w:t>根据《排污许可证申请与核发技术规范 畜禽养殖行业》（HJ1029-2019）</w:t>
      </w:r>
      <w:r>
        <w:rPr>
          <w:rFonts w:hint="eastAsia"/>
          <w:color w:val="auto"/>
          <w:sz w:val="24"/>
          <w:lang w:eastAsia="zh-CN"/>
        </w:rPr>
        <w:t>，</w:t>
      </w:r>
      <w:r>
        <w:rPr>
          <w:rFonts w:hint="eastAsia"/>
          <w:color w:val="auto"/>
          <w:sz w:val="24"/>
        </w:rPr>
        <w:t>年出栏1头</w:t>
      </w:r>
      <w:r>
        <w:rPr>
          <w:rFonts w:hint="eastAsia"/>
          <w:color w:val="auto"/>
          <w:sz w:val="24"/>
          <w:lang w:val="en-US" w:eastAsia="zh-CN"/>
        </w:rPr>
        <w:t>肉牛</w:t>
      </w:r>
      <w:r>
        <w:rPr>
          <w:rFonts w:hint="eastAsia"/>
          <w:color w:val="auto"/>
          <w:sz w:val="24"/>
        </w:rPr>
        <w:t>=常年存栏</w:t>
      </w:r>
      <w:r>
        <w:rPr>
          <w:rFonts w:hint="eastAsia"/>
          <w:color w:val="auto"/>
          <w:sz w:val="24"/>
          <w:lang w:val="en-US" w:eastAsia="zh-CN"/>
        </w:rPr>
        <w:t>2</w:t>
      </w:r>
      <w:r>
        <w:rPr>
          <w:rFonts w:hint="eastAsia"/>
          <w:color w:val="auto"/>
          <w:sz w:val="24"/>
        </w:rPr>
        <w:t>头</w:t>
      </w:r>
      <w:r>
        <w:rPr>
          <w:rFonts w:hint="eastAsia"/>
          <w:color w:val="auto"/>
          <w:sz w:val="24"/>
          <w:lang w:val="en-US" w:eastAsia="zh-CN"/>
        </w:rPr>
        <w:t>肉牛，因此本项目存栏肉牛9734头</w:t>
      </w:r>
      <w:r>
        <w:rPr>
          <w:rFonts w:hint="eastAsia"/>
          <w:color w:val="auto"/>
          <w:sz w:val="24"/>
        </w:rPr>
        <w:t>。</w:t>
      </w:r>
    </w:p>
    <w:p>
      <w:pPr>
        <w:spacing w:line="360" w:lineRule="auto"/>
        <w:ind w:firstLine="480" w:firstLineChars="200"/>
        <w:jc w:val="left"/>
        <w:rPr>
          <w:color w:val="auto"/>
          <w:sz w:val="24"/>
        </w:rPr>
      </w:pPr>
      <w:r>
        <w:rPr>
          <w:rFonts w:hint="eastAsia"/>
          <w:color w:val="auto"/>
          <w:sz w:val="24"/>
        </w:rPr>
        <w:t>根据《排污许可证申请与核发技术规范 畜禽养殖行业》（HJ1029-2019）</w:t>
      </w:r>
      <w:r>
        <w:rPr>
          <w:rFonts w:hint="eastAsia"/>
          <w:color w:val="auto"/>
          <w:sz w:val="24"/>
          <w:lang w:eastAsia="zh-CN"/>
        </w:rPr>
        <w:t>，</w:t>
      </w:r>
      <w:r>
        <w:rPr>
          <w:rFonts w:hint="eastAsia"/>
          <w:color w:val="auto"/>
          <w:sz w:val="24"/>
          <w:lang w:val="en-US" w:eastAsia="zh-CN"/>
        </w:rPr>
        <w:t>一头肉牛折算成5头猪，因此本项目折算后相当于年存栏生猪48670头</w:t>
      </w:r>
      <w:r>
        <w:rPr>
          <w:rFonts w:hint="eastAsia"/>
          <w:color w:val="auto"/>
          <w:sz w:val="24"/>
        </w:rPr>
        <w:t>。</w:t>
      </w:r>
    </w:p>
    <w:p>
      <w:pPr>
        <w:pStyle w:val="180"/>
        <w:keepNext/>
        <w:keepLines/>
        <w:pageBreakBefore w:val="0"/>
        <w:widowControl w:val="0"/>
        <w:kinsoku/>
        <w:wordWrap/>
        <w:overflowPunct/>
        <w:topLinePunct w:val="0"/>
        <w:autoSpaceDE/>
        <w:autoSpaceDN/>
        <w:bidi w:val="0"/>
        <w:adjustRightInd w:val="0"/>
        <w:snapToGrid/>
        <w:spacing w:before="0" w:beforeLines="50"/>
        <w:textAlignment w:val="baseline"/>
        <w:rPr>
          <w:rFonts w:hint="default" w:ascii="Times New Roman" w:hAnsi="Times New Roman" w:cs="Times New Roman" w:eastAsiaTheme="majorEastAsia"/>
          <w:b/>
          <w:bCs w:val="0"/>
          <w:color w:val="auto"/>
          <w:sz w:val="24"/>
          <w:szCs w:val="24"/>
        </w:rPr>
      </w:pPr>
      <w:bookmarkStart w:id="170" w:name="_Toc1061"/>
      <w:bookmarkStart w:id="171" w:name="_Toc369359663"/>
      <w:bookmarkStart w:id="172" w:name="_Toc369334616"/>
      <w:bookmarkStart w:id="173" w:name="_Toc369191613"/>
      <w:bookmarkStart w:id="174" w:name="_Toc369334796"/>
      <w:bookmarkStart w:id="175" w:name="_Toc369197778"/>
      <w:r>
        <w:rPr>
          <w:rFonts w:hint="default" w:ascii="Times New Roman" w:hAnsi="Times New Roman" w:cs="Times New Roman" w:eastAsiaTheme="majorEastAsia"/>
          <w:b/>
          <w:bCs w:val="0"/>
          <w:color w:val="auto"/>
          <w:sz w:val="24"/>
          <w:szCs w:val="24"/>
        </w:rPr>
        <w:t>建设内容及项目组成</w:t>
      </w:r>
      <w:bookmarkEnd w:id="170"/>
      <w:bookmarkEnd w:id="171"/>
      <w:bookmarkEnd w:id="172"/>
      <w:bookmarkEnd w:id="173"/>
      <w:bookmarkEnd w:id="174"/>
      <w:bookmarkEnd w:id="175"/>
    </w:p>
    <w:p>
      <w:pPr>
        <w:spacing w:line="360" w:lineRule="auto"/>
        <w:ind w:firstLine="482" w:firstLineChars="200"/>
        <w:rPr>
          <w:rFonts w:hint="eastAsia" w:eastAsia="宋体"/>
          <w:color w:val="auto"/>
          <w:sz w:val="24"/>
          <w:szCs w:val="24"/>
          <w:lang w:eastAsia="zh-CN"/>
        </w:rPr>
      </w:pPr>
      <w:r>
        <w:rPr>
          <w:rFonts w:hint="default" w:ascii="Times New Roman" w:hAnsi="Times New Roman" w:cs="Times New Roman"/>
          <w:b/>
          <w:color w:val="auto"/>
          <w:sz w:val="24"/>
          <w:szCs w:val="24"/>
        </w:rPr>
        <w:t>建设内容：</w:t>
      </w:r>
      <w:r>
        <w:rPr>
          <w:rFonts w:hint="default" w:ascii="Times New Roman" w:hAnsi="Times New Roman" w:eastAsia="宋体" w:cs="Times New Roman"/>
          <w:color w:val="auto"/>
          <w:kern w:val="0"/>
          <w:sz w:val="24"/>
          <w:szCs w:val="24"/>
          <w:lang w:val="en-US" w:eastAsia="zh-CN" w:bidi="ar"/>
        </w:rPr>
        <w:t>占地</w:t>
      </w:r>
      <w:r>
        <w:rPr>
          <w:rFonts w:hint="eastAsia" w:cs="Times New Roman"/>
          <w:color w:val="auto"/>
          <w:kern w:val="0"/>
          <w:sz w:val="24"/>
          <w:szCs w:val="24"/>
          <w:lang w:val="en-US" w:eastAsia="zh-CN" w:bidi="ar"/>
        </w:rPr>
        <w:t>246.94</w:t>
      </w:r>
      <w:r>
        <w:rPr>
          <w:rFonts w:hint="default" w:ascii="Times New Roman" w:hAnsi="Times New Roman" w:eastAsia="宋体" w:cs="Times New Roman"/>
          <w:color w:val="auto"/>
          <w:kern w:val="0"/>
          <w:sz w:val="24"/>
          <w:szCs w:val="24"/>
          <w:lang w:val="en-US" w:eastAsia="zh-CN" w:bidi="ar"/>
        </w:rPr>
        <w:t>亩，总建筑面积约</w:t>
      </w:r>
      <w:r>
        <w:rPr>
          <w:rFonts w:hint="eastAsia" w:cs="Times New Roman"/>
          <w:color w:val="auto"/>
          <w:kern w:val="0"/>
          <w:sz w:val="24"/>
          <w:szCs w:val="24"/>
          <w:lang w:val="en-US" w:eastAsia="zh-CN" w:bidi="ar"/>
        </w:rPr>
        <w:t>119368</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，主要建设养殖牛舍、综合用房、干草棚、青贮池、隔离区等配套建设及其他附属设施工程</w:t>
      </w:r>
      <w:r>
        <w:rPr>
          <w:rFonts w:hint="eastAsia"/>
          <w:color w:val="auto"/>
          <w:sz w:val="24"/>
          <w:szCs w:val="24"/>
          <w:lang w:eastAsia="zh-CN"/>
        </w:rPr>
        <w:t>。</w:t>
      </w:r>
    </w:p>
    <w:p>
      <w:pPr>
        <w:spacing w:line="360" w:lineRule="auto"/>
        <w:ind w:firstLine="480" w:firstLineChars="200"/>
        <w:rPr>
          <w:rFonts w:ascii="Times New Roman"/>
          <w:color w:val="auto"/>
          <w:sz w:val="24"/>
          <w:szCs w:val="32"/>
        </w:rPr>
      </w:pPr>
      <w:r>
        <w:rPr>
          <w:rFonts w:ascii="Times New Roman"/>
          <w:color w:val="auto"/>
          <w:sz w:val="24"/>
          <w:szCs w:val="32"/>
        </w:rPr>
        <w:t>项目组成及主要环境问题见表</w:t>
      </w:r>
      <w:r>
        <w:rPr>
          <w:rFonts w:hint="eastAsia" w:ascii="Times New Roman"/>
          <w:color w:val="auto"/>
          <w:sz w:val="24"/>
          <w:szCs w:val="32"/>
          <w:lang w:val="en-US" w:eastAsia="zh-CN"/>
        </w:rPr>
        <w:t>3</w:t>
      </w:r>
      <w:r>
        <w:rPr>
          <w:rFonts w:hint="eastAsia" w:ascii="Times New Roman"/>
          <w:color w:val="auto"/>
          <w:sz w:val="24"/>
          <w:szCs w:val="32"/>
        </w:rPr>
        <w:t>.1</w:t>
      </w:r>
      <w:r>
        <w:rPr>
          <w:rFonts w:hint="eastAsia" w:ascii="Times New Roman"/>
          <w:color w:val="auto"/>
          <w:sz w:val="24"/>
          <w:szCs w:val="32"/>
          <w:lang w:val="en-US" w:eastAsia="zh-CN"/>
        </w:rPr>
        <w:t>-1</w:t>
      </w:r>
      <w:r>
        <w:rPr>
          <w:rFonts w:ascii="Times New Roman"/>
          <w:color w:val="auto"/>
          <w:sz w:val="24"/>
          <w:szCs w:val="32"/>
        </w:rPr>
        <w:t>。</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3</w:t>
      </w:r>
      <w:r>
        <w:rPr>
          <w:rFonts w:hint="eastAsia" w:eastAsia="黑体"/>
          <w:color w:val="auto"/>
        </w:rPr>
        <w:t>.1</w:t>
      </w:r>
      <w:r>
        <w:rPr>
          <w:rFonts w:eastAsia="黑体"/>
          <w:color w:val="auto"/>
        </w:rPr>
        <w:t>-</w:t>
      </w:r>
      <w:r>
        <w:rPr>
          <w:rFonts w:hint="eastAsia" w:eastAsia="黑体"/>
          <w:color w:val="auto"/>
          <w:lang w:val="en-US" w:eastAsia="zh-CN"/>
        </w:rPr>
        <w:t>1</w:t>
      </w:r>
      <w:r>
        <w:rPr>
          <w:rFonts w:eastAsia="黑体"/>
          <w:color w:val="auto"/>
        </w:rPr>
        <w:t xml:space="preserve">   工程项目组成及主要环境问题</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80"/>
        <w:gridCol w:w="1196"/>
        <w:gridCol w:w="3404"/>
        <w:gridCol w:w="991"/>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5" w:type="dxa"/>
            <w:vMerge w:val="restart"/>
            <w:vAlign w:val="center"/>
          </w:tcPr>
          <w:p>
            <w:pPr>
              <w:keepNext w:val="0"/>
              <w:keepLines w:val="0"/>
              <w:suppressLineNumbers w:val="0"/>
              <w:spacing w:before="0" w:beforeAutospacing="0" w:after="0" w:afterAutospacing="0" w:line="0" w:lineRule="atLeast"/>
              <w:ind w:left="0" w:right="0"/>
              <w:jc w:val="center"/>
              <w:rPr>
                <w:rFonts w:hint="default"/>
                <w:b/>
                <w:color w:val="auto"/>
              </w:rPr>
            </w:pPr>
            <w:r>
              <w:rPr>
                <w:rFonts w:hint="default"/>
                <w:b/>
                <w:color w:val="auto"/>
              </w:rPr>
              <w:t>工程类别</w:t>
            </w:r>
          </w:p>
        </w:tc>
        <w:tc>
          <w:tcPr>
            <w:tcW w:w="1843" w:type="dxa"/>
            <w:gridSpan w:val="3"/>
            <w:vMerge w:val="restart"/>
            <w:vAlign w:val="center"/>
          </w:tcPr>
          <w:p>
            <w:pPr>
              <w:keepNext w:val="0"/>
              <w:keepLines w:val="0"/>
              <w:suppressLineNumbers w:val="0"/>
              <w:spacing w:before="0" w:beforeAutospacing="0" w:after="0" w:afterAutospacing="0" w:line="0" w:lineRule="atLeast"/>
              <w:ind w:left="0" w:right="0"/>
              <w:jc w:val="center"/>
              <w:rPr>
                <w:rFonts w:hint="default"/>
                <w:b/>
                <w:color w:val="auto"/>
              </w:rPr>
            </w:pPr>
            <w:r>
              <w:rPr>
                <w:rFonts w:hint="default"/>
                <w:b/>
                <w:color w:val="auto"/>
              </w:rPr>
              <w:t>项目组成</w:t>
            </w:r>
          </w:p>
        </w:tc>
        <w:tc>
          <w:tcPr>
            <w:tcW w:w="3404" w:type="dxa"/>
            <w:vMerge w:val="restart"/>
            <w:vAlign w:val="center"/>
          </w:tcPr>
          <w:p>
            <w:pPr>
              <w:keepNext w:val="0"/>
              <w:keepLines w:val="0"/>
              <w:suppressLineNumbers w:val="0"/>
              <w:spacing w:before="0" w:beforeAutospacing="0" w:after="0" w:afterAutospacing="0" w:line="0" w:lineRule="atLeast"/>
              <w:ind w:left="0" w:right="0"/>
              <w:jc w:val="center"/>
              <w:rPr>
                <w:rFonts w:hint="default"/>
                <w:b/>
                <w:color w:val="auto"/>
              </w:rPr>
            </w:pPr>
            <w:r>
              <w:rPr>
                <w:rFonts w:hint="default"/>
                <w:b/>
                <w:color w:val="auto"/>
              </w:rPr>
              <w:t>建设内容</w:t>
            </w:r>
          </w:p>
        </w:tc>
        <w:tc>
          <w:tcPr>
            <w:tcW w:w="3026" w:type="dxa"/>
            <w:gridSpan w:val="2"/>
            <w:vAlign w:val="center"/>
          </w:tcPr>
          <w:p>
            <w:pPr>
              <w:keepNext w:val="0"/>
              <w:keepLines w:val="0"/>
              <w:suppressLineNumbers w:val="0"/>
              <w:spacing w:before="0" w:beforeAutospacing="0" w:after="0" w:afterAutospacing="0" w:line="0" w:lineRule="atLeast"/>
              <w:ind w:left="-105" w:leftChars="-50" w:right="-105" w:rightChars="-50"/>
              <w:jc w:val="center"/>
              <w:rPr>
                <w:rFonts w:hint="default"/>
                <w:b/>
                <w:color w:val="auto"/>
              </w:rPr>
            </w:pPr>
            <w:r>
              <w:rPr>
                <w:rFonts w:hint="default"/>
                <w:b/>
                <w:color w:val="auto"/>
              </w:rPr>
              <w:t>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b/>
                <w:color w:val="auto"/>
              </w:rPr>
            </w:pPr>
          </w:p>
        </w:tc>
        <w:tc>
          <w:tcPr>
            <w:tcW w:w="1843" w:type="dxa"/>
            <w:gridSpan w:val="3"/>
            <w:vMerge w:val="continue"/>
            <w:vAlign w:val="center"/>
          </w:tcPr>
          <w:p>
            <w:pPr>
              <w:keepNext w:val="0"/>
              <w:keepLines w:val="0"/>
              <w:suppressLineNumbers w:val="0"/>
              <w:spacing w:before="0" w:beforeAutospacing="0" w:after="0" w:afterAutospacing="0" w:line="240" w:lineRule="atLeast"/>
              <w:ind w:left="0" w:right="0"/>
              <w:jc w:val="center"/>
              <w:rPr>
                <w:rFonts w:hint="default"/>
                <w:b/>
                <w:color w:val="auto"/>
              </w:rPr>
            </w:pPr>
          </w:p>
        </w:tc>
        <w:tc>
          <w:tcPr>
            <w:tcW w:w="3404" w:type="dxa"/>
            <w:vMerge w:val="continue"/>
            <w:vAlign w:val="center"/>
          </w:tcPr>
          <w:p>
            <w:pPr>
              <w:keepNext w:val="0"/>
              <w:keepLines w:val="0"/>
              <w:suppressLineNumbers w:val="0"/>
              <w:spacing w:before="0" w:beforeAutospacing="0" w:after="0" w:afterAutospacing="0" w:line="240" w:lineRule="atLeast"/>
              <w:ind w:left="0" w:right="0"/>
              <w:jc w:val="center"/>
              <w:rPr>
                <w:rFonts w:hint="default"/>
                <w:b/>
                <w:color w:val="auto"/>
              </w:rPr>
            </w:pPr>
          </w:p>
        </w:tc>
        <w:tc>
          <w:tcPr>
            <w:tcW w:w="991" w:type="dxa"/>
            <w:vAlign w:val="center"/>
          </w:tcPr>
          <w:p>
            <w:pPr>
              <w:keepNext w:val="0"/>
              <w:keepLines w:val="0"/>
              <w:suppressLineNumbers w:val="0"/>
              <w:spacing w:before="0" w:beforeAutospacing="0" w:after="0" w:afterAutospacing="0" w:line="240" w:lineRule="atLeast"/>
              <w:ind w:left="-105" w:leftChars="-50" w:right="-105" w:rightChars="-50"/>
              <w:jc w:val="center"/>
              <w:rPr>
                <w:rFonts w:hint="default"/>
                <w:b/>
                <w:color w:val="auto"/>
              </w:rPr>
            </w:pPr>
            <w:r>
              <w:rPr>
                <w:rFonts w:hint="default"/>
                <w:b/>
                <w:color w:val="auto"/>
              </w:rPr>
              <w:t>施工期</w:t>
            </w:r>
          </w:p>
        </w:tc>
        <w:tc>
          <w:tcPr>
            <w:tcW w:w="2035" w:type="dxa"/>
            <w:vAlign w:val="center"/>
          </w:tcPr>
          <w:p>
            <w:pPr>
              <w:keepNext w:val="0"/>
              <w:keepLines w:val="0"/>
              <w:suppressLineNumbers w:val="0"/>
              <w:spacing w:before="0" w:beforeAutospacing="0" w:after="0" w:afterAutospacing="0" w:line="240" w:lineRule="atLeast"/>
              <w:ind w:left="-105" w:leftChars="-50" w:right="-105" w:rightChars="-50"/>
              <w:jc w:val="center"/>
              <w:rPr>
                <w:rFonts w:hint="default"/>
                <w:b/>
                <w:color w:val="auto"/>
              </w:rPr>
            </w:pPr>
            <w:r>
              <w:rPr>
                <w:rFonts w:hint="default"/>
                <w:b/>
                <w:color w:val="auto"/>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atLeast"/>
        </w:trPr>
        <w:tc>
          <w:tcPr>
            <w:tcW w:w="675"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主体工程</w:t>
            </w:r>
          </w:p>
        </w:tc>
        <w:tc>
          <w:tcPr>
            <w:tcW w:w="1843" w:type="dxa"/>
            <w:gridSpan w:val="3"/>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olor w:val="auto"/>
              </w:rPr>
            </w:pPr>
            <w:r>
              <w:rPr>
                <w:rFonts w:hint="eastAsia"/>
                <w:color w:val="auto"/>
                <w:szCs w:val="21"/>
                <w:lang w:val="en-US" w:eastAsia="zh-CN"/>
              </w:rPr>
              <w:t>养殖牛舍</w:t>
            </w:r>
          </w:p>
        </w:tc>
        <w:tc>
          <w:tcPr>
            <w:tcW w:w="3404" w:type="dxa"/>
            <w:vMerge w:val="restart"/>
            <w:vAlign w:val="center"/>
          </w:tcPr>
          <w:p>
            <w:pPr>
              <w:keepNext w:val="0"/>
              <w:keepLines w:val="0"/>
              <w:suppressLineNumbers w:val="0"/>
              <w:spacing w:before="0" w:beforeAutospacing="0" w:after="0" w:afterAutospacing="0" w:line="240" w:lineRule="atLeast"/>
              <w:ind w:left="0" w:right="0"/>
              <w:jc w:val="center"/>
              <w:rPr>
                <w:rFonts w:hint="default" w:eastAsia="宋体"/>
                <w:color w:val="auto"/>
                <w:kern w:val="0"/>
                <w:szCs w:val="21"/>
                <w:lang w:val="en-US" w:eastAsia="zh-CN"/>
              </w:rPr>
            </w:pPr>
            <w:r>
              <w:rPr>
                <w:rFonts w:hint="eastAsia"/>
                <w:color w:val="auto"/>
                <w:kern w:val="0"/>
                <w:szCs w:val="21"/>
                <w:lang w:val="en-US" w:eastAsia="zh-CN"/>
              </w:rPr>
              <w:t>位于厂区北侧、西侧及南侧，占地面积约103201m</w:t>
            </w:r>
            <w:r>
              <w:rPr>
                <w:rFonts w:hint="eastAsia"/>
                <w:color w:val="auto"/>
                <w:kern w:val="0"/>
                <w:szCs w:val="21"/>
                <w:vertAlign w:val="superscript"/>
                <w:lang w:val="en-US" w:eastAsia="zh-CN"/>
              </w:rPr>
              <w:t>2</w:t>
            </w:r>
            <w:r>
              <w:rPr>
                <w:rFonts w:hint="eastAsia"/>
                <w:color w:val="auto"/>
                <w:kern w:val="0"/>
                <w:szCs w:val="21"/>
                <w:lang w:val="en-US" w:eastAsia="zh-CN"/>
              </w:rPr>
              <w:t>，设置卧栏及颈枷设施、喷淋系统、降温风扇等</w:t>
            </w:r>
          </w:p>
        </w:tc>
        <w:tc>
          <w:tcPr>
            <w:tcW w:w="991"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施工废水、扬尘、噪声、渣土、生活垃圾、生活污水等、水土流失等</w:t>
            </w:r>
          </w:p>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105" w:leftChars="-50" w:right="-105" w:rightChars="-50"/>
              <w:jc w:val="center"/>
              <w:rPr>
                <w:rFonts w:hint="default"/>
                <w:color w:val="auto"/>
              </w:rPr>
            </w:pPr>
            <w:r>
              <w:rPr>
                <w:rFonts w:hint="default"/>
                <w:color w:val="auto"/>
                <w:kern w:val="0"/>
                <w:szCs w:val="21"/>
              </w:rPr>
              <w:t>冲洗水，</w:t>
            </w:r>
            <w:r>
              <w:rPr>
                <w:rFonts w:hint="eastAsia"/>
                <w:color w:val="auto"/>
                <w:kern w:val="0"/>
                <w:szCs w:val="21"/>
                <w:lang w:eastAsia="zh-CN"/>
              </w:rPr>
              <w:t>牛</w:t>
            </w:r>
            <w:r>
              <w:rPr>
                <w:rFonts w:hint="default"/>
                <w:color w:val="auto"/>
                <w:kern w:val="0"/>
                <w:szCs w:val="21"/>
              </w:rPr>
              <w:t>粪、</w:t>
            </w:r>
            <w:r>
              <w:rPr>
                <w:rFonts w:hint="eastAsia"/>
                <w:color w:val="auto"/>
                <w:kern w:val="0"/>
                <w:szCs w:val="21"/>
                <w:lang w:eastAsia="zh-CN"/>
              </w:rPr>
              <w:t>牛</w:t>
            </w:r>
            <w:r>
              <w:rPr>
                <w:rFonts w:hint="default"/>
                <w:color w:val="auto"/>
                <w:kern w:val="0"/>
                <w:szCs w:val="21"/>
              </w:rPr>
              <w:t>尿、异味，噪声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lang w:val="en-US" w:eastAsia="zh-CN"/>
              </w:rPr>
            </w:pPr>
          </w:p>
        </w:tc>
        <w:tc>
          <w:tcPr>
            <w:tcW w:w="3404" w:type="dxa"/>
            <w:vMerge w:val="continue"/>
            <w:vAlign w:val="center"/>
          </w:tcPr>
          <w:p>
            <w:pPr>
              <w:keepNext w:val="0"/>
              <w:keepLines w:val="0"/>
              <w:suppressLineNumbers w:val="0"/>
              <w:spacing w:before="0" w:beforeAutospacing="0" w:after="0" w:afterAutospacing="0" w:line="240" w:lineRule="atLeast"/>
              <w:ind w:left="0" w:right="0"/>
              <w:jc w:val="center"/>
              <w:rPr>
                <w:rFonts w:hint="default" w:eastAsia="宋体"/>
                <w:color w:val="auto"/>
                <w:kern w:val="0"/>
                <w:szCs w:val="21"/>
                <w:lang w:val="en-US" w:eastAsia="zh-CN"/>
              </w:rPr>
            </w:pP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105" w:leftChars="-50" w:right="-105" w:rightChars="-50"/>
              <w:jc w:val="center"/>
              <w:rPr>
                <w:rFonts w:hint="default"/>
                <w:color w:val="auto"/>
                <w:kern w:val="0"/>
                <w:szCs w:val="21"/>
              </w:rPr>
            </w:pPr>
            <w:r>
              <w:rPr>
                <w:rFonts w:hint="default"/>
                <w:color w:val="auto"/>
                <w:kern w:val="0"/>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lang w:val="en-US" w:eastAsia="zh-CN"/>
              </w:rPr>
            </w:pPr>
            <w:r>
              <w:rPr>
                <w:rFonts w:hint="eastAsia"/>
                <w:color w:val="auto"/>
                <w:szCs w:val="21"/>
                <w:lang w:val="en-US" w:eastAsia="zh-CN"/>
              </w:rPr>
              <w:t>TMR管理中心</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kern w:val="0"/>
                <w:szCs w:val="21"/>
                <w:lang w:val="en-US"/>
              </w:rPr>
            </w:pPr>
            <w:r>
              <w:rPr>
                <w:rFonts w:hint="eastAsia"/>
                <w:color w:val="auto"/>
                <w:kern w:val="0"/>
                <w:szCs w:val="21"/>
                <w:lang w:val="en-US" w:eastAsia="zh-CN"/>
              </w:rPr>
              <w:t>一间位于厂区东北侧，占地面积约2077m</w:t>
            </w:r>
            <w:r>
              <w:rPr>
                <w:rFonts w:hint="eastAsia"/>
                <w:color w:val="auto"/>
                <w:kern w:val="0"/>
                <w:szCs w:val="21"/>
                <w:vertAlign w:val="superscript"/>
                <w:lang w:val="en-US" w:eastAsia="zh-CN"/>
              </w:rPr>
              <w:t>2</w:t>
            </w:r>
            <w:r>
              <w:rPr>
                <w:rFonts w:hint="eastAsia"/>
                <w:color w:val="auto"/>
                <w:kern w:val="0"/>
                <w:szCs w:val="21"/>
                <w:lang w:val="en-US" w:eastAsia="zh-CN"/>
              </w:rPr>
              <w:t>，设置有两套饲料机组等</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105" w:leftChars="-50" w:right="-105" w:rightChars="-50"/>
              <w:jc w:val="center"/>
              <w:rPr>
                <w:rFonts w:hint="default" w:eastAsia="宋体"/>
                <w:color w:val="auto"/>
                <w:kern w:val="0"/>
                <w:szCs w:val="21"/>
                <w:lang w:val="en-US" w:eastAsia="zh-CN"/>
              </w:rPr>
            </w:pPr>
            <w:r>
              <w:rPr>
                <w:rFonts w:hint="default"/>
                <w:color w:val="auto"/>
                <w:kern w:val="0"/>
                <w:szCs w:val="21"/>
              </w:rPr>
              <w:t>噪声</w:t>
            </w:r>
            <w:r>
              <w:rPr>
                <w:rFonts w:hint="eastAsia"/>
                <w:color w:val="auto"/>
                <w:kern w:val="0"/>
                <w:szCs w:val="21"/>
                <w:lang w:eastAsia="zh-CN"/>
              </w:rPr>
              <w:t>、</w:t>
            </w:r>
            <w:r>
              <w:rPr>
                <w:rFonts w:hint="eastAsia"/>
                <w:color w:val="auto"/>
                <w:kern w:val="0"/>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color w:val="auto"/>
              </w:rPr>
            </w:pPr>
            <w:r>
              <w:rPr>
                <w:rFonts w:hint="default"/>
                <w:color w:val="auto"/>
                <w:szCs w:val="21"/>
              </w:rPr>
              <w:t>青贮窖</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kern w:val="0"/>
                <w:szCs w:val="21"/>
                <w:lang w:val="en-US"/>
              </w:rPr>
            </w:pPr>
            <w:r>
              <w:rPr>
                <w:rFonts w:hint="eastAsia"/>
                <w:color w:val="auto"/>
                <w:kern w:val="0"/>
                <w:szCs w:val="21"/>
                <w:lang w:val="en-US" w:eastAsia="zh-CN"/>
              </w:rPr>
              <w:t>2间位于厂区东侧，占地面积分别为4172m</w:t>
            </w:r>
            <w:r>
              <w:rPr>
                <w:rFonts w:hint="eastAsia"/>
                <w:color w:val="auto"/>
                <w:kern w:val="0"/>
                <w:szCs w:val="21"/>
                <w:vertAlign w:val="superscript"/>
                <w:lang w:val="en-US" w:eastAsia="zh-CN"/>
              </w:rPr>
              <w:t>2</w:t>
            </w:r>
            <w:r>
              <w:rPr>
                <w:rFonts w:hint="eastAsia"/>
                <w:color w:val="auto"/>
                <w:kern w:val="0"/>
                <w:szCs w:val="21"/>
                <w:lang w:val="en-US" w:eastAsia="zh-CN"/>
              </w:rPr>
              <w:t>，4442m</w:t>
            </w:r>
            <w:r>
              <w:rPr>
                <w:rFonts w:hint="eastAsia"/>
                <w:color w:val="auto"/>
                <w:kern w:val="0"/>
                <w:szCs w:val="21"/>
                <w:vertAlign w:val="superscript"/>
                <w:lang w:val="en-US" w:eastAsia="zh-CN"/>
              </w:rPr>
              <w:t>2</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105" w:leftChars="-50" w:right="-105" w:rightChars="-50"/>
              <w:jc w:val="center"/>
              <w:rPr>
                <w:rFonts w:hint="eastAsia" w:eastAsia="宋体"/>
                <w:color w:val="auto"/>
                <w:kern w:val="0"/>
                <w:szCs w:val="21"/>
                <w:lang w:val="en-US" w:eastAsia="zh-CN"/>
              </w:rPr>
            </w:pPr>
            <w:r>
              <w:rPr>
                <w:rFonts w:hint="default"/>
                <w:color w:val="auto"/>
                <w:kern w:val="0"/>
                <w:szCs w:val="21"/>
              </w:rPr>
              <w:t>噪声</w:t>
            </w:r>
            <w:r>
              <w:rPr>
                <w:rFonts w:hint="eastAsia"/>
                <w:color w:val="auto"/>
                <w:kern w:val="0"/>
                <w:szCs w:val="21"/>
                <w:lang w:eastAsia="zh-CN"/>
              </w:rPr>
              <w:t>、</w:t>
            </w:r>
            <w:r>
              <w:rPr>
                <w:rFonts w:hint="eastAsia"/>
                <w:color w:val="auto"/>
                <w:kern w:val="0"/>
                <w:szCs w:val="21"/>
                <w:lang w:val="en-US" w:eastAsia="zh-CN"/>
              </w:rPr>
              <w:t>青储窖渗滤液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隔离区</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kern w:val="0"/>
                <w:szCs w:val="21"/>
                <w:lang w:val="en-US" w:eastAsia="zh-CN"/>
              </w:rPr>
            </w:pPr>
            <w:r>
              <w:rPr>
                <w:rFonts w:hint="eastAsia"/>
                <w:color w:val="auto"/>
                <w:kern w:val="0"/>
                <w:szCs w:val="21"/>
                <w:lang w:val="en-US" w:eastAsia="zh-CN"/>
              </w:rPr>
              <w:t>位于厂区北侧，占地面积约2544m</w:t>
            </w:r>
            <w:r>
              <w:rPr>
                <w:rFonts w:hint="eastAsia"/>
                <w:color w:val="auto"/>
                <w:kern w:val="0"/>
                <w:szCs w:val="21"/>
                <w:vertAlign w:val="superscript"/>
                <w:lang w:val="en-US" w:eastAsia="zh-CN"/>
              </w:rPr>
              <w:t>2</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105" w:leftChars="-50" w:right="-105" w:rightChars="-50"/>
              <w:jc w:val="center"/>
              <w:rPr>
                <w:rFonts w:hint="eastAsia" w:eastAsia="宋体"/>
                <w:color w:val="auto"/>
                <w:kern w:val="0"/>
                <w:szCs w:val="21"/>
                <w:lang w:val="en-US" w:eastAsia="zh-CN"/>
              </w:rPr>
            </w:pPr>
            <w:r>
              <w:rPr>
                <w:rFonts w:hint="eastAsia"/>
                <w:color w:val="auto"/>
                <w:kern w:val="0"/>
                <w:szCs w:val="21"/>
                <w:lang w:eastAsia="zh-CN"/>
              </w:rPr>
              <w:t>牛</w:t>
            </w:r>
            <w:r>
              <w:rPr>
                <w:rFonts w:hint="default"/>
                <w:color w:val="auto"/>
                <w:kern w:val="0"/>
                <w:szCs w:val="21"/>
              </w:rPr>
              <w:t>粪、</w:t>
            </w:r>
            <w:r>
              <w:rPr>
                <w:rFonts w:hint="eastAsia"/>
                <w:color w:val="auto"/>
                <w:kern w:val="0"/>
                <w:szCs w:val="21"/>
                <w:lang w:eastAsia="zh-CN"/>
              </w:rPr>
              <w:t>牛</w:t>
            </w:r>
            <w:r>
              <w:rPr>
                <w:rFonts w:hint="default"/>
                <w:color w:val="auto"/>
                <w:kern w:val="0"/>
                <w:szCs w:val="21"/>
              </w:rPr>
              <w:t>尿、异味，噪声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5"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公用</w:t>
            </w:r>
          </w:p>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工程</w:t>
            </w:r>
          </w:p>
        </w:tc>
        <w:tc>
          <w:tcPr>
            <w:tcW w:w="1843" w:type="dxa"/>
            <w:gridSpan w:val="3"/>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供水系统</w:t>
            </w:r>
          </w:p>
        </w:tc>
        <w:tc>
          <w:tcPr>
            <w:tcW w:w="3404"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kern w:val="0"/>
              </w:rPr>
              <w:t>项目用水</w:t>
            </w:r>
            <w:r>
              <w:rPr>
                <w:rFonts w:hint="eastAsia"/>
                <w:color w:val="auto"/>
                <w:kern w:val="0"/>
                <w:lang w:val="en-US" w:eastAsia="zh-CN"/>
              </w:rPr>
              <w:t>通过自来水管网供水</w:t>
            </w:r>
            <w:r>
              <w:rPr>
                <w:rFonts w:hint="default"/>
                <w:color w:val="auto"/>
              </w:rPr>
              <w:t>。</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Align w:val="center"/>
          </w:tcPr>
          <w:p>
            <w:pPr>
              <w:keepNext w:val="0"/>
              <w:keepLines w:val="0"/>
              <w:suppressLineNumbers w:val="0"/>
              <w:spacing w:before="0" w:beforeAutospacing="0" w:after="0" w:afterAutospacing="0" w:line="240" w:lineRule="atLeast"/>
              <w:ind w:left="0" w:right="0"/>
              <w:jc w:val="center"/>
              <w:rPr>
                <w:rFonts w:hint="eastAsia"/>
                <w:color w:val="auto"/>
              </w:rPr>
            </w:pPr>
            <w:r>
              <w:rPr>
                <w:rFonts w:hint="eastAsia"/>
                <w:color w:val="auto"/>
              </w:rPr>
              <w:t>排水系统</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eastAsia"/>
                <w:color w:val="auto"/>
                <w:lang w:val="en-US" w:eastAsia="zh-CN"/>
              </w:rPr>
            </w:pPr>
            <w:r>
              <w:rPr>
                <w:rFonts w:hint="eastAsia"/>
                <w:color w:val="auto"/>
              </w:rPr>
              <w:t>厂内</w:t>
            </w:r>
            <w:r>
              <w:rPr>
                <w:rFonts w:hint="eastAsia"/>
                <w:color w:val="auto"/>
                <w:lang w:eastAsia="zh-CN"/>
              </w:rPr>
              <w:t>采用</w:t>
            </w:r>
            <w:r>
              <w:rPr>
                <w:rFonts w:hint="eastAsia"/>
                <w:color w:val="auto"/>
              </w:rPr>
              <w:t>雨污分流</w:t>
            </w:r>
            <w:r>
              <w:rPr>
                <w:rFonts w:hint="eastAsia"/>
                <w:color w:val="auto"/>
                <w:lang w:eastAsia="zh-CN"/>
              </w:rPr>
              <w:t>制排水，雨水经养殖场内雨水沟渠汇集排出场区。</w:t>
            </w:r>
            <w:r>
              <w:rPr>
                <w:rFonts w:hint="eastAsia"/>
                <w:color w:val="auto"/>
              </w:rPr>
              <w:t>本项目所产生的废水经发酵床处理后，不外排</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供电</w:t>
            </w:r>
          </w:p>
        </w:tc>
        <w:tc>
          <w:tcPr>
            <w:tcW w:w="3404" w:type="dxa"/>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rPr>
              <w:t>配电房1间，</w:t>
            </w:r>
            <w:r>
              <w:rPr>
                <w:rFonts w:hint="default"/>
                <w:color w:val="auto"/>
                <w:kern w:val="0"/>
              </w:rPr>
              <w:t>配置SC9－1600kVA、10/0.4kV干式变压器1台。项目</w:t>
            </w:r>
            <w:r>
              <w:rPr>
                <w:rFonts w:hint="eastAsia"/>
                <w:color w:val="auto"/>
                <w:kern w:val="0"/>
                <w:lang w:val="en-US" w:eastAsia="zh-CN"/>
              </w:rPr>
              <w:t>设置</w:t>
            </w:r>
            <w:r>
              <w:rPr>
                <w:rFonts w:hint="default"/>
                <w:color w:val="auto"/>
                <w:kern w:val="0"/>
              </w:rPr>
              <w:t>发电机1台</w:t>
            </w:r>
            <w:r>
              <w:rPr>
                <w:rFonts w:hint="eastAsia"/>
                <w:color w:val="auto"/>
                <w:kern w:val="0"/>
                <w:lang w:eastAsia="zh-CN"/>
              </w:rPr>
              <w:t>。</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lang w:eastAsia="zh-CN"/>
              </w:rPr>
              <w:t>暖通</w:t>
            </w:r>
          </w:p>
        </w:tc>
        <w:tc>
          <w:tcPr>
            <w:tcW w:w="3404" w:type="dxa"/>
            <w:vAlign w:val="center"/>
          </w:tcPr>
          <w:p>
            <w:pPr>
              <w:keepNext w:val="0"/>
              <w:keepLines w:val="0"/>
              <w:suppressLineNumbers w:val="0"/>
              <w:spacing w:before="0" w:beforeAutospacing="0" w:after="0" w:afterAutospacing="0"/>
              <w:ind w:left="0" w:right="0"/>
              <w:jc w:val="center"/>
              <w:rPr>
                <w:rFonts w:hint="eastAsia"/>
                <w:color w:val="auto"/>
                <w:lang w:eastAsia="zh-CN"/>
              </w:rPr>
            </w:pPr>
            <w:r>
              <w:rPr>
                <w:rFonts w:hint="eastAsia" w:eastAsia="宋体"/>
                <w:color w:val="auto"/>
                <w:lang w:eastAsia="zh-CN"/>
              </w:rPr>
              <w:t>保暖：冬季</w:t>
            </w:r>
            <w:r>
              <w:rPr>
                <w:rFonts w:hint="eastAsia"/>
                <w:color w:val="auto"/>
                <w:lang w:val="en-US" w:eastAsia="zh-CN"/>
              </w:rPr>
              <w:t>牛</w:t>
            </w:r>
            <w:r>
              <w:rPr>
                <w:rFonts w:hint="eastAsia" w:eastAsia="宋体"/>
                <w:color w:val="auto"/>
                <w:lang w:eastAsia="zh-CN"/>
              </w:rPr>
              <w:t>舍供热采用辐射式电采暖设备供热。</w:t>
            </w:r>
          </w:p>
          <w:p>
            <w:pPr>
              <w:pStyle w:val="151"/>
              <w:keepNext w:val="0"/>
              <w:keepLines w:val="0"/>
              <w:suppressLineNumbers w:val="0"/>
              <w:spacing w:before="0" w:beforeAutospacing="0" w:after="0" w:afterAutospacing="0"/>
              <w:ind w:left="0" w:right="0"/>
              <w:jc w:val="center"/>
              <w:rPr>
                <w:rFonts w:hint="eastAsia" w:ascii="Courier New" w:hAnsi="Courier New" w:eastAsia="仿宋_GB2312" w:cs="Courier New"/>
                <w:color w:val="auto"/>
                <w:sz w:val="24"/>
                <w:szCs w:val="24"/>
                <w:lang w:val="en-US" w:eastAsia="zh-CN" w:bidi="ar-SA"/>
              </w:rPr>
            </w:pPr>
            <w:r>
              <w:rPr>
                <w:rFonts w:hint="eastAsia" w:ascii="Times New Roman" w:hAnsi="Times New Roman" w:eastAsia="宋体" w:cs="Times New Roman"/>
                <w:color w:val="auto"/>
                <w:kern w:val="2"/>
                <w:sz w:val="21"/>
                <w:lang w:eastAsia="zh-CN"/>
              </w:rPr>
              <w:t>降温：夏季</w:t>
            </w:r>
            <w:r>
              <w:rPr>
                <w:rFonts w:hint="eastAsia"/>
                <w:color w:val="auto"/>
                <w:lang w:val="en-US" w:eastAsia="zh-CN"/>
              </w:rPr>
              <w:t>牛</w:t>
            </w:r>
            <w:r>
              <w:rPr>
                <w:rFonts w:hint="eastAsia" w:ascii="Times New Roman" w:hAnsi="Times New Roman" w:eastAsia="宋体" w:cs="Times New Roman"/>
                <w:color w:val="auto"/>
                <w:kern w:val="2"/>
                <w:sz w:val="21"/>
                <w:lang w:eastAsia="zh-CN"/>
              </w:rPr>
              <w:t>舍采用风机配套水帘降温。</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eastAsia" w:eastAsia="宋体"/>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trPr>
        <w:tc>
          <w:tcPr>
            <w:tcW w:w="675"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办公生活设施</w:t>
            </w:r>
          </w:p>
        </w:tc>
        <w:tc>
          <w:tcPr>
            <w:tcW w:w="1843" w:type="dxa"/>
            <w:gridSpan w:val="3"/>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综合楼</w:t>
            </w:r>
          </w:p>
        </w:tc>
        <w:tc>
          <w:tcPr>
            <w:tcW w:w="3404"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1栋，</w:t>
            </w:r>
            <w:r>
              <w:rPr>
                <w:rFonts w:hint="eastAsia" w:eastAsia="宋体"/>
                <w:color w:val="auto"/>
                <w:lang w:eastAsia="zh-CN"/>
              </w:rPr>
              <w:t>用于员工</w:t>
            </w:r>
            <w:r>
              <w:rPr>
                <w:rFonts w:hint="default"/>
                <w:color w:val="auto"/>
              </w:rPr>
              <w:t>办公</w:t>
            </w:r>
            <w:r>
              <w:rPr>
                <w:rFonts w:hint="eastAsia" w:eastAsia="宋体"/>
                <w:color w:val="auto"/>
                <w:lang w:eastAsia="zh-CN"/>
              </w:rPr>
              <w:t>及</w:t>
            </w:r>
            <w:r>
              <w:rPr>
                <w:rFonts w:hint="default"/>
                <w:color w:val="auto"/>
              </w:rPr>
              <w:t>倒班休息。</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Merge w:val="restart"/>
            <w:vAlign w:val="center"/>
          </w:tcPr>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r>
              <w:rPr>
                <w:rFonts w:hint="default"/>
                <w:color w:val="auto"/>
              </w:rPr>
              <w:t>生活污水、生活垃圾</w:t>
            </w:r>
            <w:r>
              <w:rPr>
                <w:rFonts w:hint="eastAsia"/>
                <w:color w:val="auto"/>
                <w:lang w:eastAsia="zh-CN"/>
              </w:rPr>
              <w:t>、</w:t>
            </w:r>
            <w:r>
              <w:rPr>
                <w:rFonts w:hint="eastAsia"/>
                <w:color w:val="auto"/>
                <w:lang w:val="en-US" w:eastAsia="zh-CN"/>
              </w:rPr>
              <w:t>食堂废水、食堂隔油池油污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Align w:val="center"/>
          </w:tcPr>
          <w:p>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食堂</w:t>
            </w:r>
          </w:p>
        </w:tc>
        <w:tc>
          <w:tcPr>
            <w:tcW w:w="3404" w:type="dxa"/>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一间，占地面积20m</w:t>
            </w:r>
            <w:r>
              <w:rPr>
                <w:rFonts w:hint="eastAsia"/>
                <w:color w:val="auto"/>
                <w:vertAlign w:val="superscript"/>
                <w:lang w:val="en-US" w:eastAsia="zh-CN"/>
              </w:rPr>
              <w:t>2</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Align w:val="center"/>
          </w:tcPr>
          <w:p>
            <w:pPr>
              <w:keepNext w:val="0"/>
              <w:keepLines w:val="0"/>
              <w:suppressLineNumbers w:val="0"/>
              <w:spacing w:before="0" w:beforeAutospacing="0" w:after="0" w:afterAutospacing="0" w:line="240" w:lineRule="atLeast"/>
              <w:ind w:left="0" w:right="0" w:firstLine="420" w:firstLineChars="200"/>
              <w:jc w:val="both"/>
              <w:rPr>
                <w:rFonts w:hint="default"/>
                <w:color w:val="auto"/>
              </w:rPr>
            </w:pPr>
            <w:r>
              <w:rPr>
                <w:rFonts w:hint="default"/>
                <w:color w:val="auto"/>
              </w:rPr>
              <w:t>门卫室</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门卫值班</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675"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仓储工程</w:t>
            </w:r>
          </w:p>
        </w:tc>
        <w:tc>
          <w:tcPr>
            <w:tcW w:w="1843" w:type="dxa"/>
            <w:gridSpan w:val="3"/>
            <w:vMerge w:val="restart"/>
            <w:vAlign w:val="center"/>
          </w:tcPr>
          <w:p>
            <w:pPr>
              <w:keepNext w:val="0"/>
              <w:keepLines w:val="0"/>
              <w:suppressLineNumbers w:val="0"/>
              <w:spacing w:before="0" w:beforeAutospacing="0" w:after="0" w:afterAutospacing="0" w:line="240" w:lineRule="atLeast"/>
              <w:ind w:left="0" w:right="0" w:firstLine="420" w:firstLineChars="200"/>
              <w:jc w:val="both"/>
              <w:rPr>
                <w:rFonts w:hint="default" w:eastAsia="宋体"/>
                <w:color w:val="auto"/>
                <w:lang w:val="en-US" w:eastAsia="zh-CN"/>
              </w:rPr>
            </w:pPr>
            <w:r>
              <w:rPr>
                <w:rFonts w:hint="eastAsia"/>
                <w:color w:val="auto"/>
                <w:lang w:val="en-US" w:eastAsia="zh-CN"/>
              </w:rPr>
              <w:t>干草棚</w:t>
            </w:r>
          </w:p>
        </w:tc>
        <w:tc>
          <w:tcPr>
            <w:tcW w:w="3404" w:type="dxa"/>
            <w:vMerge w:val="restart"/>
            <w:vAlign w:val="center"/>
          </w:tcPr>
          <w:p>
            <w:pPr>
              <w:keepNext w:val="0"/>
              <w:keepLines w:val="0"/>
              <w:suppressLineNumbers w:val="0"/>
              <w:spacing w:before="0" w:beforeAutospacing="0" w:after="0" w:afterAutospacing="0" w:line="240" w:lineRule="atLeast"/>
              <w:ind w:left="0" w:right="0"/>
              <w:jc w:val="both"/>
              <w:rPr>
                <w:rFonts w:hint="eastAsia"/>
                <w:color w:val="auto"/>
              </w:rPr>
            </w:pPr>
            <w:r>
              <w:rPr>
                <w:rFonts w:hint="eastAsia"/>
                <w:color w:val="auto"/>
                <w:kern w:val="0"/>
                <w:szCs w:val="21"/>
                <w:lang w:val="en-US" w:eastAsia="zh-CN"/>
              </w:rPr>
              <w:t>1间位于厂区西侧，占地面积约2160m</w:t>
            </w:r>
            <w:r>
              <w:rPr>
                <w:rFonts w:hint="eastAsia"/>
                <w:color w:val="auto"/>
                <w:kern w:val="0"/>
                <w:szCs w:val="21"/>
                <w:vertAlign w:val="superscript"/>
                <w:lang w:val="en-US" w:eastAsia="zh-CN"/>
              </w:rPr>
              <w:t>2</w:t>
            </w:r>
          </w:p>
        </w:tc>
        <w:tc>
          <w:tcPr>
            <w:tcW w:w="991" w:type="dxa"/>
            <w:vMerge w:val="continue"/>
            <w:vAlign w:val="center"/>
          </w:tcPr>
          <w:p>
            <w:pPr>
              <w:keepNext w:val="0"/>
              <w:keepLines w:val="0"/>
              <w:suppressLineNumbers w:val="0"/>
              <w:spacing w:before="0" w:beforeAutospacing="0" w:after="0" w:afterAutospacing="0" w:line="240" w:lineRule="atLeast"/>
              <w:ind w:left="0" w:right="0" w:firstLine="420" w:firstLineChars="20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firstLine="420" w:firstLineChars="200"/>
              <w:jc w:val="center"/>
              <w:rPr>
                <w:rFonts w:hint="default"/>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3404"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991" w:type="dxa"/>
            <w:vMerge w:val="continue"/>
            <w:vAlign w:val="center"/>
          </w:tcPr>
          <w:p>
            <w:pPr>
              <w:keepNext w:val="0"/>
              <w:keepLines w:val="0"/>
              <w:suppressLineNumbers w:val="0"/>
              <w:spacing w:before="0" w:beforeAutospacing="0" w:after="0" w:afterAutospacing="0" w:line="240" w:lineRule="atLeast"/>
              <w:ind w:left="0" w:right="0" w:firstLine="420" w:firstLineChars="20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firstLine="420" w:firstLineChars="200"/>
              <w:jc w:val="center"/>
              <w:rPr>
                <w:rFonts w:hint="default"/>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1" w:hRule="atLeast"/>
        </w:trPr>
        <w:tc>
          <w:tcPr>
            <w:tcW w:w="675"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环保工程</w:t>
            </w:r>
          </w:p>
        </w:tc>
        <w:tc>
          <w:tcPr>
            <w:tcW w:w="647" w:type="dxa"/>
            <w:gridSpan w:val="2"/>
            <w:vMerge w:val="restart"/>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废水处理系统</w:t>
            </w:r>
          </w:p>
        </w:tc>
        <w:tc>
          <w:tcPr>
            <w:tcW w:w="1196"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rPr>
              <w:t>生产废水</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ascii="Times New Roman" w:hAnsi="Times New Roman" w:cs="Times New Roman"/>
                <w:color w:val="auto"/>
              </w:rPr>
              <w:t>废水处理系统一套，采用</w:t>
            </w:r>
            <w:r>
              <w:rPr>
                <w:rFonts w:hint="eastAsia" w:cs="Times New Roman"/>
                <w:color w:val="auto"/>
                <w:lang w:val="en-US" w:eastAsia="zh-CN"/>
              </w:rPr>
              <w:t>发酵床</w:t>
            </w:r>
            <w:r>
              <w:rPr>
                <w:rFonts w:hint="default" w:ascii="Times New Roman" w:hAnsi="Times New Roman" w:cs="Times New Roman"/>
                <w:color w:val="auto"/>
              </w:rPr>
              <w:t>工艺</w:t>
            </w:r>
            <w:r>
              <w:rPr>
                <w:rFonts w:hint="eastAsia" w:cs="Times New Roman"/>
                <w:color w:val="auto"/>
                <w:lang w:eastAsia="zh-CN"/>
              </w:rPr>
              <w:t>：</w:t>
            </w:r>
            <w:r>
              <w:rPr>
                <w:rFonts w:hint="default" w:ascii="Times New Roman" w:hAnsi="Times New Roman" w:cs="Times New Roman"/>
                <w:color w:val="auto"/>
              </w:rPr>
              <w:t>设计</w:t>
            </w:r>
            <w:r>
              <w:rPr>
                <w:rFonts w:hint="eastAsia" w:cs="Times New Roman"/>
                <w:color w:val="auto"/>
                <w:lang w:val="en-US" w:eastAsia="zh-CN"/>
              </w:rPr>
              <w:t>处理</w:t>
            </w:r>
            <w:r>
              <w:rPr>
                <w:rFonts w:hint="default" w:ascii="Times New Roman" w:hAnsi="Times New Roman" w:cs="Times New Roman"/>
                <w:color w:val="auto"/>
              </w:rPr>
              <w:t>能力</w:t>
            </w:r>
            <w:r>
              <w:rPr>
                <w:rFonts w:hint="eastAsia" w:cs="Times New Roman"/>
                <w:color w:val="auto"/>
                <w:lang w:val="en-US" w:eastAsia="zh-CN"/>
              </w:rPr>
              <w:t>300t</w:t>
            </w:r>
            <w:r>
              <w:rPr>
                <w:rFonts w:hint="default" w:ascii="Times New Roman" w:hAnsi="Times New Roman" w:cs="Times New Roman"/>
                <w:color w:val="auto"/>
              </w:rPr>
              <w:t>/d；</w:t>
            </w:r>
            <w:r>
              <w:rPr>
                <w:rFonts w:hint="eastAsia" w:cs="Times New Roman"/>
                <w:color w:val="auto"/>
                <w:lang w:val="en-US" w:eastAsia="zh-CN"/>
              </w:rPr>
              <w:t>收集：</w:t>
            </w:r>
            <w:r>
              <w:rPr>
                <w:rFonts w:hint="eastAsia" w:ascii="Times New Roman" w:hAnsi="Times New Roman" w:cs="Times New Roman"/>
                <w:color w:val="auto"/>
              </w:rPr>
              <w:t>粪尿收集</w:t>
            </w:r>
            <w:r>
              <w:rPr>
                <w:rFonts w:hint="eastAsia" w:cs="Times New Roman"/>
                <w:color w:val="auto"/>
                <w:lang w:val="en-US" w:eastAsia="zh-CN"/>
              </w:rPr>
              <w:t>池</w:t>
            </w:r>
            <w:r>
              <w:rPr>
                <w:rFonts w:hint="eastAsia" w:ascii="Times New Roman" w:hAnsi="Times New Roman" w:cs="Times New Roman"/>
                <w:color w:val="auto"/>
              </w:rPr>
              <w:t>（</w:t>
            </w:r>
            <w:r>
              <w:rPr>
                <w:rFonts w:hint="eastAsia" w:cs="Times New Roman"/>
                <w:color w:val="auto"/>
                <w:lang w:val="en-US" w:eastAsia="zh-CN"/>
              </w:rPr>
              <w:t>4个</w:t>
            </w:r>
            <w:r>
              <w:rPr>
                <w:rFonts w:hint="eastAsia" w:ascii="Times New Roman" w:hAnsi="Times New Roman" w:cs="Times New Roman"/>
                <w:color w:val="auto"/>
              </w:rPr>
              <w:t>，</w:t>
            </w:r>
            <w:r>
              <w:rPr>
                <w:rFonts w:hint="eastAsia" w:cs="Times New Roman"/>
                <w:color w:val="auto"/>
                <w:lang w:val="en-US" w:eastAsia="zh-CN"/>
              </w:rPr>
              <w:t>单个</w:t>
            </w:r>
            <w:r>
              <w:rPr>
                <w:rFonts w:hint="default" w:ascii="Times New Roman" w:hAnsi="Times New Roman" w:cs="Times New Roman"/>
                <w:color w:val="auto"/>
              </w:rPr>
              <w:t>容积为</w:t>
            </w:r>
            <w:r>
              <w:rPr>
                <w:rFonts w:hint="eastAsia"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ascii="Times New Roman" w:hAnsi="Times New Roman" w:cs="Times New Roman"/>
                <w:color w:val="auto"/>
              </w:rPr>
              <w:t>、</w:t>
            </w:r>
            <w:r>
              <w:rPr>
                <w:rFonts w:hint="eastAsia" w:cs="Times New Roman"/>
                <w:color w:val="auto"/>
                <w:lang w:val="en-US" w:eastAsia="zh-CN"/>
              </w:rPr>
              <w:t>调节</w:t>
            </w:r>
            <w:r>
              <w:rPr>
                <w:rFonts w:hint="eastAsia" w:ascii="Times New Roman" w:hAnsi="Times New Roman" w:cs="Times New Roman"/>
                <w:color w:val="auto"/>
              </w:rPr>
              <w:t>池（</w:t>
            </w:r>
            <w:r>
              <w:rPr>
                <w:rFonts w:hint="eastAsia" w:cs="Times New Roman"/>
                <w:color w:val="auto"/>
                <w:lang w:val="en-US" w:eastAsia="zh-CN"/>
              </w:rPr>
              <w:t>4</w:t>
            </w:r>
            <w:r>
              <w:rPr>
                <w:rFonts w:hint="eastAsia" w:ascii="Times New Roman" w:hAnsi="Times New Roman" w:cs="Times New Roman"/>
                <w:color w:val="auto"/>
              </w:rPr>
              <w:t>个，</w:t>
            </w:r>
            <w:r>
              <w:rPr>
                <w:rFonts w:hint="eastAsia"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ascii="Times New Roman" w:hAnsi="Times New Roman" w:cs="Times New Roman"/>
                <w:color w:val="auto"/>
              </w:rPr>
              <w:t>）</w:t>
            </w:r>
            <w:r>
              <w:rPr>
                <w:rFonts w:hint="eastAsia" w:cs="Times New Roman"/>
                <w:color w:val="auto"/>
                <w:lang w:eastAsia="zh-CN"/>
              </w:rPr>
              <w:t>、</w:t>
            </w:r>
            <w:r>
              <w:rPr>
                <w:rFonts w:hint="eastAsia" w:cs="Times New Roman"/>
                <w:color w:val="auto"/>
                <w:lang w:val="en-US" w:eastAsia="zh-CN"/>
              </w:rPr>
              <w:t>喷淋池（4个</w:t>
            </w:r>
            <w:r>
              <w:rPr>
                <w:rFonts w:hint="eastAsia" w:ascii="Times New Roman" w:hAnsi="Times New Roman" w:cs="Times New Roman"/>
                <w:color w:val="auto"/>
              </w:rPr>
              <w:t>，</w:t>
            </w:r>
            <w:r>
              <w:rPr>
                <w:rFonts w:hint="eastAsia" w:cs="Times New Roman"/>
                <w:color w:val="auto"/>
                <w:lang w:val="en-US" w:eastAsia="zh-CN"/>
              </w:rPr>
              <w:t>单个</w:t>
            </w:r>
            <w:r>
              <w:rPr>
                <w:rFonts w:hint="default" w:ascii="Times New Roman" w:hAnsi="Times New Roman" w:cs="Times New Roman"/>
                <w:color w:val="auto"/>
              </w:rPr>
              <w:t>容积为</w:t>
            </w:r>
            <w:r>
              <w:rPr>
                <w:rFonts w:hint="eastAsia" w:cs="Times New Roman"/>
                <w:color w:val="auto"/>
                <w:lang w:val="en-US" w:eastAsia="zh-CN"/>
              </w:rPr>
              <w:t>200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val="en-US" w:eastAsia="zh-CN"/>
              </w:rPr>
              <w:t>）粪污暂存池（4个，单个</w:t>
            </w:r>
            <w:r>
              <w:rPr>
                <w:rFonts w:hint="default" w:ascii="Times New Roman" w:hAnsi="Times New Roman" w:cs="Times New Roman"/>
                <w:color w:val="auto"/>
              </w:rPr>
              <w:t>容积为</w:t>
            </w:r>
            <w:r>
              <w:rPr>
                <w:rFonts w:hint="eastAsia" w:cs="Times New Roman"/>
                <w:color w:val="auto"/>
                <w:lang w:val="en-US" w:eastAsia="zh-CN"/>
              </w:rPr>
              <w:t>200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val="en-US" w:eastAsia="zh-CN"/>
              </w:rPr>
              <w:t>）</w:t>
            </w:r>
            <w:r>
              <w:rPr>
                <w:rFonts w:hint="eastAsia"/>
                <w:color w:val="auto"/>
                <w:lang w:eastAsia="zh-CN"/>
              </w:rPr>
              <w:t>。</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647" w:type="dxa"/>
            <w:gridSpan w:val="2"/>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196"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rPr>
              <w:t>生活废水</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lang w:val="en-US" w:eastAsia="zh-CN"/>
              </w:rPr>
              <w:t>经</w:t>
            </w:r>
            <w:r>
              <w:rPr>
                <w:rFonts w:hint="eastAsia"/>
                <w:color w:val="auto"/>
                <w:lang w:eastAsia="zh-CN"/>
              </w:rPr>
              <w:t>预处理池</w:t>
            </w:r>
            <w:r>
              <w:rPr>
                <w:rFonts w:hint="eastAsia"/>
                <w:color w:val="auto"/>
              </w:rPr>
              <w:t>（1个，</w:t>
            </w:r>
            <w:r>
              <w:rPr>
                <w:rFonts w:hint="eastAsia"/>
                <w:color w:val="auto"/>
                <w:lang w:val="en-US" w:eastAsia="zh-CN"/>
              </w:rPr>
              <w:t>10</w:t>
            </w:r>
            <w:r>
              <w:rPr>
                <w:rFonts w:hint="default"/>
                <w:color w:val="auto"/>
              </w:rPr>
              <w:t>m</w:t>
            </w:r>
            <w:r>
              <w:rPr>
                <w:rFonts w:hint="default"/>
                <w:color w:val="auto"/>
                <w:vertAlign w:val="superscript"/>
              </w:rPr>
              <w:t>3</w:t>
            </w:r>
            <w:r>
              <w:rPr>
                <w:rFonts w:hint="eastAsia"/>
                <w:color w:val="auto"/>
              </w:rPr>
              <w:t>）</w:t>
            </w:r>
            <w:r>
              <w:rPr>
                <w:rFonts w:hint="eastAsia" w:eastAsia="宋体"/>
                <w:color w:val="auto"/>
                <w:lang w:eastAsia="zh-CN"/>
              </w:rPr>
              <w:t>处理后进入</w:t>
            </w:r>
            <w:r>
              <w:rPr>
                <w:rFonts w:hint="eastAsia"/>
                <w:color w:val="auto"/>
                <w:lang w:val="en-US" w:eastAsia="zh-CN"/>
              </w:rPr>
              <w:t>发酵床</w:t>
            </w:r>
            <w:r>
              <w:rPr>
                <w:rFonts w:hint="eastAsia" w:eastAsia="宋体"/>
                <w:color w:val="auto"/>
                <w:lang w:eastAsia="zh-CN"/>
              </w:rPr>
              <w:t>处理。</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Merge w:val="restart"/>
            <w:vAlign w:val="center"/>
          </w:tcPr>
          <w:p>
            <w:pPr>
              <w:keepNext w:val="0"/>
              <w:keepLines w:val="0"/>
              <w:suppressLineNumbers w:val="0"/>
              <w:spacing w:before="0" w:beforeAutospacing="0" w:after="0" w:afterAutospacing="0" w:line="240" w:lineRule="atLeast"/>
              <w:ind w:left="0" w:right="0"/>
              <w:jc w:val="center"/>
              <w:rPr>
                <w:rFonts w:hint="eastAsia"/>
                <w:color w:val="auto"/>
                <w:lang w:val="en-US" w:eastAsia="zh-CN"/>
              </w:rPr>
            </w:pPr>
            <w:r>
              <w:rPr>
                <w:rFonts w:hint="eastAsia"/>
                <w:color w:val="auto"/>
                <w:lang w:val="en-US" w:eastAsia="zh-CN"/>
              </w:rPr>
              <w:t>生活废水、污泥、</w:t>
            </w:r>
          </w:p>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r>
              <w:rPr>
                <w:rFonts w:hint="eastAsia"/>
                <w:color w:val="auto"/>
                <w:lang w:val="en-US" w:eastAsia="zh-CN"/>
              </w:rPr>
              <w:t>隔油池污泥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647" w:type="dxa"/>
            <w:gridSpan w:val="2"/>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196"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rPr>
              <w:t>食堂废水</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lang w:val="en-US" w:eastAsia="zh-CN"/>
              </w:rPr>
              <w:t>经</w:t>
            </w:r>
            <w:r>
              <w:rPr>
                <w:rFonts w:hint="eastAsia"/>
                <w:color w:val="auto"/>
              </w:rPr>
              <w:t>隔油池（1个，0.5m</w:t>
            </w:r>
            <w:r>
              <w:rPr>
                <w:rFonts w:hint="eastAsia"/>
                <w:color w:val="auto"/>
                <w:vertAlign w:val="superscript"/>
              </w:rPr>
              <w:t>3</w:t>
            </w:r>
            <w:r>
              <w:rPr>
                <w:rFonts w:hint="eastAsia"/>
                <w:color w:val="auto"/>
              </w:rPr>
              <w:t>）</w:t>
            </w:r>
            <w:r>
              <w:rPr>
                <w:rFonts w:hint="eastAsia" w:eastAsia="宋体"/>
                <w:color w:val="auto"/>
                <w:lang w:eastAsia="zh-CN"/>
              </w:rPr>
              <w:t>处理后进入</w:t>
            </w:r>
            <w:r>
              <w:rPr>
                <w:rFonts w:hint="eastAsia"/>
                <w:color w:val="auto"/>
                <w:lang w:val="en-US" w:eastAsia="zh-CN"/>
              </w:rPr>
              <w:t>发酵床</w:t>
            </w:r>
            <w:r>
              <w:rPr>
                <w:rFonts w:hint="eastAsia" w:eastAsia="宋体"/>
                <w:color w:val="auto"/>
                <w:lang w:eastAsia="zh-CN"/>
              </w:rPr>
              <w:t>处理。</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Merge w:val="continue"/>
            <w:vAlign w:val="center"/>
          </w:tcPr>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1"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Merge w:val="restart"/>
            <w:vAlign w:val="center"/>
          </w:tcPr>
          <w:p>
            <w:pPr>
              <w:keepNext w:val="0"/>
              <w:keepLines w:val="0"/>
              <w:suppressLineNumbers w:val="0"/>
              <w:spacing w:before="0" w:beforeAutospacing="0" w:after="72" w:afterAutospacing="0"/>
              <w:ind w:left="0" w:right="0"/>
              <w:rPr>
                <w:rFonts w:hint="default"/>
                <w:color w:val="auto"/>
                <w:szCs w:val="21"/>
              </w:rPr>
            </w:pPr>
            <w:r>
              <w:rPr>
                <w:rFonts w:hint="eastAsia"/>
                <w:color w:val="auto"/>
                <w:szCs w:val="21"/>
              </w:rPr>
              <w:t>固废</w:t>
            </w:r>
          </w:p>
        </w:tc>
        <w:tc>
          <w:tcPr>
            <w:tcW w:w="3404" w:type="dxa"/>
            <w:vAlign w:val="center"/>
          </w:tcPr>
          <w:p>
            <w:pPr>
              <w:keepNext w:val="0"/>
              <w:keepLines w:val="0"/>
              <w:suppressLineNumbers w:val="0"/>
              <w:spacing w:before="0" w:beforeAutospacing="0" w:after="72" w:afterAutospacing="0"/>
              <w:ind w:left="0" w:right="0"/>
              <w:rPr>
                <w:rFonts w:hint="default"/>
                <w:color w:val="auto"/>
                <w:szCs w:val="21"/>
              </w:rPr>
            </w:pPr>
            <w:r>
              <w:rPr>
                <w:rFonts w:hint="eastAsia"/>
                <w:color w:val="auto"/>
                <w:szCs w:val="21"/>
              </w:rPr>
              <w:t>医疗废物</w:t>
            </w:r>
            <w:r>
              <w:rPr>
                <w:rFonts w:hint="default"/>
                <w:color w:val="auto"/>
                <w:szCs w:val="21"/>
              </w:rPr>
              <w:t>暂存间：1个，建筑面积</w:t>
            </w:r>
            <w:r>
              <w:rPr>
                <w:rFonts w:hint="eastAsia"/>
                <w:color w:val="auto"/>
                <w:szCs w:val="21"/>
                <w:lang w:val="en-US" w:eastAsia="zh-CN"/>
              </w:rPr>
              <w:t>5</w:t>
            </w:r>
            <w:r>
              <w:rPr>
                <w:rFonts w:hint="default"/>
                <w:color w:val="auto"/>
                <w:szCs w:val="21"/>
              </w:rPr>
              <w:t>m</w:t>
            </w:r>
            <w:r>
              <w:rPr>
                <w:rFonts w:hint="default"/>
                <w:color w:val="auto"/>
                <w:szCs w:val="21"/>
                <w:vertAlign w:val="superscript"/>
              </w:rPr>
              <w:t>2</w:t>
            </w:r>
            <w:r>
              <w:rPr>
                <w:rFonts w:hint="default"/>
                <w:color w:val="auto"/>
                <w:szCs w:val="21"/>
              </w:rPr>
              <w:t>，位于生产区入口综合房内</w:t>
            </w:r>
            <w:r>
              <w:rPr>
                <w:rFonts w:hint="eastAsia"/>
                <w:color w:val="auto"/>
                <w:szCs w:val="21"/>
              </w:rPr>
              <w:t>（</w:t>
            </w:r>
            <w:r>
              <w:rPr>
                <w:rFonts w:hint="default"/>
                <w:color w:val="auto"/>
                <w:szCs w:val="21"/>
              </w:rPr>
              <w:t>医疗废物暂存</w:t>
            </w:r>
            <w:r>
              <w:rPr>
                <w:rFonts w:hint="eastAsia"/>
                <w:color w:val="auto"/>
                <w:szCs w:val="21"/>
              </w:rPr>
              <w:t>）</w:t>
            </w:r>
            <w:r>
              <w:rPr>
                <w:rFonts w:hint="eastAsia"/>
                <w:color w:val="auto"/>
                <w:szCs w:val="21"/>
                <w:lang w:eastAsia="zh-CN"/>
              </w:rPr>
              <w:t>。医疗废物定期交资质单位处理。</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r>
              <w:rPr>
                <w:rFonts w:hint="eastAsia"/>
                <w:color w:val="auto"/>
                <w:lang w:val="en-US" w:eastAsia="zh-CN"/>
              </w:rPr>
              <w:t>医废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Merge w:val="continue"/>
            <w:vAlign w:val="center"/>
          </w:tcPr>
          <w:p>
            <w:pPr>
              <w:keepNext w:val="0"/>
              <w:keepLines w:val="0"/>
              <w:suppressLineNumbers w:val="0"/>
              <w:spacing w:before="0" w:beforeAutospacing="0" w:after="72" w:afterAutospacing="0"/>
              <w:ind w:left="0" w:right="0"/>
              <w:rPr>
                <w:rFonts w:hint="default"/>
                <w:color w:val="auto"/>
                <w:szCs w:val="21"/>
              </w:rPr>
            </w:pPr>
          </w:p>
        </w:tc>
        <w:tc>
          <w:tcPr>
            <w:tcW w:w="3404" w:type="dxa"/>
            <w:vMerge w:val="restart"/>
            <w:vAlign w:val="center"/>
          </w:tcPr>
          <w:p>
            <w:pPr>
              <w:keepNext w:val="0"/>
              <w:keepLines w:val="0"/>
              <w:suppressLineNumbers w:val="0"/>
              <w:spacing w:before="0" w:beforeAutospacing="0" w:after="72" w:afterAutospacing="0"/>
              <w:ind w:left="0" w:right="0"/>
              <w:rPr>
                <w:rFonts w:hint="default" w:ascii="Times New Roman" w:eastAsia="宋体" w:cs="Times New Roman"/>
                <w:color w:val="auto"/>
                <w:lang w:val="en-US" w:eastAsia="zh-CN"/>
              </w:rPr>
            </w:pPr>
            <w:r>
              <w:rPr>
                <w:rFonts w:hint="eastAsia" w:cs="Times New Roman"/>
                <w:color w:val="auto"/>
                <w:lang w:val="en-US" w:eastAsia="zh-CN"/>
              </w:rPr>
              <w:t>一般固废暂存间：1个，建筑面积10m</w:t>
            </w:r>
            <w:r>
              <w:rPr>
                <w:rFonts w:hint="eastAsia" w:cs="Times New Roman"/>
                <w:color w:val="auto"/>
                <w:vertAlign w:val="superscript"/>
                <w:lang w:val="en-US" w:eastAsia="zh-CN"/>
              </w:rPr>
              <w:t>2</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r>
              <w:rPr>
                <w:rFonts w:hint="eastAsia"/>
                <w:color w:val="auto"/>
                <w:lang w:val="en-US"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843" w:type="dxa"/>
            <w:gridSpan w:val="3"/>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3404"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lang w:val="en-US"/>
              </w:rPr>
            </w:pP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r>
              <w:rPr>
                <w:rFonts w:hint="default"/>
                <w:color w:val="auto"/>
              </w:rPr>
              <w:t>恶臭</w:t>
            </w:r>
            <w:r>
              <w:rPr>
                <w:rFonts w:hint="eastAsia"/>
                <w:color w:val="auto"/>
                <w:lang w:eastAsia="zh-CN"/>
              </w:rPr>
              <w:t>、</w:t>
            </w:r>
            <w:r>
              <w:rPr>
                <w:rFonts w:hint="eastAsia"/>
                <w:color w:val="auto"/>
                <w:lang w:val="en-US" w:eastAsia="zh-CN"/>
              </w:rPr>
              <w:t>牛粪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567"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废气处理设施</w:t>
            </w:r>
          </w:p>
        </w:tc>
        <w:tc>
          <w:tcPr>
            <w:tcW w:w="1276" w:type="dxa"/>
            <w:gridSpan w:val="2"/>
            <w:vAlign w:val="center"/>
          </w:tcPr>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r>
              <w:rPr>
                <w:rFonts w:hint="eastAsia"/>
                <w:color w:val="auto"/>
                <w:lang w:val="en-US" w:eastAsia="zh-CN"/>
              </w:rPr>
              <w:t>牛舍恶臭</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rPr>
              <w:t>圈舍喷雾除臭</w:t>
            </w:r>
            <w:r>
              <w:rPr>
                <w:rFonts w:hint="eastAsia"/>
                <w:color w:val="auto"/>
                <w:lang w:eastAsia="zh-CN"/>
              </w:rPr>
              <w:t>、</w:t>
            </w:r>
            <w:r>
              <w:rPr>
                <w:rFonts w:hint="eastAsia"/>
                <w:color w:val="auto"/>
                <w:lang w:val="en-US" w:eastAsia="zh-CN"/>
              </w:rPr>
              <w:t>喷洒除臭剂</w:t>
            </w:r>
            <w:r>
              <w:rPr>
                <w:rFonts w:hint="eastAsia"/>
                <w:color w:val="auto"/>
              </w:rPr>
              <w:t>，配套喷雾喷头若干。</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eastAsia" w:eastAsia="宋体"/>
                <w:color w:val="auto"/>
                <w:lang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567"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276" w:type="dxa"/>
            <w:gridSpan w:val="2"/>
            <w:vAlign w:val="center"/>
          </w:tcPr>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r>
              <w:rPr>
                <w:rFonts w:hint="eastAsia"/>
                <w:color w:val="auto"/>
                <w:lang w:val="en-US" w:eastAsia="zh-CN"/>
              </w:rPr>
              <w:t>发酵床恶臭</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eastAsia"/>
                <w:color w:val="auto"/>
                <w:lang w:val="en-US" w:eastAsia="zh-CN"/>
              </w:rPr>
            </w:pPr>
            <w:r>
              <w:rPr>
                <w:rFonts w:hint="eastAsia" w:ascii="Times New Roman" w:hAnsi="Times New Roman" w:cs="Times New Roman"/>
                <w:bCs/>
                <w:color w:val="auto"/>
                <w:sz w:val="21"/>
                <w:szCs w:val="21"/>
              </w:rPr>
              <w:t>发酵床</w:t>
            </w:r>
            <w:r>
              <w:rPr>
                <w:rFonts w:hint="eastAsia" w:ascii="Times New Roman" w:hAnsi="Times New Roman" w:cs="Times New Roman"/>
                <w:bCs/>
                <w:color w:val="auto"/>
                <w:sz w:val="21"/>
                <w:szCs w:val="21"/>
                <w:lang w:val="en-US" w:eastAsia="zh-CN"/>
              </w:rPr>
              <w:t>周边</w:t>
            </w:r>
            <w:r>
              <w:rPr>
                <w:rFonts w:hint="eastAsia" w:ascii="Times New Roman" w:hAnsi="Times New Roman" w:cs="Times New Roman"/>
                <w:bCs/>
                <w:color w:val="auto"/>
                <w:sz w:val="21"/>
                <w:szCs w:val="21"/>
              </w:rPr>
              <w:t>定时喷洒除臭剂，同时加强周边绿化，</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567"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276" w:type="dxa"/>
            <w:gridSpan w:val="2"/>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发电机</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自身的废气净化装置</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default"/>
                <w:color w:val="auto"/>
              </w:rPr>
              <w:t>废气、噪声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567"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276" w:type="dxa"/>
            <w:gridSpan w:val="2"/>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rPr>
              <w:t>食堂废气</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lang w:val="en-US" w:eastAsia="zh-CN"/>
              </w:rPr>
              <w:t>油烟净化器</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color w:val="auto"/>
              </w:rPr>
            </w:pPr>
            <w:r>
              <w:rPr>
                <w:rFonts w:hint="eastAsia"/>
                <w:color w:val="auto"/>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567"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276" w:type="dxa"/>
            <w:gridSpan w:val="2"/>
            <w:vAlign w:val="center"/>
          </w:tcPr>
          <w:p>
            <w:pPr>
              <w:keepNext w:val="0"/>
              <w:keepLines w:val="0"/>
              <w:suppressLineNumbers w:val="0"/>
              <w:spacing w:before="0" w:beforeAutospacing="0" w:after="0" w:afterAutospacing="0" w:line="240" w:lineRule="atLeast"/>
              <w:ind w:left="0" w:right="0"/>
              <w:jc w:val="center"/>
              <w:rPr>
                <w:rFonts w:hint="eastAsia"/>
                <w:color w:val="auto"/>
              </w:rPr>
            </w:pPr>
            <w:r>
              <w:rPr>
                <w:rFonts w:hint="eastAsia" w:ascii="Times New Roman"/>
                <w:b w:val="0"/>
                <w:bCs/>
                <w:color w:val="auto"/>
              </w:rPr>
              <w:t>饲料加工粉尘</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eastAsia"/>
                <w:color w:val="auto"/>
              </w:rPr>
            </w:pPr>
            <w:r>
              <w:rPr>
                <w:rFonts w:hint="eastAsia" w:cs="Times New Roman"/>
                <w:color w:val="auto"/>
                <w:lang w:val="en-US" w:eastAsia="zh-CN"/>
              </w:rPr>
              <w:t>布袋除尘器+15m高排气筒（</w:t>
            </w:r>
            <w:r>
              <w:rPr>
                <w:rFonts w:hint="default" w:ascii="Times New Roman" w:hAnsi="Times New Roman" w:eastAsia="宋体" w:cs="Times New Roman"/>
                <w:color w:val="auto"/>
                <w:sz w:val="21"/>
                <w:szCs w:val="21"/>
                <w:lang w:eastAsia="zh-CN"/>
              </w:rPr>
              <w:t>风量</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00m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收集效率取90%，处理效率取99%</w:t>
            </w:r>
            <w:r>
              <w:rPr>
                <w:rFonts w:hint="eastAsia" w:cs="Times New Roman"/>
                <w:color w:val="auto"/>
                <w:sz w:val="21"/>
                <w:szCs w:val="21"/>
                <w:lang w:eastAsia="zh-CN"/>
              </w:rPr>
              <w:t>，</w:t>
            </w:r>
            <w:r>
              <w:rPr>
                <w:rFonts w:hint="eastAsia" w:cs="Times New Roman"/>
                <w:color w:val="auto"/>
                <w:lang w:val="en-US" w:eastAsia="zh-CN"/>
              </w:rPr>
              <w:t>DA001）</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default" w:eastAsia="宋体"/>
                <w:color w:val="auto"/>
                <w:lang w:val="en-US" w:eastAsia="zh-CN"/>
              </w:rPr>
            </w:pPr>
            <w:r>
              <w:rPr>
                <w:rFonts w:hint="eastAsia"/>
                <w:color w:val="auto"/>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trPr>
        <w:tc>
          <w:tcPr>
            <w:tcW w:w="67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567"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1276" w:type="dxa"/>
            <w:gridSpan w:val="2"/>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lang w:eastAsia="zh-CN"/>
              </w:rPr>
              <w:t>绿化</w:t>
            </w:r>
          </w:p>
        </w:tc>
        <w:tc>
          <w:tcPr>
            <w:tcW w:w="3404" w:type="dxa"/>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300m</w:t>
            </w:r>
            <w:r>
              <w:rPr>
                <w:rFonts w:hint="eastAsia"/>
                <w:color w:val="auto"/>
                <w:vertAlign w:val="superscript"/>
                <w:lang w:val="en-US" w:eastAsia="zh-CN"/>
              </w:rPr>
              <w:t>2</w:t>
            </w:r>
          </w:p>
        </w:tc>
        <w:tc>
          <w:tcPr>
            <w:tcW w:w="991"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auto"/>
              </w:rPr>
            </w:pPr>
          </w:p>
        </w:tc>
        <w:tc>
          <w:tcPr>
            <w:tcW w:w="2035" w:type="dxa"/>
            <w:vAlign w:val="center"/>
          </w:tcPr>
          <w:p>
            <w:pPr>
              <w:keepNext w:val="0"/>
              <w:keepLines w:val="0"/>
              <w:suppressLineNumbers w:val="0"/>
              <w:spacing w:before="0" w:beforeAutospacing="0" w:after="0" w:afterAutospacing="0" w:line="240" w:lineRule="atLeast"/>
              <w:ind w:left="0" w:right="0"/>
              <w:jc w:val="center"/>
              <w:rPr>
                <w:rFonts w:hint="eastAsia" w:eastAsia="宋体"/>
                <w:color w:val="auto"/>
                <w:lang w:val="en-US" w:eastAsia="zh-CN"/>
              </w:rPr>
            </w:pPr>
            <w:r>
              <w:rPr>
                <w:rFonts w:hint="eastAsia"/>
                <w:color w:val="auto"/>
                <w:lang w:val="en-US" w:eastAsia="zh-CN"/>
              </w:rPr>
              <w:t>/</w:t>
            </w:r>
          </w:p>
        </w:tc>
      </w:tr>
    </w:tbl>
    <w:p>
      <w:pPr>
        <w:pStyle w:val="180"/>
        <w:keepNext/>
        <w:keepLines/>
        <w:pageBreakBefore w:val="0"/>
        <w:widowControl w:val="0"/>
        <w:kinsoku/>
        <w:wordWrap/>
        <w:overflowPunct/>
        <w:topLinePunct w:val="0"/>
        <w:autoSpaceDE/>
        <w:autoSpaceDN/>
        <w:bidi w:val="0"/>
        <w:adjustRightInd w:val="0"/>
        <w:snapToGrid/>
        <w:spacing w:before="0" w:beforeLines="50"/>
        <w:textAlignment w:val="baseline"/>
        <w:rPr>
          <w:rFonts w:hint="default" w:ascii="Times New Roman" w:hAnsi="Times New Roman" w:cs="Times New Roman" w:eastAsiaTheme="majorEastAsia"/>
          <w:b/>
          <w:bCs w:val="0"/>
          <w:color w:val="auto"/>
          <w:sz w:val="24"/>
          <w:szCs w:val="24"/>
        </w:rPr>
      </w:pPr>
      <w:bookmarkStart w:id="176" w:name="_Toc17189"/>
      <w:bookmarkStart w:id="177" w:name="_Toc369334617"/>
      <w:bookmarkStart w:id="178" w:name="_Toc369197779"/>
      <w:bookmarkStart w:id="179" w:name="_Toc369334797"/>
      <w:bookmarkStart w:id="180" w:name="_Toc369191614"/>
      <w:bookmarkStart w:id="181" w:name="_Toc369359664"/>
      <w:r>
        <w:rPr>
          <w:rFonts w:hint="default" w:ascii="Times New Roman" w:hAnsi="Times New Roman" w:cs="Times New Roman" w:eastAsiaTheme="majorEastAsia"/>
          <w:b/>
          <w:bCs w:val="0"/>
          <w:color w:val="auto"/>
          <w:sz w:val="24"/>
          <w:szCs w:val="24"/>
        </w:rPr>
        <w:t>工程总平面布置</w:t>
      </w:r>
      <w:bookmarkEnd w:id="176"/>
      <w:bookmarkEnd w:id="177"/>
      <w:bookmarkEnd w:id="178"/>
      <w:bookmarkEnd w:id="179"/>
      <w:bookmarkEnd w:id="180"/>
      <w:bookmarkEnd w:id="181"/>
    </w:p>
    <w:p>
      <w:pPr>
        <w:pStyle w:val="8"/>
        <w:keepNext w:val="0"/>
        <w:keepLines w:val="0"/>
        <w:tabs>
          <w:tab w:val="clear" w:pos="1080"/>
        </w:tabs>
        <w:spacing w:before="60"/>
        <w:rPr>
          <w:color w:val="auto"/>
          <w:sz w:val="24"/>
          <w:szCs w:val="24"/>
        </w:rPr>
      </w:pPr>
      <w:r>
        <w:rPr>
          <w:color w:val="auto"/>
          <w:sz w:val="24"/>
          <w:szCs w:val="24"/>
        </w:rPr>
        <w:t>总平面布置原则</w:t>
      </w:r>
    </w:p>
    <w:p>
      <w:pPr>
        <w:pStyle w:val="4"/>
        <w:spacing w:line="360" w:lineRule="auto"/>
        <w:ind w:firstLine="508"/>
        <w:jc w:val="both"/>
        <w:rPr>
          <w:rFonts w:ascii="Times New Roman"/>
          <w:color w:val="auto"/>
        </w:rPr>
      </w:pPr>
      <w:r>
        <w:rPr>
          <w:rFonts w:ascii="Times New Roman"/>
          <w:color w:val="auto"/>
        </w:rPr>
        <w:t>（1）结合企业远景规划，因地制宜地加以设计。树立企业形象，促进企业可持续发展。</w:t>
      </w:r>
    </w:p>
    <w:p>
      <w:pPr>
        <w:pStyle w:val="4"/>
        <w:spacing w:line="360" w:lineRule="auto"/>
        <w:ind w:firstLine="508"/>
        <w:jc w:val="both"/>
        <w:rPr>
          <w:rFonts w:ascii="Times New Roman"/>
          <w:color w:val="auto"/>
        </w:rPr>
      </w:pPr>
      <w:r>
        <w:rPr>
          <w:rFonts w:ascii="Times New Roman"/>
          <w:color w:val="auto"/>
        </w:rPr>
        <w:t>（2）符合工艺要求，使生产作业线通顺短捷，避免主要生产线交叉返复。</w:t>
      </w:r>
    </w:p>
    <w:p>
      <w:pPr>
        <w:pStyle w:val="4"/>
        <w:spacing w:line="360" w:lineRule="auto"/>
        <w:ind w:firstLine="508"/>
        <w:jc w:val="both"/>
        <w:rPr>
          <w:rFonts w:ascii="Times New Roman"/>
          <w:color w:val="auto"/>
        </w:rPr>
      </w:pPr>
      <w:r>
        <w:rPr>
          <w:rFonts w:ascii="Times New Roman"/>
          <w:color w:val="auto"/>
        </w:rPr>
        <w:t>（3）切实注意节约用地，减少土方工程量降低投资。</w:t>
      </w:r>
    </w:p>
    <w:p>
      <w:pPr>
        <w:pStyle w:val="4"/>
        <w:spacing w:line="360" w:lineRule="auto"/>
        <w:ind w:firstLine="508"/>
        <w:jc w:val="both"/>
        <w:rPr>
          <w:rFonts w:ascii="Times New Roman"/>
          <w:color w:val="auto"/>
        </w:rPr>
      </w:pPr>
      <w:r>
        <w:rPr>
          <w:rFonts w:ascii="Times New Roman"/>
          <w:color w:val="auto"/>
        </w:rPr>
        <w:t>（4）考虑安全、卫生、厂内建构筑物的间距必须满足防火、卫生、安全等要求，即符合上述设计标准规范。</w:t>
      </w:r>
    </w:p>
    <w:p>
      <w:pPr>
        <w:pStyle w:val="4"/>
        <w:spacing w:line="360" w:lineRule="auto"/>
        <w:ind w:firstLine="508"/>
        <w:jc w:val="both"/>
        <w:rPr>
          <w:rFonts w:ascii="Times New Roman"/>
          <w:color w:val="auto"/>
        </w:rPr>
      </w:pPr>
      <w:r>
        <w:rPr>
          <w:rFonts w:ascii="Times New Roman"/>
          <w:color w:val="auto"/>
        </w:rPr>
        <w:t>（5）将厂区进行功能划分统一管理，方便生产。</w:t>
      </w:r>
    </w:p>
    <w:p>
      <w:pPr>
        <w:pStyle w:val="4"/>
        <w:spacing w:line="360" w:lineRule="auto"/>
        <w:ind w:firstLine="508"/>
        <w:jc w:val="both"/>
        <w:rPr>
          <w:rFonts w:ascii="Times New Roman"/>
          <w:color w:val="auto"/>
        </w:rPr>
      </w:pPr>
      <w:r>
        <w:rPr>
          <w:rFonts w:ascii="Times New Roman"/>
          <w:color w:val="auto"/>
        </w:rPr>
        <w:t>（6）做到物流与人流分离，工艺、公用工程的线路简捷，土地利用率高及投资合理，建筑物平面布局美观、大方，突出与环境协调，还要为企业今后的进一步发展留有充分的余地。</w:t>
      </w:r>
    </w:p>
    <w:p>
      <w:pPr>
        <w:pStyle w:val="8"/>
        <w:keepNext w:val="0"/>
        <w:keepLines w:val="0"/>
        <w:tabs>
          <w:tab w:val="clear" w:pos="1080"/>
        </w:tabs>
        <w:spacing w:before="60"/>
        <w:rPr>
          <w:color w:val="auto"/>
          <w:sz w:val="24"/>
          <w:szCs w:val="24"/>
        </w:rPr>
      </w:pPr>
      <w:r>
        <w:rPr>
          <w:color w:val="auto"/>
          <w:sz w:val="24"/>
          <w:szCs w:val="24"/>
        </w:rPr>
        <w:t>本项目总平面布置及其合理性分析</w:t>
      </w:r>
    </w:p>
    <w:p>
      <w:pPr>
        <w:adjustRightInd w:val="0"/>
        <w:snapToGrid w:val="0"/>
        <w:spacing w:line="360" w:lineRule="auto"/>
        <w:ind w:firstLine="480" w:firstLineChars="200"/>
        <w:rPr>
          <w:rFonts w:hint="eastAsia"/>
          <w:color w:val="auto"/>
          <w:sz w:val="24"/>
        </w:rPr>
      </w:pPr>
      <w:r>
        <w:rPr>
          <w:rFonts w:hint="eastAsia"/>
          <w:color w:val="auto"/>
          <w:sz w:val="24"/>
        </w:rPr>
        <w:t>项目共占地</w:t>
      </w:r>
      <w:r>
        <w:rPr>
          <w:rFonts w:hint="eastAsia"/>
          <w:color w:val="auto"/>
          <w:sz w:val="24"/>
          <w:lang w:val="en-US" w:eastAsia="zh-CN"/>
        </w:rPr>
        <w:t>164626.67</w:t>
      </w:r>
      <w:r>
        <w:rPr>
          <w:rFonts w:hint="eastAsia"/>
          <w:color w:val="auto"/>
          <w:sz w:val="24"/>
        </w:rPr>
        <w:t>平方米（</w:t>
      </w:r>
      <w:r>
        <w:rPr>
          <w:rFonts w:hint="eastAsia"/>
          <w:color w:val="auto"/>
          <w:sz w:val="24"/>
          <w:lang w:val="en-US" w:eastAsia="zh-CN"/>
        </w:rPr>
        <w:t>246.94</w:t>
      </w:r>
      <w:r>
        <w:rPr>
          <w:rFonts w:hint="eastAsia"/>
          <w:color w:val="auto"/>
          <w:sz w:val="24"/>
        </w:rPr>
        <w:t>亩），分为养殖区、环保设施区、</w:t>
      </w:r>
      <w:r>
        <w:rPr>
          <w:rFonts w:hint="eastAsia"/>
          <w:color w:val="auto"/>
          <w:sz w:val="24"/>
          <w:lang w:val="en-US" w:eastAsia="zh-CN"/>
        </w:rPr>
        <w:t>办公研究区</w:t>
      </w:r>
      <w:r>
        <w:rPr>
          <w:rFonts w:hint="eastAsia"/>
          <w:color w:val="auto"/>
          <w:sz w:val="24"/>
        </w:rPr>
        <w:t>三个功能区。其中养殖区</w:t>
      </w:r>
      <w:r>
        <w:rPr>
          <w:rFonts w:hint="eastAsia"/>
          <w:color w:val="auto"/>
          <w:sz w:val="24"/>
          <w:lang w:val="en-US" w:eastAsia="zh-CN"/>
        </w:rPr>
        <w:t>从北到南进行布置</w:t>
      </w:r>
      <w:r>
        <w:rPr>
          <w:rFonts w:hint="eastAsia"/>
          <w:color w:val="auto"/>
          <w:sz w:val="24"/>
        </w:rPr>
        <w:t>，环保设施区设置在</w:t>
      </w:r>
      <w:r>
        <w:rPr>
          <w:rFonts w:hint="eastAsia"/>
          <w:color w:val="auto"/>
          <w:sz w:val="24"/>
          <w:lang w:val="en-US" w:eastAsia="zh-CN"/>
        </w:rPr>
        <w:t>场地</w:t>
      </w:r>
      <w:r>
        <w:rPr>
          <w:rFonts w:hint="eastAsia"/>
          <w:color w:val="auto"/>
          <w:sz w:val="24"/>
        </w:rPr>
        <w:t>一</w:t>
      </w:r>
      <w:r>
        <w:rPr>
          <w:rFonts w:hint="eastAsia"/>
          <w:color w:val="auto"/>
          <w:sz w:val="24"/>
          <w:lang w:val="en-US" w:eastAsia="zh-CN"/>
        </w:rPr>
        <w:t>东侧</w:t>
      </w:r>
      <w:r>
        <w:rPr>
          <w:rFonts w:hint="eastAsia"/>
          <w:color w:val="auto"/>
          <w:sz w:val="24"/>
        </w:rPr>
        <w:t>，</w:t>
      </w:r>
      <w:r>
        <w:rPr>
          <w:rFonts w:hint="eastAsia"/>
          <w:color w:val="auto"/>
          <w:sz w:val="24"/>
          <w:lang w:val="en-US" w:eastAsia="zh-CN"/>
        </w:rPr>
        <w:t>办公研究区</w:t>
      </w:r>
      <w:r>
        <w:rPr>
          <w:rFonts w:hint="eastAsia"/>
          <w:color w:val="auto"/>
          <w:sz w:val="24"/>
        </w:rPr>
        <w:t>设置在</w:t>
      </w:r>
      <w:r>
        <w:rPr>
          <w:rFonts w:hint="eastAsia"/>
          <w:color w:val="auto"/>
          <w:sz w:val="24"/>
          <w:lang w:val="en-US" w:eastAsia="zh-CN"/>
        </w:rPr>
        <w:t>厂区西侧</w:t>
      </w:r>
      <w:r>
        <w:rPr>
          <w:rFonts w:hint="eastAsia"/>
          <w:color w:val="auto"/>
          <w:sz w:val="24"/>
        </w:rPr>
        <w:t>。</w:t>
      </w:r>
    </w:p>
    <w:p>
      <w:pPr>
        <w:adjustRightInd w:val="0"/>
        <w:snapToGrid w:val="0"/>
        <w:spacing w:line="360" w:lineRule="auto"/>
        <w:ind w:firstLine="480" w:firstLineChars="200"/>
        <w:rPr>
          <w:rFonts w:hint="eastAsia"/>
          <w:color w:val="auto"/>
          <w:sz w:val="24"/>
        </w:rPr>
      </w:pPr>
      <w:r>
        <w:rPr>
          <w:rFonts w:hint="eastAsia"/>
          <w:color w:val="auto"/>
          <w:sz w:val="24"/>
        </w:rPr>
        <w:t>项目总平面布置功能分区明确，各单元分区明确；总体布置能满足现代牛养殖工艺流程技术要求；各建构筑物依地形、地势、现状合理布局，综合利用的前提下大部分占地保持原有地貌，最大程度减少生态环境影响；场内道路、出入口、功能用房等均布局较合理。此外，项目所在区域风向以东</w:t>
      </w:r>
      <w:r>
        <w:rPr>
          <w:rFonts w:hint="eastAsia"/>
          <w:color w:val="auto"/>
          <w:sz w:val="24"/>
          <w:lang w:val="en-US" w:eastAsia="zh-CN"/>
        </w:rPr>
        <w:t>北</w:t>
      </w:r>
      <w:r>
        <w:rPr>
          <w:rFonts w:hint="eastAsia"/>
          <w:color w:val="auto"/>
          <w:sz w:val="24"/>
        </w:rPr>
        <w:t>风为主，养殖区、环保设施区设置在办公生活用房的侧风向。</w:t>
      </w:r>
    </w:p>
    <w:p>
      <w:pPr>
        <w:adjustRightInd w:val="0"/>
        <w:snapToGrid w:val="0"/>
        <w:spacing w:line="360" w:lineRule="auto"/>
        <w:ind w:firstLine="480" w:firstLineChars="200"/>
        <w:rPr>
          <w:color w:val="auto"/>
          <w:sz w:val="24"/>
        </w:rPr>
      </w:pPr>
      <w:r>
        <w:rPr>
          <w:rFonts w:hint="eastAsia"/>
          <w:color w:val="auto"/>
          <w:sz w:val="24"/>
        </w:rPr>
        <w:t>综上所述，项目总平面图布置图布局较合理，能满足《畜禽养殖业污染防治技术规范》（HJ/T81-2001）、《畜禽养殖业污染治理工程技术规范》（HJ497-2009）、《动物防疫条件审查办法》（农业部令2010年第7号）等相关要求。</w:t>
      </w:r>
    </w:p>
    <w:p>
      <w:pPr>
        <w:pStyle w:val="180"/>
        <w:rPr>
          <w:rFonts w:hint="default" w:ascii="Times New Roman" w:hAnsi="Times New Roman" w:cs="Times New Roman" w:eastAsiaTheme="majorEastAsia"/>
          <w:b/>
          <w:bCs w:val="0"/>
          <w:color w:val="auto"/>
          <w:sz w:val="24"/>
          <w:szCs w:val="24"/>
        </w:rPr>
      </w:pPr>
      <w:bookmarkStart w:id="182" w:name="_Toc369334618"/>
      <w:bookmarkStart w:id="183" w:name="_Toc369359665"/>
      <w:bookmarkStart w:id="184" w:name="_Toc369197780"/>
      <w:bookmarkStart w:id="185" w:name="_Toc15264"/>
      <w:bookmarkStart w:id="186" w:name="_Toc369334798"/>
      <w:bookmarkStart w:id="187" w:name="_Toc369191615"/>
      <w:r>
        <w:rPr>
          <w:rFonts w:hint="default" w:ascii="Times New Roman" w:hAnsi="Times New Roman" w:cs="Times New Roman" w:eastAsiaTheme="majorEastAsia"/>
          <w:b/>
          <w:bCs w:val="0"/>
          <w:color w:val="auto"/>
          <w:sz w:val="24"/>
          <w:szCs w:val="24"/>
        </w:rPr>
        <w:t>项目其它情况</w:t>
      </w:r>
      <w:bookmarkEnd w:id="182"/>
      <w:bookmarkEnd w:id="183"/>
      <w:bookmarkEnd w:id="184"/>
      <w:bookmarkEnd w:id="185"/>
      <w:bookmarkEnd w:id="186"/>
      <w:bookmarkEnd w:id="187"/>
    </w:p>
    <w:p>
      <w:pPr>
        <w:pStyle w:val="4"/>
        <w:spacing w:line="360" w:lineRule="auto"/>
        <w:ind w:firstLine="508"/>
        <w:jc w:val="both"/>
        <w:rPr>
          <w:rFonts w:ascii="Times New Roman"/>
          <w:color w:val="auto"/>
          <w:szCs w:val="24"/>
        </w:rPr>
      </w:pPr>
      <w:r>
        <w:rPr>
          <w:rFonts w:ascii="Times New Roman"/>
          <w:color w:val="auto"/>
          <w:szCs w:val="24"/>
        </w:rPr>
        <w:t>本项目年生产365天，采取倒班轮休制，每天</w:t>
      </w:r>
      <w:r>
        <w:rPr>
          <w:rFonts w:hint="eastAsia" w:ascii="Times New Roman"/>
          <w:color w:val="auto"/>
          <w:szCs w:val="24"/>
        </w:rPr>
        <w:t>2</w:t>
      </w:r>
      <w:r>
        <w:rPr>
          <w:rFonts w:ascii="Times New Roman"/>
          <w:color w:val="auto"/>
          <w:szCs w:val="24"/>
        </w:rPr>
        <w:t>班，每班</w:t>
      </w:r>
      <w:r>
        <w:rPr>
          <w:rFonts w:hint="eastAsia" w:ascii="Times New Roman"/>
          <w:color w:val="auto"/>
          <w:szCs w:val="24"/>
        </w:rPr>
        <w:t>12</w:t>
      </w:r>
      <w:r>
        <w:rPr>
          <w:rFonts w:ascii="Times New Roman"/>
          <w:color w:val="auto"/>
          <w:szCs w:val="24"/>
        </w:rPr>
        <w:t>h。</w:t>
      </w:r>
      <w:r>
        <w:rPr>
          <w:rFonts w:ascii="Times New Roman"/>
          <w:color w:val="auto"/>
        </w:rPr>
        <w:t>劳动定员为</w:t>
      </w:r>
      <w:r>
        <w:rPr>
          <w:rFonts w:hint="eastAsia" w:ascii="Times New Roman"/>
          <w:color w:val="auto"/>
          <w:lang w:val="en-US" w:eastAsia="zh-CN"/>
        </w:rPr>
        <w:t>20</w:t>
      </w:r>
      <w:r>
        <w:rPr>
          <w:rFonts w:ascii="Times New Roman"/>
          <w:color w:val="auto"/>
        </w:rPr>
        <w:t>人。</w:t>
      </w:r>
    </w:p>
    <w:p>
      <w:pPr>
        <w:pStyle w:val="180"/>
        <w:rPr>
          <w:rFonts w:hint="default" w:ascii="Times New Roman" w:hAnsi="Times New Roman" w:cs="Times New Roman" w:eastAsiaTheme="majorEastAsia"/>
          <w:b/>
          <w:bCs w:val="0"/>
          <w:color w:val="auto"/>
          <w:sz w:val="24"/>
          <w:szCs w:val="24"/>
        </w:rPr>
      </w:pPr>
      <w:bookmarkStart w:id="188" w:name="_Toc369191616"/>
      <w:bookmarkStart w:id="189" w:name="_Toc18666"/>
      <w:bookmarkStart w:id="190" w:name="_Toc369197781"/>
      <w:bookmarkStart w:id="191" w:name="_Toc369334799"/>
      <w:bookmarkStart w:id="192" w:name="_Toc369359666"/>
      <w:bookmarkStart w:id="193" w:name="_Toc369334619"/>
      <w:r>
        <w:rPr>
          <w:rFonts w:hint="default" w:ascii="Times New Roman" w:hAnsi="Times New Roman" w:cs="Times New Roman" w:eastAsiaTheme="majorEastAsia"/>
          <w:b/>
          <w:bCs w:val="0"/>
          <w:color w:val="auto"/>
          <w:sz w:val="24"/>
          <w:szCs w:val="24"/>
        </w:rPr>
        <w:t>主要生产设备</w:t>
      </w:r>
      <w:bookmarkEnd w:id="188"/>
      <w:bookmarkEnd w:id="189"/>
      <w:bookmarkEnd w:id="190"/>
      <w:bookmarkEnd w:id="191"/>
      <w:bookmarkEnd w:id="192"/>
      <w:bookmarkEnd w:id="193"/>
    </w:p>
    <w:p>
      <w:pPr>
        <w:pStyle w:val="4"/>
        <w:spacing w:line="360" w:lineRule="auto"/>
        <w:ind w:firstLine="508"/>
        <w:jc w:val="both"/>
        <w:rPr>
          <w:rFonts w:ascii="Times New Roman"/>
          <w:color w:val="auto"/>
          <w:szCs w:val="24"/>
        </w:rPr>
      </w:pPr>
      <w:r>
        <w:rPr>
          <w:rFonts w:ascii="Times New Roman"/>
          <w:color w:val="auto"/>
          <w:szCs w:val="24"/>
        </w:rPr>
        <w:t>本项目主要工艺设备见表</w:t>
      </w:r>
      <w:r>
        <w:rPr>
          <w:rFonts w:hint="eastAsia" w:ascii="Times New Roman"/>
          <w:color w:val="auto"/>
          <w:szCs w:val="24"/>
          <w:lang w:val="en-US" w:eastAsia="zh-CN"/>
        </w:rPr>
        <w:t>3</w:t>
      </w:r>
      <w:r>
        <w:rPr>
          <w:rFonts w:hint="eastAsia" w:ascii="Times New Roman"/>
          <w:color w:val="auto"/>
          <w:szCs w:val="24"/>
        </w:rPr>
        <w:t>.1</w:t>
      </w:r>
      <w:r>
        <w:rPr>
          <w:rFonts w:ascii="Times New Roman"/>
          <w:color w:val="auto"/>
          <w:szCs w:val="24"/>
        </w:rPr>
        <w:t>-</w:t>
      </w:r>
      <w:r>
        <w:rPr>
          <w:rFonts w:hint="eastAsia" w:ascii="Times New Roman"/>
          <w:color w:val="auto"/>
          <w:szCs w:val="24"/>
          <w:lang w:val="en-US" w:eastAsia="zh-CN"/>
        </w:rPr>
        <w:t>2</w:t>
      </w:r>
      <w:r>
        <w:rPr>
          <w:rFonts w:ascii="Times New Roman"/>
          <w:color w:val="auto"/>
          <w:szCs w:val="24"/>
        </w:rPr>
        <w:t>。</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3</w:t>
      </w:r>
      <w:r>
        <w:rPr>
          <w:rFonts w:hint="eastAsia" w:eastAsia="黑体"/>
          <w:color w:val="auto"/>
        </w:rPr>
        <w:t>.1</w:t>
      </w:r>
      <w:r>
        <w:rPr>
          <w:rFonts w:eastAsia="黑体"/>
          <w:color w:val="auto"/>
        </w:rPr>
        <w:t>-</w:t>
      </w:r>
      <w:r>
        <w:rPr>
          <w:rFonts w:hint="eastAsia" w:eastAsia="黑体"/>
          <w:color w:val="auto"/>
          <w:lang w:val="en-US" w:eastAsia="zh-CN"/>
        </w:rPr>
        <w:t>2</w:t>
      </w:r>
      <w:r>
        <w:rPr>
          <w:rFonts w:eastAsia="黑体"/>
          <w:color w:val="auto"/>
        </w:rPr>
        <w:t xml:space="preserve">  本项目主要生产设备</w:t>
      </w:r>
    </w:p>
    <w:tbl>
      <w:tblPr>
        <w:tblStyle w:val="89"/>
        <w:tblW w:w="905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2"/>
        <w:gridCol w:w="3657"/>
        <w:gridCol w:w="3174"/>
        <w:gridCol w:w="11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9" w:hRule="atLeast"/>
        </w:trPr>
        <w:tc>
          <w:tcPr>
            <w:tcW w:w="111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color w:val="auto"/>
                <w:szCs w:val="21"/>
              </w:rPr>
              <w:t>序号</w:t>
            </w:r>
          </w:p>
        </w:tc>
        <w:tc>
          <w:tcPr>
            <w:tcW w:w="3657"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color w:val="auto"/>
                <w:szCs w:val="21"/>
              </w:rPr>
              <w:t>设备名称</w:t>
            </w:r>
          </w:p>
        </w:tc>
        <w:tc>
          <w:tcPr>
            <w:tcW w:w="3174"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color w:val="auto"/>
                <w:szCs w:val="21"/>
              </w:rPr>
              <w:t>数量</w:t>
            </w:r>
          </w:p>
        </w:tc>
        <w:tc>
          <w:tcPr>
            <w:tcW w:w="1115"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trPr>
        <w:tc>
          <w:tcPr>
            <w:tcW w:w="0" w:type="auto"/>
            <w:tcBorders>
              <w:bottom w:val="single" w:color="auto" w:sz="4" w:space="0"/>
            </w:tcBorders>
            <w:vAlign w:val="center"/>
          </w:tcPr>
          <w:p>
            <w:pPr>
              <w:keepNext w:val="0"/>
              <w:keepLines w:val="0"/>
              <w:suppressLineNumbers w:val="0"/>
              <w:snapToGrid w:val="0"/>
              <w:spacing w:before="0" w:beforeAutospacing="0" w:after="0" w:afterAutospacing="0" w:line="220" w:lineRule="atLeast"/>
              <w:ind w:left="0" w:right="0"/>
              <w:jc w:val="center"/>
              <w:rPr>
                <w:rFonts w:hint="default" w:ascii="Times New Roman" w:hAnsi="Times New Roman" w:eastAsia="宋体" w:cs="Times New Roman"/>
                <w:color w:val="auto"/>
                <w:kern w:val="2"/>
                <w:sz w:val="21"/>
                <w:szCs w:val="21"/>
                <w:lang w:val="en-US" w:eastAsia="zh-CN" w:bidi="ar-SA"/>
              </w:rPr>
            </w:pPr>
            <w:bookmarkStart w:id="194" w:name="_Toc27317"/>
            <w:bookmarkStart w:id="195" w:name="_Toc25299"/>
            <w:r>
              <w:rPr>
                <w:rFonts w:hint="default"/>
                <w:color w:val="auto"/>
                <w:szCs w:val="21"/>
              </w:rPr>
              <w:t>1</w:t>
            </w:r>
          </w:p>
        </w:tc>
        <w:tc>
          <w:tcPr>
            <w:tcW w:w="3657" w:type="dxa"/>
            <w:tcBorders>
              <w:bottom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rPr>
              <w:t>饲草喂料车</w:t>
            </w:r>
          </w:p>
        </w:tc>
        <w:tc>
          <w:tcPr>
            <w:tcW w:w="3174" w:type="dxa"/>
            <w:tcBorders>
              <w:bottom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eastAsia="zh-CN"/>
              </w:rPr>
            </w:pPr>
            <w:r>
              <w:rPr>
                <w:rFonts w:hint="default" w:cs="Times New Roman"/>
                <w:color w:val="auto"/>
                <w:sz w:val="21"/>
                <w:szCs w:val="21"/>
              </w:rPr>
              <w:t>辆</w:t>
            </w:r>
          </w:p>
        </w:tc>
        <w:tc>
          <w:tcPr>
            <w:tcW w:w="1115" w:type="dxa"/>
            <w:tcBorders>
              <w:bottom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eastAsia="zh-CN"/>
              </w:rPr>
            </w:pPr>
            <w:r>
              <w:rPr>
                <w:rFonts w:hint="eastAsia"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0" w:type="auto"/>
            <w:tcBorders>
              <w:top w:val="single" w:color="auto" w:sz="4" w:space="0"/>
            </w:tcBorders>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2</w:t>
            </w:r>
          </w:p>
        </w:tc>
        <w:tc>
          <w:tcPr>
            <w:tcW w:w="3657" w:type="dxa"/>
            <w:tcBorders>
              <w:top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推料车</w:t>
            </w:r>
          </w:p>
        </w:tc>
        <w:tc>
          <w:tcPr>
            <w:tcW w:w="3174" w:type="dxa"/>
            <w:tcBorders>
              <w:top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default" w:cs="Times New Roman"/>
                <w:color w:val="auto"/>
                <w:sz w:val="21"/>
                <w:szCs w:val="21"/>
              </w:rPr>
              <w:t>辆</w:t>
            </w:r>
          </w:p>
        </w:tc>
        <w:tc>
          <w:tcPr>
            <w:tcW w:w="1115" w:type="dxa"/>
            <w:tcBorders>
              <w:top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0" w:type="auto"/>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3</w:t>
            </w:r>
          </w:p>
        </w:tc>
        <w:tc>
          <w:tcPr>
            <w:tcW w:w="365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rPr>
              <w:t>饲料机组</w:t>
            </w:r>
          </w:p>
        </w:tc>
        <w:tc>
          <w:tcPr>
            <w:tcW w:w="317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eastAsia="zh-CN"/>
              </w:rPr>
            </w:pPr>
            <w:r>
              <w:rPr>
                <w:rFonts w:hint="default" w:cs="Times New Roman"/>
                <w:color w:val="auto"/>
                <w:sz w:val="21"/>
                <w:szCs w:val="21"/>
              </w:rPr>
              <w:t>套</w:t>
            </w:r>
          </w:p>
        </w:tc>
        <w:tc>
          <w:tcPr>
            <w:tcW w:w="111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eastAsia="zh-CN"/>
              </w:rPr>
            </w:pPr>
            <w:r>
              <w:rPr>
                <w:rFonts w:hint="eastAsia"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0" w:type="auto"/>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4</w:t>
            </w:r>
          </w:p>
        </w:tc>
        <w:tc>
          <w:tcPr>
            <w:tcW w:w="365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rPr>
              <w:t>铡草机</w:t>
            </w:r>
          </w:p>
        </w:tc>
        <w:tc>
          <w:tcPr>
            <w:tcW w:w="317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eastAsia="zh-CN"/>
              </w:rPr>
            </w:pPr>
            <w:r>
              <w:rPr>
                <w:rFonts w:hint="default" w:cs="Times New Roman"/>
                <w:color w:val="auto"/>
                <w:sz w:val="21"/>
                <w:szCs w:val="21"/>
              </w:rPr>
              <w:t>台</w:t>
            </w:r>
          </w:p>
        </w:tc>
        <w:tc>
          <w:tcPr>
            <w:tcW w:w="111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0" w:type="auto"/>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5</w:t>
            </w:r>
          </w:p>
        </w:tc>
        <w:tc>
          <w:tcPr>
            <w:tcW w:w="365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cs="Times New Roman"/>
                <w:color w:val="auto"/>
                <w:sz w:val="21"/>
                <w:szCs w:val="21"/>
              </w:rPr>
              <w:t>牧草打捆机</w:t>
            </w:r>
          </w:p>
        </w:tc>
        <w:tc>
          <w:tcPr>
            <w:tcW w:w="317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eastAsia="zh-CN"/>
              </w:rPr>
            </w:pPr>
            <w:r>
              <w:rPr>
                <w:rFonts w:hint="default" w:cs="Times New Roman"/>
                <w:color w:val="auto"/>
                <w:sz w:val="21"/>
                <w:szCs w:val="21"/>
              </w:rPr>
              <w:t>台</w:t>
            </w:r>
          </w:p>
        </w:tc>
        <w:tc>
          <w:tcPr>
            <w:tcW w:w="111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eastAsia="zh-CN"/>
              </w:rPr>
            </w:pPr>
            <w:r>
              <w:rPr>
                <w:rFonts w:hint="eastAsia" w:cs="Times New Roman"/>
                <w:color w:val="auto"/>
                <w:sz w:val="21"/>
                <w:szCs w:val="21"/>
                <w:lang w:val="en-US" w:eastAsia="zh-CN"/>
              </w:rPr>
              <w:t>4</w:t>
            </w:r>
          </w:p>
        </w:tc>
      </w:tr>
    </w:tbl>
    <w:p>
      <w:pPr>
        <w:pStyle w:val="180"/>
        <w:rPr>
          <w:rFonts w:hint="default" w:ascii="Times New Roman" w:hAnsi="Times New Roman" w:cs="Times New Roman" w:eastAsiaTheme="majorEastAsia"/>
          <w:b/>
          <w:bCs w:val="0"/>
          <w:color w:val="auto"/>
          <w:sz w:val="24"/>
          <w:szCs w:val="24"/>
        </w:rPr>
      </w:pPr>
      <w:bookmarkStart w:id="196" w:name="_Toc14153"/>
      <w:r>
        <w:rPr>
          <w:rFonts w:hint="default" w:ascii="Times New Roman" w:hAnsi="Times New Roman" w:cs="Times New Roman" w:eastAsiaTheme="majorEastAsia"/>
          <w:b/>
          <w:bCs w:val="0"/>
          <w:color w:val="auto"/>
          <w:sz w:val="24"/>
          <w:szCs w:val="24"/>
        </w:rPr>
        <w:t>暖通</w:t>
      </w:r>
      <w:bookmarkEnd w:id="196"/>
    </w:p>
    <w:p>
      <w:pPr>
        <w:spacing w:line="360" w:lineRule="auto"/>
        <w:ind w:firstLine="480" w:firstLineChars="200"/>
        <w:rPr>
          <w:bCs/>
          <w:color w:val="auto"/>
          <w:sz w:val="24"/>
        </w:rPr>
      </w:pPr>
      <w:r>
        <w:rPr>
          <w:bCs/>
          <w:color w:val="auto"/>
          <w:sz w:val="24"/>
        </w:rPr>
        <w:t>1、保温</w:t>
      </w:r>
    </w:p>
    <w:p>
      <w:pPr>
        <w:spacing w:line="360" w:lineRule="auto"/>
        <w:ind w:firstLine="480" w:firstLineChars="200"/>
        <w:rPr>
          <w:bCs/>
          <w:color w:val="auto"/>
          <w:sz w:val="24"/>
        </w:rPr>
      </w:pPr>
      <w:r>
        <w:rPr>
          <w:bCs/>
          <w:color w:val="auto"/>
          <w:sz w:val="24"/>
        </w:rPr>
        <w:t>冬季各圈舍供热采用辐射式电采暖设备供热。该辐射式电采暖设备供热原理为模拟太阳热辐射直接对</w:t>
      </w:r>
      <w:r>
        <w:rPr>
          <w:rFonts w:hint="eastAsia"/>
          <w:bCs/>
          <w:color w:val="auto"/>
          <w:sz w:val="24"/>
          <w:lang w:eastAsia="zh-CN"/>
        </w:rPr>
        <w:t>牛</w:t>
      </w:r>
      <w:r>
        <w:rPr>
          <w:bCs/>
          <w:color w:val="auto"/>
          <w:sz w:val="24"/>
        </w:rPr>
        <w:t>舍的地面、</w:t>
      </w:r>
      <w:r>
        <w:rPr>
          <w:rFonts w:hint="eastAsia"/>
          <w:bCs/>
          <w:color w:val="auto"/>
          <w:sz w:val="24"/>
          <w:lang w:eastAsia="zh-CN"/>
        </w:rPr>
        <w:t>牛</w:t>
      </w:r>
      <w:r>
        <w:rPr>
          <w:bCs/>
          <w:color w:val="auto"/>
          <w:sz w:val="24"/>
        </w:rPr>
        <w:t>体供热，不存在传统的热水散热器、燃气取暖设备供热设施产生空气对流的问题，供热均衡稳定。</w:t>
      </w:r>
    </w:p>
    <w:p>
      <w:pPr>
        <w:spacing w:line="360" w:lineRule="auto"/>
        <w:ind w:firstLine="480" w:firstLineChars="200"/>
        <w:rPr>
          <w:bCs/>
          <w:color w:val="auto"/>
          <w:sz w:val="24"/>
        </w:rPr>
      </w:pPr>
      <w:r>
        <w:rPr>
          <w:bCs/>
          <w:color w:val="auto"/>
          <w:sz w:val="24"/>
        </w:rPr>
        <w:t>2、夏季降温</w:t>
      </w:r>
    </w:p>
    <w:p>
      <w:pPr>
        <w:spacing w:line="360" w:lineRule="auto"/>
        <w:ind w:firstLine="480" w:firstLineChars="200"/>
        <w:rPr>
          <w:bCs/>
          <w:color w:val="auto"/>
          <w:sz w:val="24"/>
        </w:rPr>
      </w:pPr>
      <w:r>
        <w:rPr>
          <w:bCs/>
          <w:color w:val="auto"/>
          <w:sz w:val="24"/>
        </w:rPr>
        <w:t>本项目</w:t>
      </w:r>
      <w:r>
        <w:rPr>
          <w:rFonts w:hint="eastAsia"/>
          <w:bCs/>
          <w:color w:val="auto"/>
          <w:sz w:val="24"/>
          <w:lang w:eastAsia="zh-CN"/>
        </w:rPr>
        <w:t>牛</w:t>
      </w:r>
      <w:r>
        <w:rPr>
          <w:bCs/>
          <w:color w:val="auto"/>
          <w:sz w:val="24"/>
        </w:rPr>
        <w:t>舍采用水帘风机降温。</w:t>
      </w:r>
    </w:p>
    <w:p>
      <w:pPr>
        <w:spacing w:line="360" w:lineRule="auto"/>
        <w:ind w:firstLine="480" w:firstLineChars="200"/>
        <w:rPr>
          <w:bCs/>
          <w:color w:val="auto"/>
          <w:sz w:val="24"/>
        </w:rPr>
      </w:pPr>
      <w:r>
        <w:rPr>
          <w:bCs/>
          <w:color w:val="auto"/>
          <w:sz w:val="24"/>
        </w:rPr>
        <w:t>水帘风机降温系统的所有的温控全部由电脑程序自动控制，包括空气过滤、风机开启、地辅热启动，自动湿度调节等，该系统旨在给生</w:t>
      </w:r>
      <w:r>
        <w:rPr>
          <w:rFonts w:hint="eastAsia"/>
          <w:bCs/>
          <w:color w:val="auto"/>
          <w:sz w:val="24"/>
          <w:lang w:eastAsia="zh-CN"/>
        </w:rPr>
        <w:t>牛</w:t>
      </w:r>
      <w:r>
        <w:rPr>
          <w:bCs/>
          <w:color w:val="auto"/>
          <w:sz w:val="24"/>
        </w:rPr>
        <w:t>提供一个温度适宜、湿度适中的饲养环境。</w:t>
      </w:r>
    </w:p>
    <w:p>
      <w:pPr>
        <w:pStyle w:val="6"/>
        <w:keepNext/>
        <w:keepLines/>
        <w:pageBreakBefore w:val="0"/>
        <w:widowControl w:val="0"/>
        <w:kinsoku/>
        <w:wordWrap/>
        <w:overflowPunct/>
        <w:topLinePunct w:val="0"/>
        <w:autoSpaceDE/>
        <w:autoSpaceDN/>
        <w:bidi w:val="0"/>
        <w:adjustRightInd/>
        <w:snapToGrid/>
        <w:spacing w:before="0" w:beforeLines="50" w:after="0" w:line="360" w:lineRule="auto"/>
        <w:textAlignment w:val="auto"/>
        <w:rPr>
          <w:rFonts w:ascii="Times New Roman" w:hAnsi="Times New Roman" w:cs="Times New Roman" w:eastAsiaTheme="majorEastAsia"/>
          <w:bCs/>
          <w:color w:val="auto"/>
          <w:kern w:val="2"/>
          <w:szCs w:val="32"/>
          <w:lang w:val="en-US" w:eastAsia="zh-CN"/>
        </w:rPr>
      </w:pPr>
      <w:bookmarkStart w:id="197" w:name="_Toc31270"/>
      <w:r>
        <w:rPr>
          <w:rFonts w:ascii="Times New Roman" w:hAnsi="Times New Roman" w:cs="Times New Roman" w:eastAsiaTheme="majorEastAsia"/>
          <w:bCs/>
          <w:color w:val="auto"/>
          <w:kern w:val="2"/>
          <w:szCs w:val="32"/>
          <w:lang w:val="en-US" w:eastAsia="zh-CN"/>
        </w:rPr>
        <w:t>生产工艺</w:t>
      </w:r>
      <w:bookmarkEnd w:id="194"/>
      <w:bookmarkEnd w:id="195"/>
      <w:bookmarkEnd w:id="197"/>
    </w:p>
    <w:p>
      <w:pPr>
        <w:pStyle w:val="180"/>
        <w:rPr>
          <w:rFonts w:hint="default" w:ascii="Times New Roman" w:hAnsi="Times New Roman" w:cs="Times New Roman" w:eastAsiaTheme="majorEastAsia"/>
          <w:b/>
          <w:bCs w:val="0"/>
          <w:color w:val="auto"/>
          <w:sz w:val="24"/>
          <w:szCs w:val="24"/>
        </w:rPr>
      </w:pPr>
      <w:bookmarkStart w:id="198" w:name="_Toc21904"/>
      <w:r>
        <w:rPr>
          <w:rFonts w:hint="default" w:ascii="Times New Roman" w:hAnsi="Times New Roman" w:cs="Times New Roman" w:eastAsiaTheme="majorEastAsia"/>
          <w:b/>
          <w:bCs w:val="0"/>
          <w:color w:val="auto"/>
          <w:sz w:val="24"/>
          <w:szCs w:val="24"/>
        </w:rPr>
        <w:t>施工期工艺</w:t>
      </w:r>
      <w:bookmarkEnd w:id="198"/>
    </w:p>
    <w:p>
      <w:pPr>
        <w:pStyle w:val="4"/>
        <w:spacing w:line="360" w:lineRule="auto"/>
        <w:ind w:firstLine="508"/>
        <w:rPr>
          <w:rFonts w:ascii="Times New Roman"/>
          <w:b/>
          <w:color w:val="auto"/>
        </w:rPr>
      </w:pPr>
      <w:r>
        <w:rPr>
          <w:rFonts w:ascii="Times New Roman"/>
          <w:b/>
          <w:color w:val="auto"/>
        </w:rPr>
        <w:t>1、工艺流程</w:t>
      </w:r>
    </w:p>
    <w:p>
      <w:pPr>
        <w:pStyle w:val="4"/>
        <w:spacing w:line="360" w:lineRule="auto"/>
        <w:ind w:firstLine="508"/>
        <w:rPr>
          <w:rFonts w:ascii="Times New Roman"/>
          <w:color w:val="auto"/>
        </w:rPr>
      </w:pPr>
      <w:r>
        <w:rPr>
          <w:rFonts w:ascii="Times New Roman"/>
          <w:color w:val="auto"/>
        </w:rPr>
        <w:t>本项目施工期主要包括基础工程、主体工程、装饰工程、工程验收等，具体工艺流程及产污环节见图</w:t>
      </w:r>
      <w:r>
        <w:rPr>
          <w:rFonts w:hint="eastAsia" w:ascii="Times New Roman"/>
          <w:color w:val="auto"/>
          <w:lang w:val="en-US" w:eastAsia="zh-CN"/>
        </w:rPr>
        <w:t>3</w:t>
      </w:r>
      <w:r>
        <w:rPr>
          <w:rFonts w:hint="eastAsia" w:ascii="Times New Roman"/>
          <w:color w:val="auto"/>
        </w:rPr>
        <w:t>.2</w:t>
      </w:r>
      <w:r>
        <w:rPr>
          <w:rFonts w:ascii="Times New Roman"/>
          <w:color w:val="auto"/>
        </w:rPr>
        <w:t>-1。</w:t>
      </w:r>
    </w:p>
    <w:p>
      <w:pPr>
        <w:pStyle w:val="4"/>
        <w:spacing w:line="360" w:lineRule="auto"/>
        <w:jc w:val="center"/>
        <w:rPr>
          <w:rFonts w:ascii="Times New Roman"/>
          <w:color w:val="auto"/>
        </w:rPr>
      </w:pPr>
      <w:r>
        <w:rPr>
          <w:rFonts w:ascii="Times New Roman"/>
          <w:color w:val="auto"/>
        </w:rPr>
        <w:drawing>
          <wp:inline distT="0" distB="0" distL="114300" distR="114300">
            <wp:extent cx="4754880" cy="1701800"/>
            <wp:effectExtent l="0" t="0" r="7620" b="12700"/>
            <wp:docPr id="2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
                    <pic:cNvPicPr>
                      <a:picLocks noChangeAspect="1"/>
                    </pic:cNvPicPr>
                  </pic:nvPicPr>
                  <pic:blipFill>
                    <a:blip r:embed="rId24"/>
                    <a:stretch>
                      <a:fillRect/>
                    </a:stretch>
                  </pic:blipFill>
                  <pic:spPr>
                    <a:xfrm>
                      <a:off x="0" y="0"/>
                      <a:ext cx="4754880" cy="1701800"/>
                    </a:xfrm>
                    <a:prstGeom prst="rect">
                      <a:avLst/>
                    </a:prstGeom>
                    <a:noFill/>
                    <a:ln>
                      <a:noFill/>
                    </a:ln>
                  </pic:spPr>
                </pic:pic>
              </a:graphicData>
            </a:graphic>
          </wp:inline>
        </w:drawing>
      </w:r>
    </w:p>
    <w:p>
      <w:pPr>
        <w:pStyle w:val="4"/>
        <w:spacing w:line="360" w:lineRule="auto"/>
        <w:ind w:firstLine="508"/>
        <w:jc w:val="center"/>
        <w:rPr>
          <w:rFonts w:ascii="Times New Roman"/>
          <w:b/>
          <w:color w:val="auto"/>
          <w:sz w:val="21"/>
          <w:szCs w:val="21"/>
        </w:rPr>
      </w:pPr>
      <w:r>
        <w:rPr>
          <w:rFonts w:ascii="Times New Roman"/>
          <w:b/>
          <w:color w:val="auto"/>
          <w:sz w:val="21"/>
          <w:szCs w:val="21"/>
        </w:rPr>
        <w:t xml:space="preserve">图 </w:t>
      </w:r>
      <w:r>
        <w:rPr>
          <w:rFonts w:hint="eastAsia" w:ascii="Times New Roman"/>
          <w:b/>
          <w:color w:val="auto"/>
          <w:sz w:val="21"/>
          <w:szCs w:val="21"/>
          <w:lang w:val="en-US" w:eastAsia="zh-CN"/>
        </w:rPr>
        <w:t>3</w:t>
      </w:r>
      <w:r>
        <w:rPr>
          <w:rFonts w:hint="eastAsia" w:ascii="Times New Roman"/>
          <w:b/>
          <w:color w:val="auto"/>
          <w:sz w:val="21"/>
          <w:szCs w:val="21"/>
        </w:rPr>
        <w:t>.2</w:t>
      </w:r>
      <w:r>
        <w:rPr>
          <w:rFonts w:ascii="Times New Roman"/>
          <w:b/>
          <w:color w:val="auto"/>
          <w:sz w:val="21"/>
          <w:szCs w:val="21"/>
        </w:rPr>
        <w:t>-1 施工期工艺流程及产污位置示意图</w:t>
      </w:r>
    </w:p>
    <w:p>
      <w:pPr>
        <w:pStyle w:val="4"/>
        <w:spacing w:line="360" w:lineRule="auto"/>
        <w:ind w:firstLine="508"/>
        <w:rPr>
          <w:rFonts w:ascii="Times New Roman"/>
          <w:b/>
          <w:color w:val="auto"/>
        </w:rPr>
      </w:pPr>
      <w:r>
        <w:rPr>
          <w:rFonts w:ascii="Times New Roman"/>
          <w:b/>
          <w:color w:val="auto"/>
        </w:rPr>
        <w:t>2、主要污染工序</w:t>
      </w:r>
    </w:p>
    <w:p>
      <w:pPr>
        <w:pStyle w:val="4"/>
        <w:spacing w:line="360" w:lineRule="auto"/>
        <w:ind w:firstLine="508"/>
        <w:rPr>
          <w:rFonts w:ascii="Times New Roman"/>
          <w:color w:val="auto"/>
        </w:rPr>
      </w:pPr>
      <w:r>
        <w:rPr>
          <w:rFonts w:ascii="Times New Roman"/>
          <w:color w:val="auto"/>
        </w:rPr>
        <w:t>施工期污染因素主要为</w:t>
      </w:r>
      <w:r>
        <w:rPr>
          <w:rFonts w:hint="eastAsia"/>
          <w:color w:val="auto"/>
          <w:sz w:val="24"/>
        </w:rPr>
        <w:t>养殖区、环保设施区、</w:t>
      </w:r>
      <w:r>
        <w:rPr>
          <w:rFonts w:hint="eastAsia"/>
          <w:color w:val="auto"/>
          <w:sz w:val="24"/>
          <w:lang w:val="en-US" w:eastAsia="zh-CN"/>
        </w:rPr>
        <w:t>办公研究区</w:t>
      </w:r>
      <w:r>
        <w:rPr>
          <w:rFonts w:ascii="Times New Roman"/>
          <w:color w:val="auto"/>
        </w:rPr>
        <w:t>等建筑的修建产生建筑废渣、噪声、扬尘、施工人员的生活废水。</w:t>
      </w:r>
    </w:p>
    <w:p>
      <w:pPr>
        <w:pStyle w:val="4"/>
        <w:spacing w:line="360" w:lineRule="auto"/>
        <w:ind w:firstLine="508"/>
        <w:rPr>
          <w:rFonts w:ascii="Times New Roman"/>
          <w:color w:val="auto"/>
        </w:rPr>
      </w:pPr>
      <w:r>
        <w:rPr>
          <w:rFonts w:ascii="Times New Roman"/>
          <w:b/>
          <w:color w:val="auto"/>
        </w:rPr>
        <w:t>（1）废气：</w:t>
      </w:r>
      <w:r>
        <w:rPr>
          <w:rFonts w:ascii="Times New Roman"/>
          <w:color w:val="auto"/>
        </w:rPr>
        <w:t>各类燃油动力机械施工作业时会排出各类燃油废气，排放的主要污染物为CO、NO</w:t>
      </w:r>
      <w:r>
        <w:rPr>
          <w:rFonts w:ascii="Times New Roman"/>
          <w:color w:val="auto"/>
          <w:vertAlign w:val="subscript"/>
        </w:rPr>
        <w:t>X</w:t>
      </w:r>
      <w:r>
        <w:rPr>
          <w:rFonts w:ascii="Times New Roman"/>
          <w:color w:val="auto"/>
        </w:rPr>
        <w:t>、SO</w:t>
      </w:r>
      <w:r>
        <w:rPr>
          <w:rFonts w:ascii="Times New Roman"/>
          <w:color w:val="auto"/>
          <w:vertAlign w:val="subscript"/>
        </w:rPr>
        <w:t>2</w:t>
      </w:r>
      <w:r>
        <w:rPr>
          <w:rFonts w:ascii="Times New Roman"/>
          <w:color w:val="auto"/>
        </w:rPr>
        <w:t>、烟尘。土石方装卸、运输时产生的扬尘，排放的主要污染物为TSP。</w:t>
      </w:r>
    </w:p>
    <w:p>
      <w:pPr>
        <w:pStyle w:val="4"/>
        <w:spacing w:line="360" w:lineRule="auto"/>
        <w:ind w:firstLine="508"/>
        <w:rPr>
          <w:rFonts w:ascii="Times New Roman"/>
          <w:color w:val="auto"/>
        </w:rPr>
      </w:pPr>
      <w:r>
        <w:rPr>
          <w:rFonts w:ascii="Times New Roman"/>
          <w:b/>
          <w:color w:val="auto"/>
        </w:rPr>
        <w:t>（2）废水：</w:t>
      </w:r>
      <w:r>
        <w:rPr>
          <w:rFonts w:ascii="Times New Roman"/>
          <w:color w:val="auto"/>
        </w:rPr>
        <w:t>施工人员产生的生活废水，主要污染物为BOD</w:t>
      </w:r>
      <w:r>
        <w:rPr>
          <w:rFonts w:ascii="Times New Roman"/>
          <w:color w:val="auto"/>
          <w:vertAlign w:val="subscript"/>
        </w:rPr>
        <w:t>5</w:t>
      </w:r>
      <w:r>
        <w:rPr>
          <w:rFonts w:ascii="Times New Roman"/>
          <w:color w:val="auto"/>
        </w:rPr>
        <w:t>、COD</w:t>
      </w:r>
      <w:r>
        <w:rPr>
          <w:rFonts w:ascii="Times New Roman"/>
          <w:color w:val="auto"/>
          <w:vertAlign w:val="subscript"/>
        </w:rPr>
        <w:t>cr</w:t>
      </w:r>
      <w:r>
        <w:rPr>
          <w:rFonts w:ascii="Times New Roman"/>
          <w:color w:val="auto"/>
        </w:rPr>
        <w:t>、氨氮、SS。生产废水主要为施工设备及车辆冲洗水，主要污染物为SS。</w:t>
      </w:r>
    </w:p>
    <w:p>
      <w:pPr>
        <w:pStyle w:val="4"/>
        <w:spacing w:line="360" w:lineRule="auto"/>
        <w:ind w:firstLine="508"/>
        <w:rPr>
          <w:rFonts w:ascii="Times New Roman"/>
          <w:color w:val="auto"/>
        </w:rPr>
      </w:pPr>
      <w:r>
        <w:rPr>
          <w:rFonts w:ascii="Times New Roman"/>
          <w:b/>
          <w:color w:val="auto"/>
        </w:rPr>
        <w:t>（3）噪声：</w:t>
      </w:r>
      <w:r>
        <w:rPr>
          <w:rFonts w:ascii="Times New Roman"/>
          <w:color w:val="auto"/>
        </w:rPr>
        <w:t>各类施工机械和运输车辆等施工作业时产生设备噪声。</w:t>
      </w:r>
    </w:p>
    <w:p>
      <w:pPr>
        <w:pStyle w:val="4"/>
        <w:spacing w:line="360" w:lineRule="auto"/>
        <w:ind w:firstLine="508"/>
        <w:jc w:val="both"/>
        <w:rPr>
          <w:rFonts w:ascii="Times New Roman"/>
          <w:color w:val="auto"/>
        </w:rPr>
      </w:pPr>
      <w:r>
        <w:rPr>
          <w:rFonts w:ascii="Times New Roman"/>
          <w:b/>
          <w:color w:val="auto"/>
        </w:rPr>
        <w:t>（4）固废：</w:t>
      </w:r>
      <w:r>
        <w:rPr>
          <w:rFonts w:ascii="Times New Roman"/>
          <w:color w:val="auto"/>
        </w:rPr>
        <w:t>基础工程施工时产生挖掘的土方、建筑垃圾和施工人员生活垃圾等。</w:t>
      </w:r>
    </w:p>
    <w:p>
      <w:pPr>
        <w:pStyle w:val="180"/>
        <w:rPr>
          <w:rFonts w:hint="default" w:ascii="Times New Roman" w:hAnsi="Times New Roman" w:cs="Times New Roman" w:eastAsiaTheme="majorEastAsia"/>
          <w:b/>
          <w:bCs w:val="0"/>
          <w:color w:val="auto"/>
          <w:sz w:val="24"/>
          <w:szCs w:val="24"/>
        </w:rPr>
      </w:pPr>
      <w:bookmarkStart w:id="199" w:name="_Toc11650"/>
      <w:r>
        <w:rPr>
          <w:rFonts w:hint="default" w:ascii="Times New Roman" w:hAnsi="Times New Roman" w:cs="Times New Roman" w:eastAsiaTheme="majorEastAsia"/>
          <w:b/>
          <w:bCs w:val="0"/>
          <w:color w:val="auto"/>
          <w:sz w:val="24"/>
          <w:szCs w:val="24"/>
        </w:rPr>
        <w:t>营运期生产工艺</w:t>
      </w:r>
      <w:bookmarkEnd w:id="199"/>
    </w:p>
    <w:p>
      <w:pPr>
        <w:pStyle w:val="4"/>
        <w:spacing w:line="360" w:lineRule="auto"/>
        <w:ind w:firstLine="508"/>
        <w:rPr>
          <w:rFonts w:ascii="Times New Roman"/>
          <w:b/>
          <w:color w:val="auto"/>
        </w:rPr>
      </w:pPr>
      <w:r>
        <w:rPr>
          <w:rFonts w:hint="eastAsia" w:ascii="Times New Roman"/>
          <w:b/>
          <w:color w:val="auto"/>
          <w:lang w:val="en-US" w:eastAsia="zh-CN"/>
        </w:rPr>
        <w:t>1、营业期养殖及饲料</w:t>
      </w:r>
      <w:r>
        <w:rPr>
          <w:rFonts w:ascii="Times New Roman"/>
          <w:b/>
          <w:color w:val="auto"/>
        </w:rPr>
        <w:t>生产工艺</w:t>
      </w:r>
    </w:p>
    <w:p>
      <w:pPr>
        <w:pStyle w:val="4"/>
        <w:spacing w:line="360" w:lineRule="auto"/>
        <w:ind w:firstLine="508"/>
        <w:rPr>
          <w:rFonts w:ascii="Times New Roman"/>
          <w:color w:val="auto"/>
        </w:rPr>
      </w:pPr>
      <w:r>
        <w:rPr>
          <w:rFonts w:hint="eastAsia" w:ascii="Times New Roman"/>
          <w:color w:val="auto"/>
          <w:lang w:eastAsia="zh-CN"/>
        </w:rPr>
        <w:t>（</w:t>
      </w:r>
      <w:r>
        <w:rPr>
          <w:rFonts w:hint="eastAsia" w:ascii="Times New Roman"/>
          <w:color w:val="auto"/>
          <w:lang w:val="en-US" w:eastAsia="zh-CN"/>
        </w:rPr>
        <w:t>一</w:t>
      </w:r>
      <w:r>
        <w:rPr>
          <w:rFonts w:hint="eastAsia" w:ascii="Times New Roman"/>
          <w:color w:val="auto"/>
          <w:lang w:eastAsia="zh-CN"/>
        </w:rPr>
        <w:t>）</w:t>
      </w:r>
      <w:r>
        <w:rPr>
          <w:rFonts w:ascii="Times New Roman"/>
          <w:color w:val="auto"/>
        </w:rPr>
        <w:t>养殖流程图及产污位置如图</w:t>
      </w:r>
      <w:r>
        <w:rPr>
          <w:rFonts w:hint="eastAsia" w:ascii="Times New Roman"/>
          <w:color w:val="auto"/>
          <w:lang w:val="en-US" w:eastAsia="zh-CN"/>
        </w:rPr>
        <w:t>3.2</w:t>
      </w:r>
      <w:r>
        <w:rPr>
          <w:rFonts w:ascii="Times New Roman"/>
          <w:color w:val="auto"/>
        </w:rPr>
        <w:t>-2所示。</w:t>
      </w:r>
    </w:p>
    <w:p>
      <w:pPr>
        <w:jc w:val="center"/>
        <w:rPr>
          <w:color w:val="auto"/>
        </w:rPr>
      </w:pPr>
      <w:r>
        <w:rPr>
          <w:color w:val="auto"/>
        </w:rPr>
        <w:object>
          <v:shape id="_x0000_i1027" o:spt="75" type="#_x0000_t75" style="height:137.25pt;width:213.75pt;" o:ole="t" filled="f" o:preferrelative="t" stroked="f" coordsize="21600,21600">
            <v:path/>
            <v:fill on="f" focussize="0,0"/>
            <v:stroke on="f"/>
            <v:imagedata r:id="rId26" o:title=""/>
            <o:lock v:ext="edit" aspectratio="f"/>
            <w10:wrap type="none"/>
            <w10:anchorlock/>
          </v:shape>
          <o:OLEObject Type="Embed" ProgID="Visio.Drawing.11" ShapeID="_x0000_i1027" DrawAspect="Content" ObjectID="_1468075727" r:id="rId25">
            <o:LockedField>false</o:LockedField>
          </o:OLEObject>
        </w:object>
      </w:r>
    </w:p>
    <w:p>
      <w:pPr>
        <w:tabs>
          <w:tab w:val="left" w:pos="4905"/>
        </w:tabs>
        <w:snapToGrid w:val="0"/>
        <w:spacing w:line="360" w:lineRule="auto"/>
        <w:jc w:val="center"/>
        <w:rPr>
          <w:b/>
          <w:bCs/>
          <w:color w:val="auto"/>
          <w:sz w:val="24"/>
        </w:rPr>
      </w:pPr>
      <w:r>
        <w:rPr>
          <w:b/>
          <w:bCs/>
          <w:color w:val="auto"/>
          <w:szCs w:val="21"/>
        </w:rPr>
        <w:t>图</w:t>
      </w:r>
      <w:r>
        <w:rPr>
          <w:rFonts w:hint="eastAsia"/>
          <w:b/>
          <w:bCs/>
          <w:color w:val="auto"/>
          <w:szCs w:val="21"/>
          <w:lang w:val="en-US" w:eastAsia="zh-CN"/>
        </w:rPr>
        <w:t>3</w:t>
      </w:r>
      <w:r>
        <w:rPr>
          <w:b/>
          <w:bCs/>
          <w:color w:val="auto"/>
          <w:szCs w:val="21"/>
        </w:rPr>
        <w:t>.</w:t>
      </w:r>
      <w:r>
        <w:rPr>
          <w:rFonts w:hint="eastAsia"/>
          <w:b/>
          <w:bCs/>
          <w:color w:val="auto"/>
          <w:szCs w:val="21"/>
        </w:rPr>
        <w:t>2</w:t>
      </w:r>
      <w:r>
        <w:rPr>
          <w:b/>
          <w:bCs/>
          <w:color w:val="auto"/>
          <w:szCs w:val="21"/>
        </w:rPr>
        <w:t>-2  项目运营期</w:t>
      </w:r>
      <w:r>
        <w:rPr>
          <w:rFonts w:hint="eastAsia"/>
          <w:b/>
          <w:bCs/>
          <w:color w:val="auto"/>
          <w:szCs w:val="21"/>
          <w:lang w:val="en-US" w:eastAsia="zh-CN"/>
        </w:rPr>
        <w:t>养殖</w:t>
      </w:r>
      <w:r>
        <w:rPr>
          <w:b/>
          <w:bCs/>
          <w:color w:val="auto"/>
          <w:szCs w:val="21"/>
        </w:rPr>
        <w:t>流程</w:t>
      </w:r>
      <w:r>
        <w:rPr>
          <w:rFonts w:hint="eastAsia"/>
          <w:b/>
          <w:bCs/>
          <w:color w:val="auto"/>
          <w:szCs w:val="21"/>
          <w:lang w:val="en-US" w:eastAsia="zh-CN"/>
        </w:rPr>
        <w:t>及产污位置</w:t>
      </w:r>
      <w:r>
        <w:rPr>
          <w:b/>
          <w:bCs/>
          <w:color w:val="auto"/>
          <w:szCs w:val="21"/>
        </w:rPr>
        <w:t>图</w:t>
      </w:r>
    </w:p>
    <w:p>
      <w:pPr>
        <w:pStyle w:val="4"/>
        <w:spacing w:line="360" w:lineRule="auto"/>
        <w:ind w:firstLine="508"/>
        <w:rPr>
          <w:rFonts w:ascii="Times New Roman"/>
          <w:b/>
          <w:color w:val="auto"/>
        </w:rPr>
      </w:pPr>
      <w:r>
        <w:rPr>
          <w:rFonts w:ascii="Times New Roman"/>
          <w:b/>
          <w:color w:val="auto"/>
        </w:rPr>
        <w:t>1、工艺流程简述</w:t>
      </w:r>
    </w:p>
    <w:p>
      <w:pPr>
        <w:adjustRightInd w:val="0"/>
        <w:snapToGrid w:val="0"/>
        <w:spacing w:line="360" w:lineRule="auto"/>
        <w:ind w:firstLine="480" w:firstLineChars="200"/>
        <w:rPr>
          <w:rFonts w:hint="eastAsia"/>
          <w:color w:val="auto"/>
          <w:sz w:val="24"/>
        </w:rPr>
      </w:pPr>
      <w:r>
        <w:rPr>
          <w:rFonts w:hint="eastAsia"/>
          <w:color w:val="auto"/>
          <w:sz w:val="24"/>
        </w:rPr>
        <w:t>（</w:t>
      </w:r>
      <w:r>
        <w:rPr>
          <w:rFonts w:hint="eastAsia"/>
          <w:color w:val="auto"/>
          <w:sz w:val="24"/>
          <w:lang w:val="en-US" w:eastAsia="zh-CN"/>
        </w:rPr>
        <w:t>一</w:t>
      </w:r>
      <w:r>
        <w:rPr>
          <w:rFonts w:hint="eastAsia"/>
          <w:color w:val="auto"/>
          <w:sz w:val="24"/>
        </w:rPr>
        <w:t>）牛养殖</w:t>
      </w:r>
    </w:p>
    <w:p>
      <w:pPr>
        <w:adjustRightInd w:val="0"/>
        <w:snapToGrid w:val="0"/>
        <w:spacing w:line="360" w:lineRule="auto"/>
        <w:ind w:firstLine="480" w:firstLineChars="200"/>
        <w:rPr>
          <w:rFonts w:hint="eastAsia"/>
          <w:color w:val="auto"/>
          <w:sz w:val="24"/>
        </w:rPr>
      </w:pPr>
      <w:r>
        <w:rPr>
          <w:rFonts w:hint="eastAsia"/>
          <w:color w:val="auto"/>
          <w:sz w:val="24"/>
        </w:rPr>
        <w:t>饲料喂养技术：采用TMR加料法喂养，采用TMR技术，全天候饲喂，实现机械喂料，牛群自由采食全混合日粮，自由卧栏休息。每日饲喂3次。</w:t>
      </w:r>
    </w:p>
    <w:p>
      <w:pPr>
        <w:adjustRightInd w:val="0"/>
        <w:snapToGrid w:val="0"/>
        <w:spacing w:line="360" w:lineRule="auto"/>
        <w:ind w:firstLine="480" w:firstLineChars="200"/>
        <w:rPr>
          <w:rFonts w:hint="eastAsia"/>
          <w:color w:val="auto"/>
          <w:sz w:val="24"/>
        </w:rPr>
      </w:pPr>
      <w:r>
        <w:rPr>
          <w:rFonts w:hint="eastAsia"/>
          <w:color w:val="auto"/>
          <w:sz w:val="24"/>
        </w:rPr>
        <w:t>饮水方式：犊牛使用舍内杯状饮水器；其他牛群，采用舍内饮水槽。</w:t>
      </w:r>
    </w:p>
    <w:p>
      <w:pPr>
        <w:adjustRightInd w:val="0"/>
        <w:snapToGrid w:val="0"/>
        <w:spacing w:line="360" w:lineRule="auto"/>
        <w:ind w:firstLine="480" w:firstLineChars="200"/>
        <w:rPr>
          <w:rFonts w:hint="eastAsia"/>
          <w:color w:val="auto"/>
          <w:sz w:val="24"/>
          <w:u w:val="single"/>
        </w:rPr>
      </w:pPr>
      <w:r>
        <w:rPr>
          <w:rFonts w:hint="eastAsia"/>
          <w:color w:val="auto"/>
          <w:sz w:val="24"/>
          <w:u w:val="single"/>
        </w:rPr>
        <w:t>2)</w:t>
      </w:r>
      <w:r>
        <w:rPr>
          <w:rFonts w:hint="eastAsia"/>
          <w:color w:val="auto"/>
          <w:sz w:val="24"/>
          <w:u w:val="single"/>
          <w:lang w:val="en-US" w:eastAsia="zh-CN"/>
        </w:rPr>
        <w:t>育肥</w:t>
      </w:r>
      <w:r>
        <w:rPr>
          <w:rFonts w:hint="eastAsia"/>
          <w:color w:val="auto"/>
          <w:sz w:val="24"/>
          <w:u w:val="single"/>
        </w:rPr>
        <w:t>。</w:t>
      </w:r>
    </w:p>
    <w:p>
      <w:pPr>
        <w:adjustRightInd w:val="0"/>
        <w:snapToGrid w:val="0"/>
        <w:spacing w:line="360" w:lineRule="auto"/>
        <w:ind w:firstLine="480" w:firstLineChars="200"/>
        <w:rPr>
          <w:rFonts w:hint="eastAsia"/>
          <w:color w:val="auto"/>
          <w:sz w:val="24"/>
          <w:u w:val="single"/>
        </w:rPr>
      </w:pPr>
      <w:r>
        <w:rPr>
          <w:rFonts w:hint="eastAsia"/>
          <w:color w:val="auto"/>
          <w:sz w:val="24"/>
          <w:u w:val="single"/>
          <w:lang w:val="en-US" w:eastAsia="zh-CN"/>
        </w:rPr>
        <w:t>外购100kg的架子牛，在本项目牛舍内架子牛</w:t>
      </w:r>
      <w:r>
        <w:rPr>
          <w:rFonts w:hint="eastAsia"/>
          <w:color w:val="auto"/>
          <w:sz w:val="24"/>
          <w:u w:val="single"/>
        </w:rPr>
        <w:t>保育</w:t>
      </w:r>
      <w:r>
        <w:rPr>
          <w:rFonts w:hint="eastAsia"/>
          <w:color w:val="auto"/>
          <w:sz w:val="24"/>
          <w:u w:val="single"/>
          <w:lang w:val="en-US" w:eastAsia="zh-CN"/>
        </w:rPr>
        <w:t>12</w:t>
      </w:r>
      <w:r>
        <w:rPr>
          <w:rFonts w:hint="eastAsia"/>
          <w:color w:val="auto"/>
          <w:sz w:val="24"/>
          <w:u w:val="single"/>
        </w:rPr>
        <w:t>个月至体重</w:t>
      </w:r>
      <w:r>
        <w:rPr>
          <w:rFonts w:hint="eastAsia"/>
          <w:color w:val="auto"/>
          <w:sz w:val="24"/>
          <w:u w:val="single"/>
          <w:lang w:val="en-US" w:eastAsia="zh-CN"/>
        </w:rPr>
        <w:t>1200</w:t>
      </w:r>
      <w:r>
        <w:rPr>
          <w:rFonts w:hint="eastAsia"/>
          <w:color w:val="auto"/>
          <w:sz w:val="24"/>
          <w:u w:val="single"/>
        </w:rPr>
        <w:t>斤左右后出栏外售。</w:t>
      </w:r>
    </w:p>
    <w:p>
      <w:pPr>
        <w:adjustRightInd w:val="0"/>
        <w:snapToGrid w:val="0"/>
        <w:spacing w:line="360" w:lineRule="auto"/>
        <w:ind w:firstLine="480" w:firstLineChars="200"/>
        <w:rPr>
          <w:rFonts w:hint="eastAsia"/>
          <w:color w:val="auto"/>
          <w:sz w:val="24"/>
        </w:rPr>
      </w:pPr>
      <w:r>
        <w:rPr>
          <w:rFonts w:hint="eastAsia"/>
          <w:color w:val="auto"/>
          <w:sz w:val="24"/>
        </w:rPr>
        <w:t>（</w:t>
      </w:r>
      <w:r>
        <w:rPr>
          <w:rFonts w:hint="eastAsia"/>
          <w:color w:val="auto"/>
          <w:sz w:val="24"/>
          <w:lang w:val="en-US" w:eastAsia="zh-CN"/>
        </w:rPr>
        <w:t>二</w:t>
      </w:r>
      <w:r>
        <w:rPr>
          <w:rFonts w:hint="eastAsia"/>
          <w:color w:val="auto"/>
          <w:sz w:val="24"/>
        </w:rPr>
        <w:t>）青贮饲料加工工艺</w:t>
      </w:r>
    </w:p>
    <w:p>
      <w:pPr>
        <w:adjustRightInd w:val="0"/>
        <w:snapToGrid w:val="0"/>
        <w:spacing w:line="360" w:lineRule="auto"/>
        <w:ind w:firstLine="480" w:firstLineChars="200"/>
        <w:rPr>
          <w:rFonts w:hint="eastAsia"/>
          <w:color w:val="auto"/>
          <w:sz w:val="24"/>
        </w:rPr>
      </w:pPr>
      <w:r>
        <w:rPr>
          <w:rFonts w:hint="eastAsia"/>
          <w:color w:val="auto"/>
          <w:sz w:val="24"/>
          <w:lang w:val="zh-CN"/>
        </w:rPr>
        <w:t>项目所使用青贮饲料主要为外购牧草</w:t>
      </w:r>
      <w:r>
        <w:rPr>
          <w:rFonts w:hint="eastAsia"/>
          <w:color w:val="auto"/>
          <w:sz w:val="24"/>
        </w:rPr>
        <w:t xml:space="preserve">。青贮饲料通过切短、装填、封窖等处理工艺处理后用于饲喂牛，青贮饲料加工工艺如下：  </w:t>
      </w:r>
    </w:p>
    <w:p>
      <w:pPr>
        <w:adjustRightInd w:val="0"/>
        <w:snapToGrid w:val="0"/>
        <w:spacing w:line="360" w:lineRule="auto"/>
        <w:jc w:val="center"/>
        <w:rPr>
          <w:rFonts w:hint="eastAsia"/>
          <w:color w:val="auto"/>
          <w:sz w:val="24"/>
        </w:rPr>
      </w:pPr>
      <w:r>
        <w:rPr>
          <w:rFonts w:hint="eastAsia"/>
          <w:color w:val="auto"/>
          <w:sz w:val="24"/>
        </w:rPr>
        <w:object>
          <v:shape id="_x0000_i1028" o:spt="75" type="#_x0000_t75" style="height:27.75pt;width:333pt;" o:ole="t" filled="f" o:preferrelative="t" stroked="f" coordsize="21600,21600">
            <v:path/>
            <v:fill on="f" focussize="0,0"/>
            <v:stroke on="f"/>
            <v:imagedata r:id="rId28" o:title=""/>
            <o:lock v:ext="edit" aspectratio="f"/>
            <w10:wrap type="none"/>
            <w10:anchorlock/>
          </v:shape>
          <o:OLEObject Type="Embed" ProgID="Visio.Drawing.11" ShapeID="_x0000_i1028" DrawAspect="Content" ObjectID="_1468075728" r:id="rId27">
            <o:LockedField>false</o:LockedField>
          </o:OLEObject>
        </w:object>
      </w:r>
    </w:p>
    <w:p>
      <w:pPr>
        <w:adjustRightInd w:val="0"/>
        <w:snapToGrid w:val="0"/>
        <w:spacing w:line="360" w:lineRule="auto"/>
        <w:ind w:firstLine="480" w:firstLineChars="200"/>
        <w:rPr>
          <w:rFonts w:hint="eastAsia"/>
          <w:color w:val="auto"/>
          <w:sz w:val="24"/>
        </w:rPr>
      </w:pPr>
      <w:r>
        <w:rPr>
          <w:rFonts w:hint="eastAsia"/>
          <w:color w:val="auto"/>
          <w:sz w:val="24"/>
        </w:rPr>
        <w:t>① 切短</w:t>
      </w:r>
    </w:p>
    <w:p>
      <w:pPr>
        <w:adjustRightInd w:val="0"/>
        <w:snapToGrid w:val="0"/>
        <w:spacing w:line="360" w:lineRule="auto"/>
        <w:ind w:firstLine="480" w:firstLineChars="200"/>
        <w:rPr>
          <w:rFonts w:hint="eastAsia"/>
          <w:color w:val="auto"/>
          <w:sz w:val="24"/>
        </w:rPr>
      </w:pPr>
      <w:r>
        <w:rPr>
          <w:rFonts w:hint="eastAsia"/>
          <w:color w:val="auto"/>
          <w:sz w:val="24"/>
        </w:rPr>
        <w:t>外购的饲料为便于装填、踩实和乳酸发酵、取喂，青贮原料长度铡成2-3cm的长度。</w:t>
      </w:r>
    </w:p>
    <w:p>
      <w:pPr>
        <w:adjustRightInd w:val="0"/>
        <w:snapToGrid w:val="0"/>
        <w:spacing w:line="360" w:lineRule="auto"/>
        <w:ind w:firstLine="480" w:firstLineChars="200"/>
        <w:rPr>
          <w:rFonts w:hint="eastAsia"/>
          <w:color w:val="auto"/>
          <w:sz w:val="24"/>
        </w:rPr>
      </w:pPr>
      <w:r>
        <w:rPr>
          <w:rFonts w:hint="eastAsia"/>
          <w:color w:val="auto"/>
          <w:sz w:val="24"/>
        </w:rPr>
        <w:t>② 装填</w:t>
      </w:r>
    </w:p>
    <w:p>
      <w:pPr>
        <w:adjustRightInd w:val="0"/>
        <w:snapToGrid w:val="0"/>
        <w:spacing w:line="360" w:lineRule="auto"/>
        <w:ind w:firstLine="480" w:firstLineChars="200"/>
        <w:rPr>
          <w:rFonts w:hint="eastAsia"/>
          <w:color w:val="auto"/>
          <w:sz w:val="24"/>
        </w:rPr>
      </w:pPr>
      <w:r>
        <w:rPr>
          <w:rFonts w:hint="eastAsia"/>
          <w:color w:val="auto"/>
          <w:sz w:val="24"/>
        </w:rPr>
        <w:t>装填前先在窑底铺上30cm厚的垫草，然后将铡短的青贮原料迅速装入窑内。装时要边装料边层层压实，尽量排除空气。</w:t>
      </w:r>
    </w:p>
    <w:p>
      <w:pPr>
        <w:adjustRightInd w:val="0"/>
        <w:snapToGrid w:val="0"/>
        <w:spacing w:line="360" w:lineRule="auto"/>
        <w:ind w:firstLine="480" w:firstLineChars="200"/>
        <w:rPr>
          <w:rFonts w:hint="eastAsia"/>
          <w:color w:val="auto"/>
          <w:sz w:val="24"/>
        </w:rPr>
      </w:pPr>
      <w:r>
        <w:rPr>
          <w:rFonts w:hint="eastAsia"/>
          <w:color w:val="auto"/>
          <w:sz w:val="24"/>
        </w:rPr>
        <w:t>③ 封窑</w:t>
      </w:r>
    </w:p>
    <w:p>
      <w:pPr>
        <w:adjustRightInd w:val="0"/>
        <w:snapToGrid w:val="0"/>
        <w:spacing w:line="360" w:lineRule="auto"/>
        <w:ind w:firstLine="480" w:firstLineChars="200"/>
        <w:rPr>
          <w:rFonts w:hint="eastAsia"/>
          <w:color w:val="auto"/>
          <w:sz w:val="24"/>
        </w:rPr>
      </w:pPr>
      <w:r>
        <w:rPr>
          <w:rFonts w:hint="eastAsia"/>
          <w:color w:val="auto"/>
          <w:sz w:val="24"/>
        </w:rPr>
        <w:t>本项目为地面式青贮窖，地面为水泥抹面，方便青贮饲料的储用。当青贮饲料高出地面2m 时进行封窑，采用防老化的双层塑料布（长度和宽度依窖的大小而定），从一端铺至另一端，薄膜上放置废旧轮胎进行压覆，以保证薄膜不会被风吹起或刮烂。秸秆在堆存中进行微发酵，提升青贮料的营养价值。</w:t>
      </w:r>
    </w:p>
    <w:p>
      <w:pPr>
        <w:adjustRightInd w:val="0"/>
        <w:snapToGrid w:val="0"/>
        <w:spacing w:line="360" w:lineRule="auto"/>
        <w:ind w:firstLine="480" w:firstLineChars="200"/>
        <w:rPr>
          <w:rFonts w:hint="eastAsia"/>
          <w:color w:val="auto"/>
          <w:sz w:val="24"/>
        </w:rPr>
      </w:pPr>
      <w:r>
        <w:rPr>
          <w:rFonts w:hint="eastAsia"/>
          <w:color w:val="auto"/>
          <w:sz w:val="24"/>
        </w:rPr>
        <w:t>④ 青贮饲料取用</w:t>
      </w:r>
    </w:p>
    <w:p>
      <w:pPr>
        <w:adjustRightInd w:val="0"/>
        <w:snapToGrid w:val="0"/>
        <w:spacing w:line="360" w:lineRule="auto"/>
        <w:ind w:firstLine="480" w:firstLineChars="200"/>
        <w:rPr>
          <w:rFonts w:hint="eastAsia"/>
          <w:color w:val="auto"/>
          <w:sz w:val="24"/>
        </w:rPr>
      </w:pPr>
      <w:r>
        <w:rPr>
          <w:rFonts w:hint="eastAsia"/>
          <w:color w:val="auto"/>
          <w:sz w:val="24"/>
        </w:rPr>
        <w:t>饲料青贮后30-50d便可开窑取喂。取料口选在避阳一端，逐层逐段挖取。取料后随即盖严取料口。</w:t>
      </w:r>
    </w:p>
    <w:p>
      <w:pPr>
        <w:adjustRightInd w:val="0"/>
        <w:snapToGrid w:val="0"/>
        <w:spacing w:line="360" w:lineRule="auto"/>
        <w:ind w:firstLine="480" w:firstLineChars="200"/>
        <w:rPr>
          <w:rFonts w:hint="eastAsia"/>
          <w:color w:val="auto"/>
          <w:sz w:val="24"/>
        </w:rPr>
      </w:pPr>
      <w:r>
        <w:rPr>
          <w:rFonts w:hint="eastAsia"/>
          <w:color w:val="auto"/>
          <w:sz w:val="24"/>
        </w:rPr>
        <w:t>青贮饲料制备过程详见图2.2-3。</w:t>
      </w:r>
    </w:p>
    <w:p>
      <w:pPr>
        <w:adjustRightInd w:val="0"/>
        <w:snapToGrid w:val="0"/>
        <w:spacing w:line="360" w:lineRule="auto"/>
        <w:ind w:firstLine="480" w:firstLineChars="200"/>
        <w:rPr>
          <w:rFonts w:hint="eastAsia"/>
          <w:color w:val="auto"/>
          <w:sz w:val="24"/>
        </w:rPr>
      </w:pPr>
      <w:r>
        <w:rPr>
          <w:rFonts w:hint="eastAsia"/>
          <w:color w:val="auto"/>
          <w:sz w:val="24"/>
        </w:rPr>
        <w:t>（</w:t>
      </w:r>
      <w:r>
        <w:rPr>
          <w:rFonts w:hint="eastAsia"/>
          <w:color w:val="auto"/>
          <w:sz w:val="24"/>
          <w:lang w:val="en-US" w:eastAsia="zh-CN"/>
        </w:rPr>
        <w:t>三</w:t>
      </w:r>
      <w:r>
        <w:rPr>
          <w:rFonts w:hint="eastAsia"/>
          <w:color w:val="auto"/>
          <w:sz w:val="24"/>
        </w:rPr>
        <w:t>）混合精饲料生产工艺</w:t>
      </w:r>
    </w:p>
    <w:p>
      <w:pPr>
        <w:pStyle w:val="4"/>
        <w:spacing w:line="360" w:lineRule="auto"/>
        <w:ind w:firstLine="508"/>
        <w:rPr>
          <w:rFonts w:ascii="Times New Roman"/>
          <w:color w:val="auto"/>
        </w:rPr>
      </w:pPr>
      <w:r>
        <w:rPr>
          <w:rFonts w:hint="eastAsia"/>
          <w:color w:val="auto"/>
          <w:sz w:val="24"/>
        </w:rPr>
        <w:t>混合精饲料生产工艺流程</w:t>
      </w:r>
      <w:r>
        <w:rPr>
          <w:rFonts w:ascii="Times New Roman"/>
          <w:color w:val="auto"/>
        </w:rPr>
        <w:t>及产污位置如图</w:t>
      </w:r>
      <w:r>
        <w:rPr>
          <w:rFonts w:hint="eastAsia" w:ascii="Times New Roman"/>
          <w:color w:val="auto"/>
          <w:lang w:val="en-US" w:eastAsia="zh-CN"/>
        </w:rPr>
        <w:t>3.2</w:t>
      </w:r>
      <w:r>
        <w:rPr>
          <w:rFonts w:ascii="Times New Roman"/>
          <w:color w:val="auto"/>
        </w:rPr>
        <w:t>-</w:t>
      </w:r>
      <w:r>
        <w:rPr>
          <w:rFonts w:hint="eastAsia" w:ascii="Times New Roman"/>
          <w:color w:val="auto"/>
          <w:lang w:val="en-US" w:eastAsia="zh-CN"/>
        </w:rPr>
        <w:t>3</w:t>
      </w:r>
      <w:r>
        <w:rPr>
          <w:rFonts w:ascii="Times New Roman"/>
          <w:color w:val="auto"/>
        </w:rPr>
        <w:t>所示。</w:t>
      </w:r>
    </w:p>
    <w:p>
      <w:pPr>
        <w:jc w:val="center"/>
        <w:rPr>
          <w:color w:val="auto"/>
        </w:rPr>
      </w:pPr>
      <w:r>
        <w:rPr>
          <w:color w:val="auto"/>
        </w:rPr>
        <w:drawing>
          <wp:inline distT="0" distB="0" distL="114300" distR="114300">
            <wp:extent cx="5085715" cy="1104900"/>
            <wp:effectExtent l="0" t="0" r="635"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9"/>
                    <a:stretch>
                      <a:fillRect/>
                    </a:stretch>
                  </pic:blipFill>
                  <pic:spPr>
                    <a:xfrm>
                      <a:off x="0" y="0"/>
                      <a:ext cx="5085715" cy="1104900"/>
                    </a:xfrm>
                    <a:prstGeom prst="rect">
                      <a:avLst/>
                    </a:prstGeom>
                    <a:noFill/>
                    <a:ln>
                      <a:noFill/>
                    </a:ln>
                  </pic:spPr>
                </pic:pic>
              </a:graphicData>
            </a:graphic>
          </wp:inline>
        </w:drawing>
      </w:r>
    </w:p>
    <w:p>
      <w:pPr>
        <w:tabs>
          <w:tab w:val="left" w:pos="4905"/>
        </w:tabs>
        <w:snapToGrid w:val="0"/>
        <w:spacing w:line="360" w:lineRule="auto"/>
        <w:jc w:val="center"/>
        <w:rPr>
          <w:rFonts w:hint="default"/>
          <w:b/>
          <w:bCs/>
          <w:color w:val="auto"/>
          <w:sz w:val="24"/>
          <w:lang w:val="en-US"/>
        </w:rPr>
      </w:pPr>
      <w:r>
        <w:rPr>
          <w:b/>
          <w:bCs/>
          <w:color w:val="auto"/>
          <w:szCs w:val="21"/>
        </w:rPr>
        <w:t>图</w:t>
      </w:r>
      <w:r>
        <w:rPr>
          <w:rFonts w:hint="eastAsia"/>
          <w:b/>
          <w:bCs/>
          <w:color w:val="auto"/>
          <w:szCs w:val="21"/>
          <w:lang w:val="en-US" w:eastAsia="zh-CN"/>
        </w:rPr>
        <w:t>3</w:t>
      </w:r>
      <w:r>
        <w:rPr>
          <w:b/>
          <w:bCs/>
          <w:color w:val="auto"/>
          <w:szCs w:val="21"/>
        </w:rPr>
        <w:t>.</w:t>
      </w:r>
      <w:r>
        <w:rPr>
          <w:rFonts w:hint="eastAsia"/>
          <w:b/>
          <w:bCs/>
          <w:color w:val="auto"/>
          <w:szCs w:val="21"/>
        </w:rPr>
        <w:t>2</w:t>
      </w:r>
      <w:r>
        <w:rPr>
          <w:b/>
          <w:bCs/>
          <w:color w:val="auto"/>
          <w:szCs w:val="21"/>
        </w:rPr>
        <w:t>-</w:t>
      </w:r>
      <w:r>
        <w:rPr>
          <w:rFonts w:hint="eastAsia"/>
          <w:b/>
          <w:bCs/>
          <w:color w:val="auto"/>
          <w:szCs w:val="21"/>
          <w:lang w:val="en-US" w:eastAsia="zh-CN"/>
        </w:rPr>
        <w:t>3</w:t>
      </w:r>
      <w:r>
        <w:rPr>
          <w:b/>
          <w:bCs/>
          <w:color w:val="auto"/>
          <w:szCs w:val="21"/>
        </w:rPr>
        <w:t xml:space="preserve">  项目运营期</w:t>
      </w:r>
      <w:r>
        <w:rPr>
          <w:rFonts w:hint="eastAsia"/>
          <w:b/>
          <w:bCs/>
          <w:color w:val="auto"/>
          <w:szCs w:val="21"/>
          <w:lang w:val="en-US" w:eastAsia="zh-CN"/>
        </w:rPr>
        <w:t>混合精饲料生产工艺流程及产污位置图</w:t>
      </w:r>
    </w:p>
    <w:p>
      <w:pPr>
        <w:adjustRightInd w:val="0"/>
        <w:snapToGrid w:val="0"/>
        <w:spacing w:line="360" w:lineRule="auto"/>
        <w:ind w:firstLine="480" w:firstLineChars="200"/>
        <w:rPr>
          <w:rFonts w:hint="eastAsia"/>
          <w:color w:val="auto"/>
          <w:sz w:val="24"/>
        </w:rPr>
      </w:pPr>
      <w:r>
        <w:rPr>
          <w:rFonts w:hint="eastAsia"/>
          <w:color w:val="auto"/>
          <w:sz w:val="24"/>
        </w:rPr>
        <w:t>所谓TMR全称“全混合日粮”，即根据牛的营养配方，将牛所需各种饲料及牛所需维生素等在饲料喂养车内充分混合而得到的一种营养平衡日粮。全混合日粮指根据牛营养需要，把粗饲料、精饲料及辅助饲料等按合理的比例及要求，利用全混合日粮机进行粉碎、搅拌，使之成为混合均匀、营养平衡的一种日粮。</w:t>
      </w:r>
    </w:p>
    <w:p>
      <w:pPr>
        <w:pStyle w:val="4"/>
        <w:spacing w:line="360" w:lineRule="auto"/>
        <w:ind w:firstLine="508"/>
        <w:rPr>
          <w:rFonts w:ascii="Times New Roman"/>
          <w:b/>
          <w:color w:val="auto"/>
        </w:rPr>
      </w:pPr>
      <w:r>
        <w:rPr>
          <w:rFonts w:hint="eastAsia" w:ascii="Times New Roman"/>
          <w:b/>
          <w:color w:val="auto"/>
          <w:lang w:val="en-US" w:eastAsia="zh-CN"/>
        </w:rPr>
        <w:t>2</w:t>
      </w:r>
      <w:r>
        <w:rPr>
          <w:rFonts w:ascii="Times New Roman"/>
          <w:b/>
          <w:color w:val="auto"/>
        </w:rPr>
        <w:t>、病死</w:t>
      </w:r>
      <w:r>
        <w:rPr>
          <w:rFonts w:hint="eastAsia" w:ascii="Times New Roman"/>
          <w:b/>
          <w:color w:val="auto"/>
          <w:lang w:val="en-US" w:eastAsia="zh-CN"/>
        </w:rPr>
        <w:t>牛</w:t>
      </w:r>
      <w:r>
        <w:rPr>
          <w:rFonts w:ascii="Times New Roman"/>
          <w:b/>
          <w:color w:val="auto"/>
        </w:rPr>
        <w:t>处置方式</w:t>
      </w:r>
    </w:p>
    <w:p>
      <w:pPr>
        <w:adjustRightInd w:val="0"/>
        <w:snapToGrid w:val="0"/>
        <w:spacing w:line="360" w:lineRule="auto"/>
        <w:ind w:firstLine="480" w:firstLineChars="200"/>
        <w:rPr>
          <w:color w:val="auto"/>
          <w:sz w:val="24"/>
        </w:rPr>
      </w:pPr>
      <w:r>
        <w:rPr>
          <w:color w:val="auto"/>
          <w:sz w:val="24"/>
        </w:rPr>
        <w:t>病死牛、牛胎盘处理工艺</w:t>
      </w:r>
    </w:p>
    <w:p>
      <w:pPr>
        <w:adjustRightInd w:val="0"/>
        <w:snapToGrid w:val="0"/>
        <w:spacing w:line="360" w:lineRule="auto"/>
        <w:ind w:firstLine="480" w:firstLineChars="200"/>
        <w:rPr>
          <w:color w:val="auto"/>
          <w:sz w:val="24"/>
        </w:rPr>
      </w:pPr>
      <w:r>
        <w:rPr>
          <w:color w:val="auto"/>
          <w:sz w:val="24"/>
        </w:rPr>
        <w:t>项目采用高温生物降解技术对项目病死牛、牛胎盘进行处理。将病死牛、牛胎盘添加到料槽内（密闭环境），通过动刀的转动，在动刀和定刀共同作用下，将病死畜禽进行切割、粉碎。在切割粉碎的过程中，由</w:t>
      </w:r>
      <w:r>
        <w:rPr>
          <w:rFonts w:hint="eastAsia"/>
          <w:color w:val="auto"/>
          <w:sz w:val="24"/>
          <w:lang w:val="en-US" w:eastAsia="zh-CN"/>
        </w:rPr>
        <w:t>电</w:t>
      </w:r>
      <w:r>
        <w:rPr>
          <w:color w:val="auto"/>
          <w:sz w:val="24"/>
        </w:rPr>
        <w:t>加热</w:t>
      </w:r>
      <w:r>
        <w:rPr>
          <w:rFonts w:hint="eastAsia"/>
          <w:color w:val="auto"/>
          <w:sz w:val="24"/>
          <w:lang w:val="en-US" w:eastAsia="zh-CN"/>
        </w:rPr>
        <w:t>至</w:t>
      </w:r>
      <w:r>
        <w:rPr>
          <w:color w:val="auto"/>
          <w:sz w:val="24"/>
        </w:rPr>
        <w:t>150℃，对病死牛、牛胎盘进行高温灭菌，同时添加微生物菌和辅料（粗糠粉或植物秸秆），通过分切、绞碎、发酵、杀菌、干燥五道工序，进行全自动化的处理。处理后的产物是优质有机肥料组份</w:t>
      </w:r>
      <w:r>
        <w:rPr>
          <w:rFonts w:hint="eastAsia"/>
          <w:color w:val="auto"/>
          <w:sz w:val="24"/>
        </w:rPr>
        <w:t>，</w:t>
      </w:r>
      <w:r>
        <w:rPr>
          <w:rFonts w:hint="eastAsia"/>
          <w:color w:val="auto"/>
          <w:sz w:val="24"/>
          <w:u w:val="single"/>
        </w:rPr>
        <w:t>定期作为有机肥原料外售</w:t>
      </w:r>
      <w:r>
        <w:rPr>
          <w:color w:val="auto"/>
          <w:sz w:val="24"/>
        </w:rPr>
        <w:t>。工艺流程详见下图</w:t>
      </w:r>
      <w:r>
        <w:rPr>
          <w:rFonts w:hint="eastAsia"/>
          <w:color w:val="auto"/>
          <w:sz w:val="24"/>
          <w:lang w:val="en-US" w:eastAsia="zh-CN"/>
        </w:rPr>
        <w:t>3</w:t>
      </w:r>
      <w:r>
        <w:rPr>
          <w:color w:val="auto"/>
          <w:sz w:val="24"/>
        </w:rPr>
        <w:t>.2-</w:t>
      </w:r>
      <w:r>
        <w:rPr>
          <w:rFonts w:hint="eastAsia"/>
          <w:color w:val="auto"/>
          <w:sz w:val="24"/>
          <w:lang w:val="en-US" w:eastAsia="zh-CN"/>
        </w:rPr>
        <w:t>4</w:t>
      </w:r>
      <w:r>
        <w:rPr>
          <w:color w:val="auto"/>
          <w:sz w:val="24"/>
        </w:rPr>
        <w:t>。</w:t>
      </w:r>
    </w:p>
    <w:p>
      <w:pPr>
        <w:rPr>
          <w:color w:val="auto"/>
          <w:sz w:val="24"/>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3462655</wp:posOffset>
                </wp:positionH>
                <wp:positionV relativeFrom="paragraph">
                  <wp:posOffset>140970</wp:posOffset>
                </wp:positionV>
                <wp:extent cx="1619250" cy="295275"/>
                <wp:effectExtent l="0" t="0" r="0" b="0"/>
                <wp:wrapNone/>
                <wp:docPr id="28" name="矩形 28"/>
                <wp:cNvGraphicFramePr/>
                <a:graphic xmlns:a="http://schemas.openxmlformats.org/drawingml/2006/main">
                  <a:graphicData uri="http://schemas.microsoft.com/office/word/2010/wordprocessingShape">
                    <wps:wsp>
                      <wps:cNvSpPr/>
                      <wps:spPr>
                        <a:xfrm>
                          <a:off x="0" y="0"/>
                          <a:ext cx="1619250" cy="295275"/>
                        </a:xfrm>
                        <a:prstGeom prst="rect">
                          <a:avLst/>
                        </a:prstGeom>
                        <a:noFill/>
                        <a:ln>
                          <a:noFill/>
                        </a:ln>
                      </wps:spPr>
                      <wps:txbx>
                        <w:txbxContent>
                          <w:p>
                            <w:pPr>
                              <w:jc w:val="center"/>
                            </w:pPr>
                            <w:r>
                              <w:rPr>
                                <w:rFonts w:hint="eastAsia"/>
                              </w:rPr>
                              <w:t>作为有机肥原料外售</w:t>
                            </w:r>
                          </w:p>
                        </w:txbxContent>
                      </wps:txbx>
                      <wps:bodyPr upright="1"/>
                    </wps:wsp>
                  </a:graphicData>
                </a:graphic>
              </wp:anchor>
            </w:drawing>
          </mc:Choice>
          <mc:Fallback>
            <w:pict>
              <v:rect id="_x0000_s1026" o:spid="_x0000_s1026" o:spt="1" style="position:absolute;left:0pt;margin-left:272.65pt;margin-top:11.1pt;height:23.25pt;width:127.5pt;z-index:251665408;mso-width-relative:page;mso-height-relative:page;" filled="f" stroked="f" coordsize="21600,21600" o:gfxdata="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7iMX3aAAAACQEAAA8A&#10;AAAAAAAAAQAgAAAAIgAAAGRycy9kb3ducmV2LnhtbFBLAQIUABQAAAAIAIdO4kAnOoAcowEAAEMD&#10;AAAOAAAAAAAAAAEAIAAAACkBAABkcnMvZTJvRG9jLnhtbFBLBQYAAAAABgAGAFkBAAA+BQAAAAA=&#10;">
                <v:fill on="f" focussize="0,0"/>
                <v:stroke on="f"/>
                <v:imagedata o:title=""/>
                <o:lock v:ext="edit" aspectratio="f"/>
                <v:textbox>
                  <w:txbxContent>
                    <w:p>
                      <w:pPr>
                        <w:jc w:val="center"/>
                      </w:pPr>
                      <w:r>
                        <w:rPr>
                          <w:rFonts w:hint="eastAsia"/>
                        </w:rPr>
                        <w:t>作为有机肥原料外售</w:t>
                      </w:r>
                    </w:p>
                  </w:txbxContent>
                </v:textbox>
              </v:rect>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3243580</wp:posOffset>
                </wp:positionH>
                <wp:positionV relativeFrom="paragraph">
                  <wp:posOffset>293370</wp:posOffset>
                </wp:positionV>
                <wp:extent cx="400050" cy="0"/>
                <wp:effectExtent l="0" t="38100" r="0" b="38100"/>
                <wp:wrapNone/>
                <wp:docPr id="29" name="直接箭头连接符 29"/>
                <wp:cNvGraphicFramePr/>
                <a:graphic xmlns:a="http://schemas.openxmlformats.org/drawingml/2006/main">
                  <a:graphicData uri="http://schemas.microsoft.com/office/word/2010/wordprocessingShape">
                    <wps:wsp>
                      <wps:cNvCnPr/>
                      <wps:spPr>
                        <a:xfrm>
                          <a:off x="0" y="0"/>
                          <a:ext cx="400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5.4pt;margin-top:23.1pt;height:0pt;width:31.5pt;z-index:251667456;mso-width-relative:page;mso-height-relative:page;" filled="f" stroked="t" coordsize="21600,21600" o:gfxdata="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jiHH9gAAAAJAQAADwAAAAAAAAABACAAAAAiAAAAZHJz&#10;L2Rvd25yZXYueG1sUEsBAhQAFAAAAAgAh07iQFYjDCcEAgAA8QMAAA4AAAAAAAAAAQAgAAAAJwEA&#10;AGRycy9lMm9Eb2MueG1sUEsFBgAAAAAGAAYAWQEAAJ0FAAAAAA==&#10;">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1700530</wp:posOffset>
                </wp:positionH>
                <wp:positionV relativeFrom="paragraph">
                  <wp:posOffset>293370</wp:posOffset>
                </wp:positionV>
                <wp:extent cx="400050" cy="0"/>
                <wp:effectExtent l="0" t="38100" r="0" b="38100"/>
                <wp:wrapNone/>
                <wp:docPr id="30" name="直接箭头连接符 30"/>
                <wp:cNvGraphicFramePr/>
                <a:graphic xmlns:a="http://schemas.openxmlformats.org/drawingml/2006/main">
                  <a:graphicData uri="http://schemas.microsoft.com/office/word/2010/wordprocessingShape">
                    <wps:wsp>
                      <wps:cNvCnPr/>
                      <wps:spPr>
                        <a:xfrm>
                          <a:off x="0" y="0"/>
                          <a:ext cx="400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3.9pt;margin-top:23.1pt;height:0pt;width:31.5pt;z-index:251666432;mso-width-relative:page;mso-height-relative:page;" filled="f" stroked="t" coordsize="21600,21600" o:gfxdata="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wwZn7XAAAACQEAAA8AAAAAAAAAAQAgAAAAIgAAAGRycy9k&#10;b3ducmV2LnhtbFBLAQIUABQAAAAIAIdO4kB8YNwFAwIAAPEDAAAOAAAAAAAAAAEAIAAAACYBAABk&#10;cnMvZTJvRG9jLnhtbFBLBQYAAAAABgAGAFkBAACbBQAAAAA=&#10;">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2100580</wp:posOffset>
                </wp:positionH>
                <wp:positionV relativeFrom="paragraph">
                  <wp:posOffset>140970</wp:posOffset>
                </wp:positionV>
                <wp:extent cx="1143000" cy="295275"/>
                <wp:effectExtent l="4445" t="4445" r="14605" b="5080"/>
                <wp:wrapNone/>
                <wp:docPr id="32" name="矩形 32"/>
                <wp:cNvGraphicFramePr/>
                <a:graphic xmlns:a="http://schemas.openxmlformats.org/drawingml/2006/main">
                  <a:graphicData uri="http://schemas.microsoft.com/office/word/2010/wordprocessingShape">
                    <wps:wsp>
                      <wps:cNvSpPr/>
                      <wps:spPr>
                        <a:xfrm>
                          <a:off x="0" y="0"/>
                          <a:ext cx="114300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高温生物降解</w:t>
                            </w:r>
                          </w:p>
                        </w:txbxContent>
                      </wps:txbx>
                      <wps:bodyPr upright="1"/>
                    </wps:wsp>
                  </a:graphicData>
                </a:graphic>
              </wp:anchor>
            </w:drawing>
          </mc:Choice>
          <mc:Fallback>
            <w:pict>
              <v:rect id="_x0000_s1026" o:spid="_x0000_s1026" o:spt="1" style="position:absolute;left:0pt;margin-left:165.4pt;margin-top:11.1pt;height:23.25pt;width:90pt;z-index:251664384;mso-width-relative:page;mso-height-relative:page;" fillcolor="#FFFFFF" filled="t" stroked="t" coordsize="21600,21600" o:gfxdata="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PGmnXAAAACQEAAA8AAAAAAAAAAQAgAAAAIgAAAGRycy9k&#10;b3ducmV2LnhtbFBLAQIUABQAAAAIAIdO4kDdQ5lFAwIAACsEAAAOAAAAAAAAAAEAIAAAACYBAABk&#10;cnMvZTJvRG9jLnhtbFBLBQYAAAAABgAGAFkBAACbBQAAAAA=&#10;">
                <v:fill on="t" focussize="0,0"/>
                <v:stroke color="#000000" joinstyle="miter"/>
                <v:imagedata o:title=""/>
                <o:lock v:ext="edit" aspectratio="f"/>
                <v:textbox>
                  <w:txbxContent>
                    <w:p>
                      <w:pPr>
                        <w:jc w:val="center"/>
                        <w:rPr>
                          <w:szCs w:val="21"/>
                        </w:rPr>
                      </w:pPr>
                      <w:r>
                        <w:rPr>
                          <w:rFonts w:hint="eastAsia"/>
                          <w:szCs w:val="21"/>
                        </w:rPr>
                        <w:t>高温生物降解</w:t>
                      </w:r>
                    </w:p>
                  </w:txbxContent>
                </v:textbox>
              </v:rect>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643255</wp:posOffset>
                </wp:positionH>
                <wp:positionV relativeFrom="paragraph">
                  <wp:posOffset>140970</wp:posOffset>
                </wp:positionV>
                <wp:extent cx="1276350" cy="295275"/>
                <wp:effectExtent l="0" t="0" r="0" b="0"/>
                <wp:wrapNone/>
                <wp:docPr id="31" name="矩形 31"/>
                <wp:cNvGraphicFramePr/>
                <a:graphic xmlns:a="http://schemas.openxmlformats.org/drawingml/2006/main">
                  <a:graphicData uri="http://schemas.microsoft.com/office/word/2010/wordprocessingShape">
                    <wps:wsp>
                      <wps:cNvSpPr/>
                      <wps:spPr>
                        <a:xfrm>
                          <a:off x="0" y="0"/>
                          <a:ext cx="1276350" cy="295275"/>
                        </a:xfrm>
                        <a:prstGeom prst="rect">
                          <a:avLst/>
                        </a:prstGeom>
                        <a:noFill/>
                        <a:ln>
                          <a:noFill/>
                        </a:ln>
                      </wps:spPr>
                      <wps:txbx>
                        <w:txbxContent>
                          <w:p>
                            <w:pPr>
                              <w:rPr>
                                <w:rFonts w:hint="eastAsia"/>
                                <w:szCs w:val="21"/>
                              </w:rPr>
                            </w:pPr>
                            <w:r>
                              <w:rPr>
                                <w:rFonts w:hint="eastAsia"/>
                                <w:szCs w:val="21"/>
                              </w:rPr>
                              <w:t>病死牛及分娩废物</w:t>
                            </w:r>
                          </w:p>
                        </w:txbxContent>
                      </wps:txbx>
                      <wps:bodyPr upright="1"/>
                    </wps:wsp>
                  </a:graphicData>
                </a:graphic>
              </wp:anchor>
            </w:drawing>
          </mc:Choice>
          <mc:Fallback>
            <w:pict>
              <v:rect id="_x0000_s1026" o:spid="_x0000_s1026" o:spt="1" style="position:absolute;left:0pt;margin-left:50.65pt;margin-top:11.1pt;height:23.25pt;width:100.5pt;z-index:251663360;mso-width-relative:page;mso-height-relative:page;" filled="f" stroked="f" coordsize="21600,21600" o:gfxdata="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Wy4S72QAAAAkBAAAPAAAA&#10;AAAAAAEAIAAAACIAAABkcnMvZG93bnJldi54bWxQSwECFAAUAAAACACHTuJA4T0wEaIBAABDAwAA&#10;DgAAAAAAAAABACAAAAAoAQAAZHJzL2Uyb0RvYy54bWxQSwUGAAAAAAYABgBZAQAAPAUAAAAA&#10;">
                <v:fill on="f" focussize="0,0"/>
                <v:stroke on="f"/>
                <v:imagedata o:title=""/>
                <o:lock v:ext="edit" aspectratio="f"/>
                <v:textbox>
                  <w:txbxContent>
                    <w:p>
                      <w:pPr>
                        <w:rPr>
                          <w:rFonts w:hint="eastAsia"/>
                          <w:szCs w:val="21"/>
                        </w:rPr>
                      </w:pPr>
                      <w:r>
                        <w:rPr>
                          <w:rFonts w:hint="eastAsia"/>
                          <w:szCs w:val="21"/>
                        </w:rPr>
                        <w:t>病死牛及分娩废物</w:t>
                      </w:r>
                    </w:p>
                  </w:txbxContent>
                </v:textbox>
              </v:rect>
            </w:pict>
          </mc:Fallback>
        </mc:AlternateContent>
      </w:r>
    </w:p>
    <w:p>
      <w:pPr>
        <w:rPr>
          <w:color w:val="auto"/>
          <w:sz w:val="24"/>
        </w:rPr>
      </w:pPr>
    </w:p>
    <w:p>
      <w:pPr>
        <w:rPr>
          <w:color w:val="auto"/>
          <w:sz w:val="24"/>
        </w:rPr>
      </w:pPr>
    </w:p>
    <w:p>
      <w:pPr>
        <w:tabs>
          <w:tab w:val="left" w:pos="4905"/>
        </w:tabs>
        <w:adjustRightInd w:val="0"/>
        <w:snapToGrid w:val="0"/>
        <w:spacing w:after="152" w:afterLines="50"/>
        <w:jc w:val="center"/>
        <w:rPr>
          <w:b/>
          <w:bCs/>
          <w:color w:val="auto"/>
          <w:szCs w:val="21"/>
          <w:u w:val="single"/>
        </w:rPr>
      </w:pPr>
      <w:r>
        <w:rPr>
          <w:b/>
          <w:bCs/>
          <w:color w:val="auto"/>
          <w:szCs w:val="21"/>
          <w:u w:val="single"/>
        </w:rPr>
        <w:t>图</w:t>
      </w:r>
      <w:r>
        <w:rPr>
          <w:rFonts w:hint="eastAsia"/>
          <w:b/>
          <w:bCs/>
          <w:color w:val="auto"/>
          <w:szCs w:val="21"/>
          <w:u w:val="single"/>
          <w:lang w:val="en-US" w:eastAsia="zh-CN"/>
        </w:rPr>
        <w:t>3</w:t>
      </w:r>
      <w:r>
        <w:rPr>
          <w:b/>
          <w:bCs/>
          <w:color w:val="auto"/>
          <w:szCs w:val="21"/>
          <w:u w:val="single"/>
        </w:rPr>
        <w:t>.</w:t>
      </w:r>
      <w:r>
        <w:rPr>
          <w:rFonts w:hint="eastAsia"/>
          <w:b/>
          <w:bCs/>
          <w:color w:val="auto"/>
          <w:szCs w:val="21"/>
          <w:u w:val="single"/>
        </w:rPr>
        <w:t>2</w:t>
      </w:r>
      <w:r>
        <w:rPr>
          <w:b/>
          <w:bCs/>
          <w:color w:val="auto"/>
          <w:szCs w:val="21"/>
          <w:u w:val="single"/>
        </w:rPr>
        <w:t>-</w:t>
      </w:r>
      <w:r>
        <w:rPr>
          <w:rFonts w:hint="eastAsia"/>
          <w:b/>
          <w:bCs/>
          <w:color w:val="auto"/>
          <w:szCs w:val="21"/>
          <w:u w:val="single"/>
          <w:lang w:val="en-US" w:eastAsia="zh-CN"/>
        </w:rPr>
        <w:t>4</w:t>
      </w:r>
      <w:r>
        <w:rPr>
          <w:b/>
          <w:bCs/>
          <w:color w:val="auto"/>
          <w:szCs w:val="21"/>
          <w:u w:val="single"/>
        </w:rPr>
        <w:t xml:space="preserve"> </w:t>
      </w:r>
      <w:r>
        <w:rPr>
          <w:rFonts w:hint="eastAsia"/>
          <w:b/>
          <w:bCs/>
          <w:color w:val="auto"/>
          <w:szCs w:val="21"/>
          <w:u w:val="single"/>
        </w:rPr>
        <w:t xml:space="preserve"> </w:t>
      </w:r>
      <w:r>
        <w:rPr>
          <w:b/>
          <w:bCs/>
          <w:color w:val="auto"/>
          <w:szCs w:val="21"/>
          <w:u w:val="single"/>
        </w:rPr>
        <w:t>项目病死牛、牛胎盘处理工艺流程图</w:t>
      </w:r>
    </w:p>
    <w:p>
      <w:pPr>
        <w:adjustRightInd w:val="0"/>
        <w:snapToGrid w:val="0"/>
        <w:spacing w:line="360" w:lineRule="auto"/>
        <w:ind w:firstLine="480" w:firstLineChars="200"/>
        <w:rPr>
          <w:color w:val="auto"/>
          <w:sz w:val="24"/>
        </w:rPr>
      </w:pPr>
      <w:r>
        <w:rPr>
          <w:color w:val="auto"/>
          <w:sz w:val="24"/>
          <w:u w:val="single"/>
        </w:rPr>
        <w:t>项目</w:t>
      </w:r>
      <w:r>
        <w:rPr>
          <w:rFonts w:hint="eastAsia"/>
          <w:color w:val="auto"/>
          <w:sz w:val="24"/>
          <w:u w:val="single"/>
        </w:rPr>
        <w:t>病死牛及分娩废物经无害化处理后暂存，定期作为有机肥原料外售。</w:t>
      </w:r>
      <w:r>
        <w:rPr>
          <w:color w:val="auto"/>
          <w:sz w:val="24"/>
        </w:rPr>
        <w:t xml:space="preserve"> </w:t>
      </w:r>
    </w:p>
    <w:p>
      <w:pPr>
        <w:pStyle w:val="4"/>
        <w:spacing w:line="360" w:lineRule="auto"/>
        <w:ind w:firstLine="508"/>
        <w:rPr>
          <w:rFonts w:ascii="Times New Roman"/>
          <w:b/>
          <w:color w:val="auto"/>
        </w:rPr>
      </w:pPr>
      <w:r>
        <w:rPr>
          <w:rFonts w:hint="eastAsia" w:ascii="Times New Roman"/>
          <w:b/>
          <w:color w:val="auto"/>
          <w:lang w:val="en-US" w:eastAsia="zh-CN"/>
        </w:rPr>
        <w:t>3</w:t>
      </w:r>
      <w:r>
        <w:rPr>
          <w:rFonts w:ascii="Times New Roman"/>
          <w:b/>
          <w:color w:val="auto"/>
        </w:rPr>
        <w:t>、</w:t>
      </w:r>
      <w:r>
        <w:rPr>
          <w:rFonts w:hint="eastAsia" w:ascii="Times New Roman"/>
          <w:b/>
          <w:color w:val="auto"/>
          <w:lang w:val="en-US" w:eastAsia="zh-CN"/>
        </w:rPr>
        <w:t>粪污</w:t>
      </w:r>
      <w:r>
        <w:rPr>
          <w:rFonts w:ascii="Times New Roman"/>
          <w:b/>
          <w:color w:val="auto"/>
        </w:rPr>
        <w:t>处理方式</w:t>
      </w:r>
    </w:p>
    <w:p>
      <w:pPr>
        <w:pStyle w:val="4"/>
        <w:spacing w:line="360" w:lineRule="auto"/>
        <w:ind w:firstLine="508"/>
        <w:jc w:val="both"/>
        <w:rPr>
          <w:rFonts w:hint="default" w:ascii="Times New Roman" w:eastAsia="宋体"/>
          <w:color w:val="auto"/>
          <w:lang w:val="en-US" w:eastAsia="zh-CN"/>
        </w:rPr>
      </w:pPr>
      <w:r>
        <w:rPr>
          <w:rFonts w:hint="eastAsia" w:ascii="Times New Roman"/>
          <w:color w:val="auto"/>
          <w:lang w:val="en-US" w:eastAsia="zh-CN"/>
        </w:rPr>
        <w:t>根据环境保护部发布的《规模畜禽养殖场污染防治最佳可行技术指南》（试行）文件。</w:t>
      </w:r>
      <w:r>
        <w:rPr>
          <w:rFonts w:hint="eastAsia"/>
          <w:snapToGrid w:val="0"/>
          <w:color w:val="auto"/>
          <w:szCs w:val="21"/>
        </w:rPr>
        <w:t>采用“</w:t>
      </w:r>
      <w:r>
        <w:rPr>
          <w:rFonts w:hint="eastAsia"/>
          <w:bCs/>
          <w:color w:val="auto"/>
          <w:sz w:val="24"/>
          <w:szCs w:val="24"/>
          <w:lang w:val="en-US" w:eastAsia="zh-CN"/>
        </w:rPr>
        <w:t>干湿分离+</w:t>
      </w:r>
      <w:r>
        <w:rPr>
          <w:rFonts w:hint="eastAsia" w:ascii="Times New Roman" w:hAnsi="Times New Roman" w:cs="Times New Roman"/>
          <w:color w:val="auto"/>
          <w:sz w:val="24"/>
          <w:szCs w:val="24"/>
          <w:lang w:val="en-US" w:eastAsia="zh-CN"/>
        </w:rPr>
        <w:t>MBR一体化污水处理设备</w:t>
      </w:r>
      <w:r>
        <w:rPr>
          <w:rFonts w:hint="eastAsia"/>
          <w:snapToGrid w:val="0"/>
          <w:color w:val="auto"/>
          <w:szCs w:val="21"/>
        </w:rPr>
        <w:t>”</w:t>
      </w:r>
      <w:r>
        <w:rPr>
          <w:rFonts w:hint="eastAsia"/>
          <w:snapToGrid w:val="0"/>
          <w:color w:val="auto"/>
          <w:szCs w:val="21"/>
          <w:lang w:val="en-US" w:eastAsia="zh-CN"/>
        </w:rPr>
        <w:t>工艺</w:t>
      </w:r>
      <w:r>
        <w:rPr>
          <w:rFonts w:hint="eastAsia"/>
          <w:snapToGrid w:val="0"/>
          <w:color w:val="auto"/>
          <w:szCs w:val="21"/>
        </w:rPr>
        <w:t>，废水经污水站处理后用于</w:t>
      </w:r>
      <w:r>
        <w:rPr>
          <w:snapToGrid w:val="0"/>
          <w:color w:val="auto"/>
          <w:szCs w:val="21"/>
        </w:rPr>
        <w:t>消纳地内灌溉。</w:t>
      </w:r>
      <w:r>
        <w:rPr>
          <w:rFonts w:hint="eastAsia"/>
          <w:snapToGrid w:val="0"/>
          <w:color w:val="auto"/>
          <w:szCs w:val="21"/>
          <w:lang w:val="en-US" w:eastAsia="zh-CN"/>
        </w:rPr>
        <w:t>牛粪经发酵床处理后，外售做有机肥原料。</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200" w:name="_Toc10247"/>
      <w:bookmarkStart w:id="201" w:name="_Toc11951"/>
      <w:bookmarkStart w:id="202" w:name="_Toc9354"/>
      <w:r>
        <w:rPr>
          <w:rFonts w:ascii="Times New Roman" w:hAnsi="Times New Roman" w:cs="Times New Roman" w:eastAsiaTheme="majorEastAsia"/>
          <w:bCs/>
          <w:color w:val="auto"/>
          <w:kern w:val="2"/>
          <w:szCs w:val="32"/>
          <w:lang w:val="en-US" w:eastAsia="zh-CN"/>
        </w:rPr>
        <w:t>原辅材料及能耗</w:t>
      </w:r>
      <w:bookmarkEnd w:id="200"/>
      <w:bookmarkEnd w:id="201"/>
      <w:bookmarkEnd w:id="202"/>
    </w:p>
    <w:p>
      <w:pPr>
        <w:pStyle w:val="180"/>
        <w:rPr>
          <w:rFonts w:hint="default" w:ascii="Times New Roman" w:hAnsi="Times New Roman" w:cs="Times New Roman" w:eastAsiaTheme="majorEastAsia"/>
          <w:b/>
          <w:bCs w:val="0"/>
          <w:color w:val="auto"/>
          <w:sz w:val="24"/>
          <w:szCs w:val="24"/>
        </w:rPr>
      </w:pPr>
      <w:bookmarkStart w:id="203" w:name="_Toc369334627"/>
      <w:bookmarkStart w:id="204" w:name="_Toc369197789"/>
      <w:bookmarkStart w:id="205" w:name="_Toc357495541"/>
      <w:bookmarkStart w:id="206" w:name="_Toc19079"/>
      <w:bookmarkStart w:id="207" w:name="_Toc369334807"/>
      <w:bookmarkStart w:id="208" w:name="_Toc369359674"/>
      <w:bookmarkStart w:id="209" w:name="_Toc369191624"/>
      <w:r>
        <w:rPr>
          <w:rFonts w:hint="default" w:ascii="Times New Roman" w:hAnsi="Times New Roman" w:cs="Times New Roman" w:eastAsiaTheme="majorEastAsia"/>
          <w:b/>
          <w:bCs w:val="0"/>
          <w:color w:val="auto"/>
          <w:sz w:val="24"/>
          <w:szCs w:val="24"/>
        </w:rPr>
        <w:t>主要原辅材料用量及规格</w:t>
      </w:r>
      <w:bookmarkEnd w:id="203"/>
      <w:bookmarkEnd w:id="204"/>
      <w:bookmarkEnd w:id="205"/>
      <w:bookmarkEnd w:id="206"/>
      <w:bookmarkEnd w:id="207"/>
      <w:bookmarkEnd w:id="208"/>
      <w:bookmarkEnd w:id="209"/>
    </w:p>
    <w:p>
      <w:pPr>
        <w:spacing w:line="360" w:lineRule="auto"/>
        <w:ind w:firstLine="480" w:firstLineChars="200"/>
        <w:rPr>
          <w:bCs/>
          <w:color w:val="auto"/>
          <w:sz w:val="24"/>
        </w:rPr>
      </w:pPr>
      <w:r>
        <w:rPr>
          <w:bCs/>
          <w:color w:val="auto"/>
          <w:sz w:val="24"/>
        </w:rPr>
        <w:t>(1)主要原辅料及来源</w:t>
      </w:r>
    </w:p>
    <w:p>
      <w:pPr>
        <w:spacing w:line="360" w:lineRule="auto"/>
        <w:ind w:firstLine="480" w:firstLineChars="200"/>
        <w:rPr>
          <w:bCs/>
          <w:color w:val="auto"/>
          <w:sz w:val="24"/>
        </w:rPr>
      </w:pPr>
      <w:r>
        <w:rPr>
          <w:bCs/>
          <w:color w:val="auto"/>
          <w:sz w:val="24"/>
        </w:rPr>
        <w:t>主要原辅材料用量见表</w:t>
      </w:r>
      <w:r>
        <w:rPr>
          <w:rFonts w:hint="eastAsia"/>
          <w:bCs/>
          <w:color w:val="auto"/>
          <w:sz w:val="24"/>
          <w:lang w:val="en-US" w:eastAsia="zh-CN"/>
        </w:rPr>
        <w:t>3</w:t>
      </w:r>
      <w:r>
        <w:rPr>
          <w:rFonts w:hint="eastAsia"/>
          <w:bCs/>
          <w:color w:val="auto"/>
          <w:sz w:val="24"/>
        </w:rPr>
        <w:t>.4</w:t>
      </w:r>
      <w:r>
        <w:rPr>
          <w:bCs/>
          <w:color w:val="auto"/>
          <w:sz w:val="24"/>
        </w:rPr>
        <w:t>-</w:t>
      </w:r>
      <w:r>
        <w:rPr>
          <w:rFonts w:hint="eastAsia"/>
          <w:bCs/>
          <w:color w:val="auto"/>
          <w:sz w:val="24"/>
        </w:rPr>
        <w:t>1</w:t>
      </w:r>
      <w:r>
        <w:rPr>
          <w:bCs/>
          <w:color w:val="auto"/>
          <w:sz w:val="24"/>
        </w:rPr>
        <w:t>。</w:t>
      </w:r>
    </w:p>
    <w:p>
      <w:pPr>
        <w:jc w:val="center"/>
        <w:rPr>
          <w:rFonts w:eastAsia="黑体"/>
          <w:color w:val="auto"/>
        </w:rPr>
      </w:pPr>
      <w:r>
        <w:rPr>
          <w:rFonts w:eastAsia="黑体"/>
          <w:color w:val="auto"/>
        </w:rPr>
        <w:t>表</w:t>
      </w:r>
      <w:r>
        <w:rPr>
          <w:rFonts w:hint="eastAsia" w:eastAsia="黑体"/>
          <w:color w:val="auto"/>
          <w:lang w:val="en-US" w:eastAsia="zh-CN"/>
        </w:rPr>
        <w:t>3</w:t>
      </w:r>
      <w:r>
        <w:rPr>
          <w:rFonts w:hint="eastAsia" w:eastAsia="黑体"/>
          <w:color w:val="auto"/>
        </w:rPr>
        <w:t>.4</w:t>
      </w:r>
      <w:r>
        <w:rPr>
          <w:rFonts w:eastAsia="黑体"/>
          <w:color w:val="auto"/>
        </w:rPr>
        <w:t>-</w:t>
      </w:r>
      <w:r>
        <w:rPr>
          <w:rFonts w:hint="eastAsia" w:eastAsia="黑体"/>
          <w:color w:val="auto"/>
        </w:rPr>
        <w:t>1</w:t>
      </w:r>
      <w:r>
        <w:rPr>
          <w:rFonts w:eastAsia="黑体"/>
          <w:color w:val="auto"/>
        </w:rPr>
        <w:t xml:space="preserve"> 主要原辅材料用量</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282"/>
        <w:gridCol w:w="897"/>
        <w:gridCol w:w="1803"/>
        <w:gridCol w:w="1441"/>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b/>
                <w:color w:val="auto"/>
                <w:szCs w:val="21"/>
              </w:rPr>
            </w:pPr>
            <w:r>
              <w:rPr>
                <w:rFonts w:hint="default"/>
                <w:b/>
                <w:color w:val="auto"/>
                <w:szCs w:val="21"/>
              </w:rPr>
              <w:t>序号</w:t>
            </w:r>
          </w:p>
        </w:tc>
        <w:tc>
          <w:tcPr>
            <w:tcW w:w="716" w:type="pct"/>
            <w:noWrap w:val="0"/>
            <w:vAlign w:val="center"/>
          </w:tcPr>
          <w:p>
            <w:pPr>
              <w:keepNext w:val="0"/>
              <w:keepLines w:val="0"/>
              <w:suppressLineNumbers w:val="0"/>
              <w:snapToGrid w:val="0"/>
              <w:spacing w:before="0" w:beforeAutospacing="0" w:after="0" w:afterAutospacing="0"/>
              <w:ind w:left="0" w:right="0"/>
              <w:jc w:val="center"/>
              <w:rPr>
                <w:rFonts w:hint="default"/>
                <w:b/>
                <w:bCs/>
                <w:color w:val="auto"/>
                <w:szCs w:val="21"/>
              </w:rPr>
            </w:pPr>
            <w:r>
              <w:rPr>
                <w:rFonts w:hint="default"/>
                <w:b/>
                <w:bCs/>
                <w:color w:val="auto"/>
                <w:szCs w:val="21"/>
              </w:rPr>
              <w:t>名称</w:t>
            </w:r>
          </w:p>
        </w:tc>
        <w:tc>
          <w:tcPr>
            <w:tcW w:w="501" w:type="pct"/>
            <w:noWrap w:val="0"/>
            <w:vAlign w:val="center"/>
          </w:tcPr>
          <w:p>
            <w:pPr>
              <w:keepNext w:val="0"/>
              <w:keepLines w:val="0"/>
              <w:suppressLineNumbers w:val="0"/>
              <w:snapToGrid w:val="0"/>
              <w:spacing w:before="0" w:beforeAutospacing="0" w:after="0" w:afterAutospacing="0"/>
              <w:ind w:left="0" w:right="0"/>
              <w:jc w:val="center"/>
              <w:rPr>
                <w:rFonts w:hint="default"/>
                <w:b/>
                <w:bCs/>
                <w:color w:val="auto"/>
                <w:szCs w:val="21"/>
              </w:rPr>
            </w:pPr>
            <w:r>
              <w:rPr>
                <w:rFonts w:hint="default"/>
                <w:b/>
                <w:bCs/>
                <w:color w:val="auto"/>
                <w:szCs w:val="21"/>
              </w:rPr>
              <w:t>单位</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b/>
                <w:color w:val="auto"/>
                <w:szCs w:val="21"/>
              </w:rPr>
            </w:pPr>
            <w:r>
              <w:rPr>
                <w:rFonts w:hint="default"/>
                <w:b/>
                <w:color w:val="auto"/>
                <w:szCs w:val="21"/>
              </w:rPr>
              <w:t>数量</w:t>
            </w:r>
          </w:p>
        </w:tc>
        <w:tc>
          <w:tcPr>
            <w:tcW w:w="805"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b/>
                <w:color w:val="auto"/>
                <w:szCs w:val="21"/>
              </w:rPr>
            </w:pPr>
            <w:r>
              <w:rPr>
                <w:rFonts w:hint="default"/>
                <w:b/>
                <w:color w:val="auto"/>
                <w:szCs w:val="21"/>
              </w:rPr>
              <w:t>来源</w:t>
            </w:r>
          </w:p>
        </w:tc>
        <w:tc>
          <w:tcPr>
            <w:tcW w:w="159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b/>
                <w:color w:val="auto"/>
                <w:szCs w:val="21"/>
              </w:rPr>
            </w:pPr>
            <w:r>
              <w:rPr>
                <w:rFonts w:hint="default"/>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1</w:t>
            </w:r>
          </w:p>
        </w:tc>
        <w:tc>
          <w:tcPr>
            <w:tcW w:w="716" w:type="pct"/>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2"/>
                <w:szCs w:val="22"/>
              </w:rPr>
            </w:pPr>
            <w:r>
              <w:rPr>
                <w:rFonts w:hint="eastAsia"/>
                <w:color w:val="auto"/>
                <w:sz w:val="22"/>
                <w:szCs w:val="22"/>
              </w:rPr>
              <w:t>牧草</w:t>
            </w:r>
          </w:p>
        </w:tc>
        <w:tc>
          <w:tcPr>
            <w:tcW w:w="501" w:type="pct"/>
            <w:noWrap w:val="0"/>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t/a</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eastAsia="宋体"/>
                <w:color w:val="auto"/>
                <w:szCs w:val="21"/>
                <w:lang w:val="en-US" w:eastAsia="zh-CN"/>
              </w:rPr>
            </w:pPr>
            <w:r>
              <w:rPr>
                <w:rFonts w:hint="eastAsia"/>
                <w:color w:val="auto"/>
                <w:szCs w:val="21"/>
                <w:lang w:val="en-US" w:eastAsia="zh-CN"/>
              </w:rPr>
              <w:t>24000</w:t>
            </w:r>
          </w:p>
        </w:tc>
        <w:tc>
          <w:tcPr>
            <w:tcW w:w="805"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外购</w:t>
            </w:r>
          </w:p>
        </w:tc>
        <w:tc>
          <w:tcPr>
            <w:tcW w:w="159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eastAsia"/>
                <w:color w:val="auto"/>
                <w:szCs w:val="21"/>
              </w:rPr>
              <w:t>粗饲料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2</w:t>
            </w:r>
          </w:p>
        </w:tc>
        <w:tc>
          <w:tcPr>
            <w:tcW w:w="716" w:type="pct"/>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2"/>
                <w:szCs w:val="22"/>
              </w:rPr>
            </w:pPr>
            <w:r>
              <w:rPr>
                <w:rFonts w:hint="eastAsia"/>
                <w:color w:val="auto"/>
                <w:sz w:val="22"/>
                <w:szCs w:val="22"/>
              </w:rPr>
              <w:t>玉米</w:t>
            </w:r>
          </w:p>
        </w:tc>
        <w:tc>
          <w:tcPr>
            <w:tcW w:w="501" w:type="pct"/>
            <w:noWrap w:val="0"/>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t/a</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eastAsia="宋体"/>
                <w:color w:val="auto"/>
                <w:szCs w:val="21"/>
                <w:lang w:val="en-US" w:eastAsia="zh-CN"/>
              </w:rPr>
            </w:pPr>
            <w:r>
              <w:rPr>
                <w:rFonts w:hint="eastAsia"/>
                <w:color w:val="auto"/>
                <w:szCs w:val="21"/>
                <w:lang w:val="en-US" w:eastAsia="zh-CN"/>
              </w:rPr>
              <w:t>12000</w:t>
            </w:r>
          </w:p>
        </w:tc>
        <w:tc>
          <w:tcPr>
            <w:tcW w:w="805"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外购</w:t>
            </w:r>
          </w:p>
        </w:tc>
        <w:tc>
          <w:tcPr>
            <w:tcW w:w="159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eastAsia"/>
                <w:color w:val="auto"/>
                <w:szCs w:val="21"/>
              </w:rPr>
              <w:t>粗饲料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3</w:t>
            </w:r>
          </w:p>
        </w:tc>
        <w:tc>
          <w:tcPr>
            <w:tcW w:w="716" w:type="pct"/>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rPr>
            </w:pPr>
            <w:r>
              <w:rPr>
                <w:rFonts w:hint="eastAsia"/>
                <w:color w:val="auto"/>
                <w:szCs w:val="21"/>
              </w:rPr>
              <w:t>麸皮</w:t>
            </w:r>
          </w:p>
        </w:tc>
        <w:tc>
          <w:tcPr>
            <w:tcW w:w="501" w:type="pct"/>
            <w:noWrap w:val="0"/>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t/a</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eastAsia="宋体"/>
                <w:color w:val="auto"/>
                <w:szCs w:val="21"/>
                <w:lang w:val="en-US" w:eastAsia="zh-CN"/>
              </w:rPr>
            </w:pPr>
            <w:r>
              <w:rPr>
                <w:rFonts w:hint="eastAsia"/>
                <w:color w:val="auto"/>
                <w:szCs w:val="21"/>
                <w:lang w:val="en-US" w:eastAsia="zh-CN"/>
              </w:rPr>
              <w:t>1200</w:t>
            </w:r>
          </w:p>
        </w:tc>
        <w:tc>
          <w:tcPr>
            <w:tcW w:w="805"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外购</w:t>
            </w:r>
          </w:p>
        </w:tc>
        <w:tc>
          <w:tcPr>
            <w:tcW w:w="159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eastAsia"/>
                <w:color w:val="auto"/>
                <w:szCs w:val="21"/>
              </w:rPr>
              <w:t>精饲料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4</w:t>
            </w:r>
          </w:p>
        </w:tc>
        <w:tc>
          <w:tcPr>
            <w:tcW w:w="716" w:type="pct"/>
            <w:noWrap w:val="0"/>
            <w:vAlign w:val="center"/>
          </w:tcPr>
          <w:p>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浓缩料</w:t>
            </w:r>
          </w:p>
        </w:tc>
        <w:tc>
          <w:tcPr>
            <w:tcW w:w="501" w:type="pct"/>
            <w:noWrap w:val="0"/>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t/a</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eastAsia="宋体"/>
                <w:color w:val="auto"/>
                <w:szCs w:val="21"/>
                <w:lang w:val="en-US" w:eastAsia="zh-CN"/>
              </w:rPr>
            </w:pPr>
            <w:r>
              <w:rPr>
                <w:rFonts w:hint="eastAsia"/>
                <w:color w:val="auto"/>
                <w:szCs w:val="21"/>
                <w:lang w:val="en-US" w:eastAsia="zh-CN"/>
              </w:rPr>
              <w:t>3300</w:t>
            </w:r>
          </w:p>
        </w:tc>
        <w:tc>
          <w:tcPr>
            <w:tcW w:w="805"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外购</w:t>
            </w:r>
          </w:p>
        </w:tc>
        <w:tc>
          <w:tcPr>
            <w:tcW w:w="159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eastAsia"/>
                <w:color w:val="auto"/>
                <w:szCs w:val="21"/>
              </w:rPr>
              <w:t>精饲料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eastAsia"/>
                <w:color w:val="auto"/>
                <w:szCs w:val="21"/>
              </w:rPr>
              <w:t>7</w:t>
            </w:r>
          </w:p>
        </w:tc>
        <w:tc>
          <w:tcPr>
            <w:tcW w:w="716" w:type="pct"/>
            <w:noWrap w:val="0"/>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rPr>
              <w:t>疫苗、兽药</w:t>
            </w:r>
          </w:p>
        </w:tc>
        <w:tc>
          <w:tcPr>
            <w:tcW w:w="501" w:type="pct"/>
            <w:noWrap w:val="0"/>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rPr>
              <w:t>份/a</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eastAsia"/>
                <w:color w:val="auto"/>
                <w:szCs w:val="21"/>
                <w:lang w:val="en-US" w:eastAsia="zh-CN"/>
              </w:rPr>
              <w:t>5000</w:t>
            </w:r>
            <w:r>
              <w:rPr>
                <w:rFonts w:hint="default"/>
                <w:color w:val="auto"/>
                <w:szCs w:val="21"/>
              </w:rPr>
              <w:t>（视情况定）</w:t>
            </w:r>
          </w:p>
        </w:tc>
        <w:tc>
          <w:tcPr>
            <w:tcW w:w="805"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rPr>
              <w:t>当地防疫站</w:t>
            </w:r>
          </w:p>
        </w:tc>
        <w:tc>
          <w:tcPr>
            <w:tcW w:w="1596" w:type="pct"/>
            <w:noWrap w:val="0"/>
            <w:vAlign w:val="center"/>
          </w:tcPr>
          <w:p>
            <w:pPr>
              <w:keepNext w:val="0"/>
              <w:keepLines w:val="0"/>
              <w:suppressLineNumbers w:val="0"/>
              <w:snapToGrid w:val="0"/>
              <w:spacing w:before="0" w:beforeAutospacing="0" w:after="0" w:afterAutospacing="0" w:line="220" w:lineRule="atLeast"/>
              <w:ind w:left="0" w:right="0"/>
              <w:rPr>
                <w:rFonts w:hint="default"/>
                <w:color w:val="auto"/>
                <w:szCs w:val="21"/>
              </w:rPr>
            </w:pPr>
            <w:r>
              <w:rPr>
                <w:rFonts w:hint="default"/>
                <w:color w:val="auto"/>
              </w:rPr>
              <w:t>青霉素钾、链霉素、土霉素等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eastAsia"/>
                <w:color w:val="auto"/>
                <w:szCs w:val="21"/>
              </w:rPr>
              <w:t>8</w:t>
            </w:r>
          </w:p>
        </w:tc>
        <w:tc>
          <w:tcPr>
            <w:tcW w:w="71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消毒剂</w:t>
            </w:r>
          </w:p>
        </w:tc>
        <w:tc>
          <w:tcPr>
            <w:tcW w:w="501"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t/a</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eastAsia" w:eastAsia="宋体"/>
                <w:color w:val="auto"/>
                <w:szCs w:val="21"/>
                <w:lang w:eastAsia="zh-CN"/>
              </w:rPr>
            </w:pPr>
            <w:r>
              <w:rPr>
                <w:rFonts w:hint="eastAsia"/>
                <w:color w:val="auto"/>
                <w:szCs w:val="21"/>
                <w:lang w:val="en-US" w:eastAsia="zh-CN"/>
              </w:rPr>
              <w:t>2</w:t>
            </w:r>
          </w:p>
        </w:tc>
        <w:tc>
          <w:tcPr>
            <w:tcW w:w="805" w:type="pct"/>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外购</w:t>
            </w:r>
          </w:p>
        </w:tc>
        <w:tc>
          <w:tcPr>
            <w:tcW w:w="1596" w:type="pct"/>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生物消毒剂（有益菌）、</w:t>
            </w:r>
            <w:r>
              <w:rPr>
                <w:rFonts w:hint="eastAsia"/>
                <w:color w:val="auto"/>
              </w:rPr>
              <w:t>石灰</w:t>
            </w:r>
            <w:r>
              <w:rPr>
                <w:rFonts w:hint="default"/>
                <w:color w:val="auto"/>
              </w:rPr>
              <w:t>、卫可（过硫酸氢钾复合物）等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9</w:t>
            </w:r>
          </w:p>
        </w:tc>
        <w:tc>
          <w:tcPr>
            <w:tcW w:w="71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eastAsia" w:eastAsia="宋体"/>
                <w:color w:val="auto"/>
                <w:szCs w:val="21"/>
                <w:lang w:val="en-US" w:eastAsia="zh-CN"/>
              </w:rPr>
            </w:pPr>
            <w:r>
              <w:rPr>
                <w:rFonts w:hint="eastAsia"/>
                <w:color w:val="auto"/>
                <w:szCs w:val="21"/>
                <w:lang w:val="en-US" w:eastAsia="zh-CN"/>
              </w:rPr>
              <w:t>柴油</w:t>
            </w:r>
          </w:p>
        </w:tc>
        <w:tc>
          <w:tcPr>
            <w:tcW w:w="501" w:type="pct"/>
            <w:noWrap w:val="0"/>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t/a</w:t>
            </w:r>
          </w:p>
        </w:tc>
        <w:tc>
          <w:tcPr>
            <w:tcW w:w="1007" w:type="pct"/>
            <w:noWrap w:val="0"/>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0.2</w:t>
            </w:r>
          </w:p>
        </w:tc>
        <w:tc>
          <w:tcPr>
            <w:tcW w:w="8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color w:val="auto"/>
              </w:rPr>
              <w:t>外购</w:t>
            </w:r>
          </w:p>
        </w:tc>
        <w:tc>
          <w:tcPr>
            <w:tcW w:w="159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用于发电机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10</w:t>
            </w:r>
          </w:p>
        </w:tc>
        <w:tc>
          <w:tcPr>
            <w:tcW w:w="7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电</w:t>
            </w:r>
          </w:p>
        </w:tc>
        <w:tc>
          <w:tcPr>
            <w:tcW w:w="50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万kw·h</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eastAsia="宋体"/>
                <w:color w:val="auto"/>
                <w:szCs w:val="21"/>
                <w:lang w:val="en-US" w:eastAsia="zh-CN"/>
              </w:rPr>
            </w:pPr>
            <w:r>
              <w:rPr>
                <w:rFonts w:hint="eastAsia"/>
                <w:color w:val="auto"/>
                <w:szCs w:val="21"/>
                <w:lang w:val="en-US" w:eastAsia="zh-CN"/>
              </w:rPr>
              <w:t>60</w:t>
            </w:r>
          </w:p>
        </w:tc>
        <w:tc>
          <w:tcPr>
            <w:tcW w:w="805" w:type="pct"/>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乡镇电网供电</w:t>
            </w:r>
          </w:p>
        </w:tc>
        <w:tc>
          <w:tcPr>
            <w:tcW w:w="1596" w:type="pct"/>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11</w:t>
            </w:r>
          </w:p>
        </w:tc>
        <w:tc>
          <w:tcPr>
            <w:tcW w:w="71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水</w:t>
            </w:r>
          </w:p>
        </w:tc>
        <w:tc>
          <w:tcPr>
            <w:tcW w:w="501"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m</w:t>
            </w:r>
            <w:r>
              <w:rPr>
                <w:rFonts w:hint="default"/>
                <w:color w:val="auto"/>
                <w:szCs w:val="21"/>
                <w:vertAlign w:val="superscript"/>
              </w:rPr>
              <w:t>3</w:t>
            </w:r>
            <w:r>
              <w:rPr>
                <w:rFonts w:hint="default"/>
                <w:color w:val="auto"/>
                <w:szCs w:val="21"/>
              </w:rPr>
              <w:t>/a</w:t>
            </w:r>
          </w:p>
        </w:tc>
        <w:tc>
          <w:tcPr>
            <w:tcW w:w="1007" w:type="pct"/>
            <w:noWrap w:val="0"/>
            <w:vAlign w:val="center"/>
          </w:tcPr>
          <w:p>
            <w:pPr>
              <w:keepNext w:val="0"/>
              <w:keepLines w:val="0"/>
              <w:suppressLineNumbers w:val="0"/>
              <w:spacing w:before="0" w:beforeAutospacing="0" w:after="0" w:afterAutospacing="0"/>
              <w:ind w:left="0" w:right="0"/>
              <w:jc w:val="center"/>
              <w:rPr>
                <w:rFonts w:hint="default"/>
                <w:color w:val="auto"/>
                <w:szCs w:val="21"/>
                <w:lang w:val="en-US"/>
              </w:rPr>
            </w:pPr>
            <w:r>
              <w:rPr>
                <w:rFonts w:hint="eastAsia"/>
                <w:color w:val="auto"/>
                <w:kern w:val="0"/>
                <w:lang w:val="en-US" w:eastAsia="zh-CN"/>
              </w:rPr>
              <w:t>142116.4</w:t>
            </w:r>
          </w:p>
        </w:tc>
        <w:tc>
          <w:tcPr>
            <w:tcW w:w="805" w:type="pct"/>
            <w:noWrap w:val="0"/>
            <w:vAlign w:val="center"/>
          </w:tcPr>
          <w:p>
            <w:pPr>
              <w:keepNext w:val="0"/>
              <w:keepLines w:val="0"/>
              <w:suppressLineNumbers w:val="0"/>
              <w:snapToGrid w:val="0"/>
              <w:spacing w:before="0" w:beforeAutospacing="0" w:after="0" w:afterAutospacing="0" w:line="220" w:lineRule="atLeast"/>
              <w:ind w:left="0" w:right="0"/>
              <w:jc w:val="center"/>
              <w:rPr>
                <w:rFonts w:hint="eastAsia" w:eastAsia="宋体"/>
                <w:color w:val="auto"/>
                <w:szCs w:val="21"/>
                <w:lang w:eastAsia="zh-CN"/>
              </w:rPr>
            </w:pPr>
            <w:r>
              <w:rPr>
                <w:rFonts w:hint="eastAsia"/>
                <w:color w:val="auto"/>
                <w:szCs w:val="21"/>
                <w:lang w:val="en-US" w:eastAsia="zh-CN"/>
              </w:rPr>
              <w:t>自来水</w:t>
            </w:r>
          </w:p>
        </w:tc>
        <w:tc>
          <w:tcPr>
            <w:tcW w:w="1596" w:type="pct"/>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73" w:type="pct"/>
            <w:noWrap w:val="0"/>
            <w:vAlign w:val="center"/>
          </w:tcPr>
          <w:p>
            <w:pPr>
              <w:keepNext w:val="0"/>
              <w:keepLines w:val="0"/>
              <w:suppressLineNumbers w:val="0"/>
              <w:snapToGrid w:val="0"/>
              <w:spacing w:before="0" w:beforeAutospacing="0" w:after="0" w:afterAutospacing="0" w:line="220" w:lineRule="atLeast"/>
              <w:ind w:left="0" w:right="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2</w:t>
            </w:r>
          </w:p>
        </w:tc>
        <w:tc>
          <w:tcPr>
            <w:tcW w:w="716"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生物除臭剂</w:t>
            </w:r>
          </w:p>
        </w:tc>
        <w:tc>
          <w:tcPr>
            <w:tcW w:w="501"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szCs w:val="21"/>
              </w:rPr>
            </w:pPr>
            <w:r>
              <w:rPr>
                <w:rFonts w:hint="default"/>
                <w:color w:val="auto"/>
                <w:szCs w:val="21"/>
              </w:rPr>
              <w:t>t/a</w:t>
            </w:r>
          </w:p>
        </w:tc>
        <w:tc>
          <w:tcPr>
            <w:tcW w:w="1007"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eastAsia="宋体"/>
                <w:color w:val="auto"/>
                <w:szCs w:val="21"/>
                <w:lang w:val="en-US" w:eastAsia="zh-CN"/>
              </w:rPr>
            </w:pPr>
            <w:r>
              <w:rPr>
                <w:rFonts w:hint="eastAsia"/>
                <w:color w:val="auto"/>
                <w:szCs w:val="21"/>
                <w:lang w:val="en-US" w:eastAsia="zh-CN"/>
              </w:rPr>
              <w:t>240</w:t>
            </w:r>
          </w:p>
        </w:tc>
        <w:tc>
          <w:tcPr>
            <w:tcW w:w="805" w:type="pct"/>
            <w:noWrap w:val="0"/>
            <w:vAlign w:val="center"/>
          </w:tcPr>
          <w:p>
            <w:pPr>
              <w:keepNext w:val="0"/>
              <w:keepLines w:val="0"/>
              <w:suppressLineNumbers w:val="0"/>
              <w:snapToGrid w:val="0"/>
              <w:spacing w:before="0" w:beforeAutospacing="0" w:after="0" w:afterAutospacing="0" w:line="220" w:lineRule="atLeast"/>
              <w:ind w:left="0" w:right="0"/>
              <w:jc w:val="center"/>
              <w:rPr>
                <w:rFonts w:hint="default"/>
                <w:color w:val="auto"/>
              </w:rPr>
            </w:pPr>
            <w:r>
              <w:rPr>
                <w:rFonts w:hint="default"/>
                <w:color w:val="auto"/>
              </w:rPr>
              <w:t>外购</w:t>
            </w:r>
          </w:p>
        </w:tc>
        <w:tc>
          <w:tcPr>
            <w:tcW w:w="1596" w:type="pct"/>
            <w:noWrap w:val="0"/>
            <w:vAlign w:val="center"/>
          </w:tcPr>
          <w:p>
            <w:pPr>
              <w:keepNext w:val="0"/>
              <w:keepLines w:val="0"/>
              <w:suppressLineNumbers w:val="0"/>
              <w:spacing w:before="0" w:beforeAutospacing="0" w:after="0" w:afterAutospacing="0"/>
              <w:ind w:left="0" w:right="0"/>
              <w:jc w:val="center"/>
              <w:rPr>
                <w:rFonts w:hint="default"/>
                <w:color w:val="auto"/>
              </w:rPr>
            </w:pPr>
          </w:p>
        </w:tc>
      </w:tr>
    </w:tbl>
    <w:p>
      <w:pPr>
        <w:jc w:val="center"/>
        <w:rPr>
          <w:rFonts w:eastAsia="黑体"/>
          <w:color w:val="auto"/>
        </w:rPr>
      </w:pPr>
    </w:p>
    <w:p>
      <w:pPr>
        <w:pStyle w:val="180"/>
        <w:keepNext/>
        <w:keepLines/>
        <w:pageBreakBefore w:val="0"/>
        <w:widowControl w:val="0"/>
        <w:kinsoku/>
        <w:wordWrap/>
        <w:overflowPunct/>
        <w:topLinePunct w:val="0"/>
        <w:autoSpaceDE/>
        <w:autoSpaceDN/>
        <w:bidi w:val="0"/>
        <w:adjustRightInd w:val="0"/>
        <w:snapToGrid/>
        <w:spacing w:before="0" w:beforeLines="50"/>
        <w:textAlignment w:val="baseline"/>
        <w:rPr>
          <w:rFonts w:hint="default" w:ascii="Times New Roman" w:hAnsi="Times New Roman" w:cs="Times New Roman" w:eastAsiaTheme="majorEastAsia"/>
          <w:b/>
          <w:bCs w:val="0"/>
          <w:color w:val="auto"/>
          <w:sz w:val="24"/>
          <w:szCs w:val="24"/>
        </w:rPr>
      </w:pPr>
      <w:bookmarkStart w:id="210" w:name="_Toc357495542"/>
      <w:bookmarkStart w:id="211" w:name="_Toc369359675"/>
      <w:bookmarkStart w:id="212" w:name="_Toc369191625"/>
      <w:bookmarkStart w:id="213" w:name="_Toc369197790"/>
      <w:bookmarkStart w:id="214" w:name="_Toc369334628"/>
      <w:bookmarkStart w:id="215" w:name="_Toc369334808"/>
      <w:bookmarkStart w:id="216" w:name="_Toc24642"/>
      <w:r>
        <w:rPr>
          <w:rFonts w:hint="default" w:ascii="Times New Roman" w:hAnsi="Times New Roman" w:cs="Times New Roman" w:eastAsiaTheme="majorEastAsia"/>
          <w:b/>
          <w:bCs w:val="0"/>
          <w:color w:val="auto"/>
          <w:sz w:val="24"/>
          <w:szCs w:val="24"/>
        </w:rPr>
        <w:t>水平衡分析</w:t>
      </w:r>
      <w:bookmarkEnd w:id="210"/>
      <w:bookmarkEnd w:id="211"/>
      <w:bookmarkEnd w:id="212"/>
      <w:bookmarkEnd w:id="213"/>
      <w:bookmarkEnd w:id="214"/>
      <w:bookmarkEnd w:id="215"/>
      <w:bookmarkEnd w:id="216"/>
    </w:p>
    <w:p>
      <w:pPr>
        <w:adjustRightInd w:val="0"/>
        <w:snapToGrid w:val="0"/>
        <w:spacing w:line="360" w:lineRule="auto"/>
        <w:ind w:firstLine="480" w:firstLineChars="200"/>
        <w:rPr>
          <w:color w:val="auto"/>
          <w:sz w:val="24"/>
          <w:u w:val="single"/>
        </w:rPr>
      </w:pPr>
      <w:r>
        <w:rPr>
          <w:color w:val="auto"/>
          <w:sz w:val="24"/>
        </w:rPr>
        <w:t>项目运营期主要为牛饮水、</w:t>
      </w:r>
      <w:r>
        <w:rPr>
          <w:rFonts w:hint="eastAsia"/>
          <w:color w:val="auto"/>
          <w:sz w:val="24"/>
          <w:u w:val="none"/>
        </w:rPr>
        <w:t>地面冲洗用水</w:t>
      </w:r>
      <w:r>
        <w:rPr>
          <w:rFonts w:hint="eastAsia"/>
          <w:color w:val="auto"/>
          <w:sz w:val="24"/>
          <w:lang w:eastAsia="zh-CN"/>
        </w:rPr>
        <w:t>、</w:t>
      </w:r>
      <w:r>
        <w:rPr>
          <w:color w:val="auto"/>
          <w:sz w:val="24"/>
        </w:rPr>
        <w:t>消毒用水、员工办公生活用水等需要用水。</w:t>
      </w:r>
      <w:r>
        <w:rPr>
          <w:color w:val="auto"/>
          <w:sz w:val="24"/>
          <w:u w:val="none"/>
        </w:rPr>
        <w:t>项目不进行车辆清洗，运输车辆在场外进行冲洗后方能进场，入场后通过出入口车辆消毒池和车厢喷洒消毒液的形式进行消毒，消毒液自然蒸发，无废水排放。</w:t>
      </w:r>
    </w:p>
    <w:p>
      <w:pPr>
        <w:adjustRightInd w:val="0"/>
        <w:snapToGrid w:val="0"/>
        <w:spacing w:line="360" w:lineRule="auto"/>
        <w:ind w:firstLine="480" w:firstLineChars="200"/>
        <w:rPr>
          <w:color w:val="auto"/>
          <w:sz w:val="24"/>
        </w:rPr>
      </w:pPr>
      <w:r>
        <w:rPr>
          <w:color w:val="auto"/>
          <w:sz w:val="24"/>
        </w:rPr>
        <w:t>（1）用水</w:t>
      </w:r>
    </w:p>
    <w:p>
      <w:pPr>
        <w:adjustRightInd w:val="0"/>
        <w:snapToGrid w:val="0"/>
        <w:spacing w:line="360" w:lineRule="auto"/>
        <w:ind w:firstLine="480" w:firstLineChars="200"/>
        <w:rPr>
          <w:color w:val="auto"/>
          <w:sz w:val="24"/>
        </w:rPr>
      </w:pPr>
      <w:r>
        <w:rPr>
          <w:rFonts w:hint="eastAsia"/>
          <w:color w:val="auto"/>
          <w:sz w:val="24"/>
        </w:rPr>
        <w:t>①</w:t>
      </w:r>
      <w:r>
        <w:rPr>
          <w:color w:val="auto"/>
          <w:sz w:val="24"/>
        </w:rPr>
        <w:t>牛饮水</w:t>
      </w:r>
    </w:p>
    <w:p>
      <w:pPr>
        <w:adjustRightInd w:val="0"/>
        <w:snapToGrid w:val="0"/>
        <w:spacing w:line="360" w:lineRule="auto"/>
        <w:ind w:firstLine="480" w:firstLineChars="200"/>
        <w:rPr>
          <w:color w:val="auto"/>
          <w:sz w:val="24"/>
          <w:szCs w:val="22"/>
        </w:rPr>
      </w:pPr>
      <w:r>
        <w:rPr>
          <w:rFonts w:hint="eastAsia"/>
          <w:color w:val="auto"/>
          <w:sz w:val="24"/>
          <w:szCs w:val="22"/>
        </w:rPr>
        <w:t>本项目年存栏</w:t>
      </w:r>
      <w:r>
        <w:rPr>
          <w:rFonts w:hint="eastAsia"/>
          <w:color w:val="auto"/>
          <w:sz w:val="24"/>
          <w:szCs w:val="22"/>
          <w:lang w:val="en-US" w:eastAsia="zh-CN"/>
        </w:rPr>
        <w:t>肉</w:t>
      </w:r>
      <w:r>
        <w:rPr>
          <w:rFonts w:hint="eastAsia"/>
          <w:color w:val="auto"/>
          <w:sz w:val="24"/>
          <w:szCs w:val="22"/>
        </w:rPr>
        <w:t>牛规模为</w:t>
      </w:r>
      <w:r>
        <w:rPr>
          <w:rFonts w:hint="eastAsia"/>
          <w:color w:val="auto"/>
          <w:sz w:val="24"/>
          <w:szCs w:val="22"/>
          <w:lang w:val="en-US" w:eastAsia="zh-CN"/>
        </w:rPr>
        <w:t>9734</w:t>
      </w:r>
      <w:r>
        <w:rPr>
          <w:rFonts w:hint="eastAsia"/>
          <w:color w:val="auto"/>
          <w:sz w:val="24"/>
          <w:szCs w:val="22"/>
        </w:rPr>
        <w:t>头，根据《四川省用水定额》川府函〔2021〕8 号，牛只消耗新鲜水</w:t>
      </w:r>
      <w:r>
        <w:rPr>
          <w:rFonts w:hint="eastAsia"/>
          <w:color w:val="auto"/>
          <w:sz w:val="24"/>
          <w:szCs w:val="22"/>
          <w:lang w:val="en-US" w:eastAsia="zh-CN"/>
        </w:rPr>
        <w:t>4</w:t>
      </w:r>
      <w:r>
        <w:rPr>
          <w:rFonts w:hint="eastAsia"/>
          <w:color w:val="auto"/>
          <w:sz w:val="24"/>
          <w:szCs w:val="22"/>
        </w:rPr>
        <w:t>0L/头·d，则项目牛饮水消耗新鲜水总量约为</w:t>
      </w:r>
      <w:r>
        <w:rPr>
          <w:rFonts w:hint="eastAsia"/>
          <w:color w:val="auto"/>
          <w:sz w:val="24"/>
          <w:szCs w:val="22"/>
          <w:lang w:val="en-US" w:eastAsia="zh-CN"/>
        </w:rPr>
        <w:t>389.36</w:t>
      </w:r>
      <w:r>
        <w:rPr>
          <w:rFonts w:hint="eastAsia"/>
          <w:color w:val="auto"/>
          <w:sz w:val="24"/>
          <w:szCs w:val="22"/>
        </w:rPr>
        <w:t>m</w:t>
      </w:r>
      <w:r>
        <w:rPr>
          <w:rFonts w:hint="eastAsia"/>
          <w:color w:val="auto"/>
          <w:sz w:val="24"/>
          <w:szCs w:val="22"/>
          <w:vertAlign w:val="superscript"/>
        </w:rPr>
        <w:t>3</w:t>
      </w:r>
      <w:r>
        <w:rPr>
          <w:rFonts w:hint="eastAsia"/>
          <w:color w:val="auto"/>
          <w:sz w:val="24"/>
          <w:szCs w:val="22"/>
        </w:rPr>
        <w:t>/d，</w:t>
      </w:r>
      <w:r>
        <w:rPr>
          <w:rFonts w:hint="eastAsia"/>
          <w:color w:val="auto"/>
          <w:sz w:val="24"/>
          <w:szCs w:val="22"/>
          <w:lang w:val="en-US" w:eastAsia="zh-CN"/>
        </w:rPr>
        <w:t>142116.4</w:t>
      </w:r>
      <w:r>
        <w:rPr>
          <w:rFonts w:hint="eastAsia"/>
          <w:color w:val="auto"/>
          <w:sz w:val="24"/>
          <w:szCs w:val="22"/>
        </w:rPr>
        <w:t>m</w:t>
      </w:r>
      <w:r>
        <w:rPr>
          <w:rFonts w:hint="eastAsia"/>
          <w:color w:val="auto"/>
          <w:sz w:val="24"/>
          <w:szCs w:val="22"/>
          <w:vertAlign w:val="superscript"/>
        </w:rPr>
        <w:t>3</w:t>
      </w:r>
      <w:r>
        <w:rPr>
          <w:rFonts w:hint="eastAsia"/>
          <w:color w:val="auto"/>
          <w:sz w:val="24"/>
          <w:szCs w:val="22"/>
        </w:rPr>
        <w:t>/</w:t>
      </w:r>
      <w:r>
        <w:rPr>
          <w:rFonts w:hint="eastAsia"/>
          <w:color w:val="auto"/>
          <w:sz w:val="24"/>
          <w:szCs w:val="22"/>
          <w:lang w:val="en-US" w:eastAsia="zh-CN"/>
        </w:rPr>
        <w:t>a</w:t>
      </w:r>
      <w:r>
        <w:rPr>
          <w:color w:val="auto"/>
          <w:sz w:val="24"/>
          <w:szCs w:val="22"/>
        </w:rPr>
        <w:t>。</w:t>
      </w:r>
    </w:p>
    <w:p>
      <w:pPr>
        <w:adjustRightInd w:val="0"/>
        <w:snapToGrid w:val="0"/>
        <w:spacing w:line="360" w:lineRule="auto"/>
        <w:ind w:firstLine="480" w:firstLineChars="200"/>
        <w:rPr>
          <w:rFonts w:hint="eastAsia"/>
          <w:color w:val="auto"/>
          <w:sz w:val="24"/>
        </w:rPr>
      </w:pPr>
      <w:r>
        <w:rPr>
          <w:rFonts w:hint="eastAsia"/>
          <w:color w:val="auto"/>
          <w:sz w:val="24"/>
          <w:lang w:val="en-US" w:eastAsia="zh-CN"/>
        </w:rPr>
        <w:t>②</w:t>
      </w:r>
      <w:r>
        <w:rPr>
          <w:rFonts w:hint="eastAsia"/>
          <w:color w:val="auto"/>
          <w:sz w:val="24"/>
        </w:rPr>
        <w:t>牛舍降温系统用水</w:t>
      </w:r>
    </w:p>
    <w:p>
      <w:pPr>
        <w:adjustRightInd w:val="0"/>
        <w:snapToGrid w:val="0"/>
        <w:spacing w:line="360" w:lineRule="auto"/>
        <w:ind w:firstLine="480" w:firstLineChars="200"/>
        <w:rPr>
          <w:rFonts w:hint="eastAsia"/>
          <w:color w:val="auto"/>
          <w:sz w:val="24"/>
        </w:rPr>
      </w:pPr>
      <w:r>
        <w:rPr>
          <w:rFonts w:hint="eastAsia"/>
          <w:color w:val="auto"/>
          <w:sz w:val="24"/>
        </w:rPr>
        <w:t>本项目牛舍夏季降温采用电风扇辅助喷淋设施，犊牛舍不设喷淋降温设施。喷淋器安装在牛舍顶部，为减少耗水量且保持降温效果，喷淋器采取间断而频繁的运行方式，一般每天喷淋5~6次，隔1小时喷淋一次。根据建设单位提供的资料，喷淋用水约为</w:t>
      </w:r>
      <w:r>
        <w:rPr>
          <w:rFonts w:hint="eastAsia"/>
          <w:color w:val="auto"/>
          <w:sz w:val="24"/>
          <w:lang w:val="en-US" w:eastAsia="zh-CN"/>
        </w:rPr>
        <w:t>12</w:t>
      </w:r>
      <w:r>
        <w:rPr>
          <w:rFonts w:hint="eastAsia"/>
          <w:color w:val="auto"/>
          <w:sz w:val="24"/>
        </w:rPr>
        <w:t>t/d，用水时间按3个月计，则全年用水量为</w:t>
      </w:r>
      <w:r>
        <w:rPr>
          <w:rFonts w:hint="eastAsia"/>
          <w:color w:val="auto"/>
          <w:sz w:val="24"/>
          <w:lang w:val="en-US" w:eastAsia="zh-CN"/>
        </w:rPr>
        <w:t>1080</w:t>
      </w:r>
      <w:r>
        <w:rPr>
          <w:rFonts w:hint="eastAsia"/>
          <w:color w:val="auto"/>
          <w:sz w:val="24"/>
        </w:rPr>
        <w:t>t/a。喷淋的水大部分喷洒在牛体上，少量滴落至牛舍内，由于夏季温度高，加之辅助电风扇降温，喷淋水多数均以蒸发的形式散失，仅极少部分进入粪污中，喷淋水在高温和风扇辅助降温下，全部以蒸发的形式散失。</w:t>
      </w:r>
    </w:p>
    <w:p>
      <w:pPr>
        <w:adjustRightInd w:val="0"/>
        <w:snapToGrid w:val="0"/>
        <w:spacing w:line="360" w:lineRule="auto"/>
        <w:ind w:firstLine="480" w:firstLineChars="200"/>
        <w:rPr>
          <w:color w:val="auto"/>
          <w:sz w:val="24"/>
        </w:rPr>
      </w:pPr>
      <w:r>
        <w:rPr>
          <w:rFonts w:hint="eastAsia"/>
          <w:color w:val="auto"/>
          <w:sz w:val="24"/>
        </w:rPr>
        <w:t>③</w:t>
      </w:r>
      <w:r>
        <w:rPr>
          <w:color w:val="auto"/>
          <w:sz w:val="24"/>
        </w:rPr>
        <w:t>消毒用水</w:t>
      </w:r>
    </w:p>
    <w:p>
      <w:pPr>
        <w:adjustRightInd w:val="0"/>
        <w:snapToGrid w:val="0"/>
        <w:spacing w:line="360" w:lineRule="auto"/>
        <w:ind w:firstLine="480" w:firstLineChars="200"/>
        <w:rPr>
          <w:color w:val="auto"/>
          <w:sz w:val="24"/>
        </w:rPr>
      </w:pPr>
      <w:r>
        <w:rPr>
          <w:color w:val="auto"/>
          <w:sz w:val="24"/>
        </w:rPr>
        <w:t>为营造安全卫生的养殖环境，减少动物疫病的发生，保证产品质量，项目主要定期对养殖区和场区道路</w:t>
      </w:r>
      <w:r>
        <w:rPr>
          <w:rFonts w:hint="eastAsia"/>
          <w:color w:val="auto"/>
          <w:sz w:val="24"/>
        </w:rPr>
        <w:t>、进出场区人员</w:t>
      </w:r>
      <w:r>
        <w:rPr>
          <w:color w:val="auto"/>
          <w:sz w:val="24"/>
        </w:rPr>
        <w:t>进行消毒，同时养殖区各出入口设置</w:t>
      </w:r>
      <w:r>
        <w:rPr>
          <w:rFonts w:hint="eastAsia"/>
          <w:color w:val="auto"/>
          <w:sz w:val="24"/>
        </w:rPr>
        <w:t>车辆</w:t>
      </w:r>
      <w:r>
        <w:rPr>
          <w:color w:val="auto"/>
          <w:sz w:val="24"/>
        </w:rPr>
        <w:t>消毒池</w:t>
      </w:r>
      <w:r>
        <w:rPr>
          <w:rFonts w:hint="eastAsia"/>
          <w:color w:val="auto"/>
          <w:sz w:val="24"/>
        </w:rPr>
        <w:t>和消毒间</w:t>
      </w:r>
      <w:r>
        <w:rPr>
          <w:color w:val="auto"/>
          <w:sz w:val="24"/>
        </w:rPr>
        <w:t>。项目消毒池</w:t>
      </w:r>
      <w:r>
        <w:rPr>
          <w:rFonts w:hint="eastAsia"/>
          <w:color w:val="auto"/>
          <w:sz w:val="24"/>
        </w:rPr>
        <w:t>和消毒间</w:t>
      </w:r>
      <w:r>
        <w:rPr>
          <w:color w:val="auto"/>
          <w:sz w:val="24"/>
        </w:rPr>
        <w:t>无外排废水</w:t>
      </w:r>
      <w:r>
        <w:rPr>
          <w:rFonts w:hint="eastAsia"/>
          <w:color w:val="auto"/>
          <w:sz w:val="24"/>
        </w:rPr>
        <w:t>。</w:t>
      </w:r>
      <w:r>
        <w:rPr>
          <w:color w:val="auto"/>
          <w:sz w:val="24"/>
        </w:rPr>
        <w:t>消毒池只</w:t>
      </w:r>
      <w:r>
        <w:rPr>
          <w:rFonts w:hint="eastAsia"/>
          <w:color w:val="auto"/>
          <w:sz w:val="24"/>
        </w:rPr>
        <w:t>需</w:t>
      </w:r>
      <w:r>
        <w:rPr>
          <w:color w:val="auto"/>
          <w:sz w:val="24"/>
        </w:rPr>
        <w:t>定期加入清水和药剂，</w:t>
      </w:r>
      <w:r>
        <w:rPr>
          <w:rFonts w:hint="eastAsia"/>
          <w:color w:val="auto"/>
          <w:sz w:val="24"/>
        </w:rPr>
        <w:t>不排水。消毒间做喷雾消毒，人员在消毒间停留</w:t>
      </w:r>
      <w:r>
        <w:rPr>
          <w:color w:val="auto"/>
          <w:sz w:val="24"/>
        </w:rPr>
        <w:t>1</w:t>
      </w:r>
      <w:r>
        <w:rPr>
          <w:rFonts w:hint="eastAsia"/>
          <w:color w:val="auto"/>
          <w:sz w:val="24"/>
        </w:rPr>
        <w:t>min即可，消毒液雾自然挥发，无废水排放。</w:t>
      </w:r>
      <w:r>
        <w:rPr>
          <w:color w:val="auto"/>
          <w:sz w:val="24"/>
        </w:rPr>
        <w:t>项目消毒剂年用量约</w:t>
      </w:r>
      <w:r>
        <w:rPr>
          <w:rFonts w:hint="eastAsia"/>
          <w:color w:val="auto"/>
          <w:sz w:val="24"/>
          <w:lang w:val="en-US" w:eastAsia="zh-CN"/>
        </w:rPr>
        <w:t>2</w:t>
      </w:r>
      <w:r>
        <w:rPr>
          <w:color w:val="auto"/>
          <w:sz w:val="24"/>
        </w:rPr>
        <w:t>t，以1:1000的稀释比例进行稀释，则需加入的水量为</w:t>
      </w:r>
      <w:r>
        <w:rPr>
          <w:rFonts w:hint="eastAsia"/>
          <w:color w:val="auto"/>
          <w:sz w:val="24"/>
          <w:lang w:val="en-US" w:eastAsia="zh-CN"/>
        </w:rPr>
        <w:t>2</w:t>
      </w:r>
      <w:r>
        <w:rPr>
          <w:color w:val="auto"/>
          <w:sz w:val="24"/>
        </w:rPr>
        <w:t>000m</w:t>
      </w:r>
      <w:r>
        <w:rPr>
          <w:color w:val="auto"/>
          <w:sz w:val="24"/>
          <w:vertAlign w:val="superscript"/>
        </w:rPr>
        <w:t>3</w:t>
      </w:r>
      <w:r>
        <w:rPr>
          <w:color w:val="auto"/>
          <w:sz w:val="24"/>
        </w:rPr>
        <w:t>/a，全部蒸发损耗。</w:t>
      </w:r>
    </w:p>
    <w:p>
      <w:pPr>
        <w:adjustRightInd w:val="0"/>
        <w:snapToGrid w:val="0"/>
        <w:spacing w:line="360" w:lineRule="auto"/>
        <w:ind w:firstLine="480" w:firstLineChars="200"/>
        <w:rPr>
          <w:color w:val="auto"/>
          <w:sz w:val="24"/>
        </w:rPr>
      </w:pPr>
      <w:r>
        <w:rPr>
          <w:color w:val="auto"/>
          <w:sz w:val="24"/>
        </w:rPr>
        <w:t>项目消毒剂主要采用</w:t>
      </w:r>
      <w:r>
        <w:rPr>
          <w:rFonts w:hint="eastAsia"/>
          <w:color w:val="auto"/>
          <w:sz w:val="24"/>
        </w:rPr>
        <w:t>石灰</w:t>
      </w:r>
      <w:r>
        <w:rPr>
          <w:color w:val="auto"/>
          <w:sz w:val="24"/>
        </w:rPr>
        <w:t>和卫可。</w:t>
      </w:r>
    </w:p>
    <w:p>
      <w:pPr>
        <w:adjustRightInd w:val="0"/>
        <w:snapToGrid w:val="0"/>
        <w:spacing w:line="360" w:lineRule="auto"/>
        <w:ind w:firstLine="480" w:firstLineChars="200"/>
        <w:rPr>
          <w:rFonts w:hint="eastAsia"/>
          <w:color w:val="auto"/>
          <w:sz w:val="24"/>
        </w:rPr>
      </w:pPr>
      <w:r>
        <w:rPr>
          <w:rFonts w:hint="eastAsia"/>
          <w:color w:val="auto"/>
          <w:sz w:val="24"/>
          <w:lang w:val="en-US" w:eastAsia="zh-CN"/>
        </w:rPr>
        <w:t>④</w:t>
      </w:r>
      <w:r>
        <w:rPr>
          <w:rFonts w:hint="eastAsia"/>
          <w:color w:val="auto"/>
          <w:sz w:val="24"/>
        </w:rPr>
        <w:t>地面清洗用水</w:t>
      </w:r>
    </w:p>
    <w:p>
      <w:pPr>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牛</w:t>
      </w:r>
      <w:r>
        <w:rPr>
          <w:rFonts w:hint="default" w:ascii="Times New Roman" w:hAnsi="Times New Roman" w:cs="Times New Roman"/>
          <w:color w:val="auto"/>
          <w:sz w:val="24"/>
        </w:rPr>
        <w:t>舍采用干清粪工艺，一般情况不对</w:t>
      </w:r>
      <w:r>
        <w:rPr>
          <w:rFonts w:hint="default" w:ascii="Times New Roman" w:hAnsi="Times New Roman" w:cs="Times New Roman"/>
          <w:color w:val="auto"/>
          <w:sz w:val="24"/>
          <w:lang w:val="en-US" w:eastAsia="zh-CN"/>
        </w:rPr>
        <w:t>牛</w:t>
      </w:r>
      <w:r>
        <w:rPr>
          <w:rFonts w:hint="default" w:ascii="Times New Roman" w:hAnsi="Times New Roman" w:cs="Times New Roman"/>
          <w:color w:val="auto"/>
          <w:sz w:val="24"/>
        </w:rPr>
        <w:t>舍进行冲洗。为满足</w:t>
      </w:r>
      <w:r>
        <w:rPr>
          <w:rFonts w:hint="eastAsia" w:cs="Times New Roman"/>
          <w:color w:val="auto"/>
          <w:sz w:val="24"/>
          <w:lang w:eastAsia="zh-CN"/>
        </w:rPr>
        <w:t>牛</w:t>
      </w:r>
      <w:r>
        <w:rPr>
          <w:rFonts w:hint="default" w:ascii="Times New Roman" w:hAnsi="Times New Roman" w:cs="Times New Roman"/>
          <w:color w:val="auto"/>
          <w:sz w:val="24"/>
        </w:rPr>
        <w:t>舍清洁消毒要求，</w:t>
      </w:r>
      <w:r>
        <w:rPr>
          <w:rFonts w:hint="default" w:ascii="Times New Roman" w:hAnsi="Times New Roman" w:cs="Times New Roman"/>
          <w:color w:val="auto"/>
          <w:sz w:val="24"/>
          <w:lang w:val="en-US" w:eastAsia="zh-CN"/>
        </w:rPr>
        <w:t>牛</w:t>
      </w:r>
      <w:r>
        <w:rPr>
          <w:rFonts w:hint="default" w:ascii="Times New Roman" w:hAnsi="Times New Roman" w:cs="Times New Roman"/>
          <w:color w:val="auto"/>
          <w:sz w:val="24"/>
        </w:rPr>
        <w:t>舍安排冲洗时间为：夏季每月冲洗两次、春秋两季每月冲洗一次、冬季冲洗一次，因此，每年约冲洗13次。本项目</w:t>
      </w:r>
      <w:r>
        <w:rPr>
          <w:rFonts w:hint="default" w:ascii="Times New Roman" w:hAnsi="Times New Roman" w:cs="Times New Roman"/>
          <w:color w:val="auto"/>
          <w:sz w:val="24"/>
          <w:lang w:val="en-US" w:eastAsia="zh-CN"/>
        </w:rPr>
        <w:t>牛</w:t>
      </w:r>
      <w:r>
        <w:rPr>
          <w:rFonts w:hint="default" w:ascii="Times New Roman" w:hAnsi="Times New Roman" w:cs="Times New Roman"/>
          <w:color w:val="auto"/>
          <w:sz w:val="24"/>
        </w:rPr>
        <w:t>舍冲洗用水以</w:t>
      </w:r>
      <w:r>
        <w:rPr>
          <w:rFonts w:hint="default" w:ascii="Times New Roman" w:hAnsi="Times New Roman" w:cs="Times New Roman"/>
          <w:color w:val="auto"/>
          <w:sz w:val="24"/>
          <w:lang w:val="en-US" w:eastAsia="zh-CN"/>
        </w:rPr>
        <w:t>存</w:t>
      </w:r>
      <w:r>
        <w:rPr>
          <w:rFonts w:hint="default" w:ascii="Times New Roman" w:hAnsi="Times New Roman" w:cs="Times New Roman"/>
          <w:color w:val="auto"/>
          <w:sz w:val="24"/>
        </w:rPr>
        <w:t>栏</w:t>
      </w:r>
      <w:r>
        <w:rPr>
          <w:rFonts w:hint="default" w:ascii="Times New Roman" w:hAnsi="Times New Roman" w:cs="Times New Roman"/>
          <w:color w:val="auto"/>
          <w:sz w:val="24"/>
          <w:lang w:val="en-US" w:eastAsia="zh-CN"/>
        </w:rPr>
        <w:t>牛</w:t>
      </w:r>
      <w:r>
        <w:rPr>
          <w:rFonts w:hint="default" w:ascii="Times New Roman" w:hAnsi="Times New Roman" w:cs="Times New Roman"/>
          <w:color w:val="auto"/>
          <w:sz w:val="24"/>
        </w:rPr>
        <w:t>（</w:t>
      </w:r>
      <w:r>
        <w:rPr>
          <w:rFonts w:hint="eastAsia" w:cs="Times New Roman"/>
          <w:color w:val="auto"/>
          <w:sz w:val="24"/>
          <w:lang w:val="en-US" w:eastAsia="zh-CN"/>
        </w:rPr>
        <w:t>9734</w:t>
      </w:r>
      <w:r>
        <w:rPr>
          <w:rFonts w:hint="default" w:ascii="Times New Roman" w:hAnsi="Times New Roman" w:cs="Times New Roman"/>
          <w:color w:val="auto"/>
          <w:sz w:val="24"/>
        </w:rPr>
        <w:t>头/年）进行核算。根据《全国规模化畜禽养殖业污染情况调查及防治对策》（国家环保总局自然生态保护司），结合业主提供资料，本项目冲洗水用水标准约18L/头·次，则项目冲洗水量</w:t>
      </w:r>
      <w:r>
        <w:rPr>
          <w:rFonts w:hint="default" w:ascii="Times New Roman" w:hAnsi="Times New Roman" w:cs="Times New Roman"/>
          <w:color w:val="auto"/>
          <w:sz w:val="24"/>
          <w:lang w:val="en-US" w:eastAsia="zh-CN"/>
        </w:rPr>
        <w:t>约为</w:t>
      </w:r>
      <w:r>
        <w:rPr>
          <w:rFonts w:hint="eastAsia" w:cs="Times New Roman"/>
          <w:color w:val="auto"/>
          <w:sz w:val="24"/>
          <w:lang w:val="en-US" w:eastAsia="zh-CN"/>
        </w:rPr>
        <w:t>6.24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rPr>
        <w:t>（</w:t>
      </w:r>
      <w:r>
        <w:rPr>
          <w:rFonts w:hint="eastAsia" w:cs="Times New Roman"/>
          <w:color w:val="auto"/>
          <w:sz w:val="24"/>
          <w:lang w:val="en-US" w:eastAsia="zh-CN"/>
        </w:rPr>
        <w:t>2277.756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spacing w:line="360" w:lineRule="auto"/>
        <w:ind w:firstLine="600" w:firstLineChars="250"/>
        <w:rPr>
          <w:rFonts w:hint="eastAsia"/>
          <w:b w:val="0"/>
          <w:bCs/>
          <w:color w:val="auto"/>
          <w:sz w:val="24"/>
        </w:rPr>
      </w:pPr>
      <w:r>
        <w:rPr>
          <w:rFonts w:hint="eastAsia"/>
          <w:b w:val="0"/>
          <w:bCs/>
          <w:color w:val="auto"/>
          <w:sz w:val="24"/>
          <w:lang w:val="en-US" w:eastAsia="zh-CN"/>
        </w:rPr>
        <w:t>⑤</w:t>
      </w:r>
      <w:r>
        <w:rPr>
          <w:rFonts w:hint="eastAsia"/>
          <w:b w:val="0"/>
          <w:bCs/>
          <w:color w:val="auto"/>
          <w:sz w:val="24"/>
        </w:rPr>
        <w:t>本项目劳动定员</w:t>
      </w:r>
      <w:r>
        <w:rPr>
          <w:rFonts w:hint="eastAsia"/>
          <w:b w:val="0"/>
          <w:bCs/>
          <w:color w:val="auto"/>
          <w:sz w:val="24"/>
          <w:lang w:val="en-US" w:eastAsia="zh-CN"/>
        </w:rPr>
        <w:t>20</w:t>
      </w:r>
      <w:r>
        <w:rPr>
          <w:rFonts w:hint="eastAsia"/>
          <w:b w:val="0"/>
          <w:bCs/>
          <w:color w:val="auto"/>
          <w:sz w:val="24"/>
        </w:rPr>
        <w:t>人，均在厂内食宿。根据《四川省用水定额》川府函〔2021〕8号，并结合项目实际情况，生活用水量按1</w:t>
      </w:r>
      <w:r>
        <w:rPr>
          <w:rFonts w:hint="eastAsia"/>
          <w:b w:val="0"/>
          <w:bCs/>
          <w:color w:val="auto"/>
          <w:sz w:val="24"/>
          <w:lang w:val="en-US" w:eastAsia="zh-CN"/>
        </w:rPr>
        <w:t>5</w:t>
      </w:r>
      <w:r>
        <w:rPr>
          <w:rFonts w:hint="eastAsia"/>
          <w:b w:val="0"/>
          <w:bCs/>
          <w:color w:val="auto"/>
          <w:sz w:val="24"/>
        </w:rPr>
        <w:t>0L/人·d计，则生活用水量为</w:t>
      </w:r>
      <w:r>
        <w:rPr>
          <w:rFonts w:hint="eastAsia"/>
          <w:b w:val="0"/>
          <w:bCs/>
          <w:color w:val="auto"/>
          <w:sz w:val="24"/>
          <w:lang w:val="en-US" w:eastAsia="zh-CN"/>
        </w:rPr>
        <w:t>3</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w:t>
      </w:r>
      <w:r>
        <w:rPr>
          <w:rFonts w:hint="eastAsia"/>
          <w:b w:val="0"/>
          <w:bCs/>
          <w:color w:val="auto"/>
          <w:sz w:val="24"/>
          <w:lang w:val="en-US" w:eastAsia="zh-CN"/>
        </w:rPr>
        <w:t>d</w:t>
      </w:r>
      <w:r>
        <w:rPr>
          <w:rFonts w:hint="eastAsia"/>
          <w:b w:val="0"/>
          <w:bCs/>
          <w:color w:val="auto"/>
          <w:sz w:val="24"/>
        </w:rPr>
        <w:t>（</w:t>
      </w:r>
      <w:r>
        <w:rPr>
          <w:rFonts w:hint="eastAsia"/>
          <w:b w:val="0"/>
          <w:bCs/>
          <w:color w:val="auto"/>
          <w:sz w:val="24"/>
          <w:lang w:val="en-US" w:eastAsia="zh-CN"/>
        </w:rPr>
        <w:t>1095</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w:t>
      </w:r>
    </w:p>
    <w:p>
      <w:pPr>
        <w:spacing w:line="360" w:lineRule="auto"/>
        <w:ind w:firstLine="602" w:firstLineChars="250"/>
        <w:rPr>
          <w:b/>
          <w:color w:val="auto"/>
          <w:sz w:val="24"/>
        </w:rPr>
      </w:pPr>
      <w:r>
        <w:rPr>
          <w:b/>
          <w:color w:val="auto"/>
          <w:sz w:val="24"/>
        </w:rPr>
        <w:t>（2）生产废水</w:t>
      </w:r>
    </w:p>
    <w:p>
      <w:pPr>
        <w:spacing w:line="360" w:lineRule="auto"/>
        <w:ind w:firstLine="602" w:firstLineChars="250"/>
        <w:rPr>
          <w:b/>
          <w:color w:val="auto"/>
          <w:sz w:val="24"/>
        </w:rPr>
      </w:pPr>
      <w:r>
        <w:rPr>
          <w:b/>
          <w:color w:val="auto"/>
          <w:sz w:val="24"/>
        </w:rPr>
        <w:t>2、排水情况</w:t>
      </w:r>
    </w:p>
    <w:p>
      <w:pPr>
        <w:spacing w:line="360" w:lineRule="auto"/>
        <w:ind w:firstLine="482" w:firstLineChars="200"/>
        <w:rPr>
          <w:b/>
          <w:color w:val="auto"/>
          <w:sz w:val="24"/>
        </w:rPr>
      </w:pPr>
      <w:r>
        <w:rPr>
          <w:b/>
          <w:color w:val="auto"/>
          <w:sz w:val="24"/>
        </w:rPr>
        <w:t>（1）生活废水产生量</w:t>
      </w:r>
    </w:p>
    <w:p>
      <w:pPr>
        <w:spacing w:line="360" w:lineRule="auto"/>
        <w:ind w:firstLine="480" w:firstLineChars="200"/>
        <w:rPr>
          <w:color w:val="auto"/>
          <w:sz w:val="24"/>
        </w:rPr>
      </w:pPr>
      <w:r>
        <w:rPr>
          <w:color w:val="auto"/>
          <w:sz w:val="24"/>
        </w:rPr>
        <w:t>生活用水量为</w:t>
      </w:r>
      <w:r>
        <w:rPr>
          <w:rFonts w:hint="eastAsia"/>
          <w:color w:val="auto"/>
          <w:sz w:val="24"/>
          <w:lang w:val="en-US" w:eastAsia="zh-CN"/>
        </w:rPr>
        <w:t>3</w:t>
      </w:r>
      <w:r>
        <w:rPr>
          <w:color w:val="auto"/>
          <w:sz w:val="24"/>
        </w:rPr>
        <w:t>m</w:t>
      </w:r>
      <w:r>
        <w:rPr>
          <w:color w:val="auto"/>
          <w:sz w:val="24"/>
          <w:vertAlign w:val="superscript"/>
        </w:rPr>
        <w:t>3</w:t>
      </w:r>
      <w:r>
        <w:rPr>
          <w:color w:val="auto"/>
          <w:sz w:val="24"/>
        </w:rPr>
        <w:t>/d（</w:t>
      </w:r>
      <w:r>
        <w:rPr>
          <w:rFonts w:hint="eastAsia"/>
          <w:color w:val="auto"/>
          <w:sz w:val="24"/>
          <w:lang w:val="en-US" w:eastAsia="zh-CN"/>
        </w:rPr>
        <w:t>1095</w:t>
      </w:r>
      <w:r>
        <w:rPr>
          <w:color w:val="auto"/>
          <w:sz w:val="24"/>
        </w:rPr>
        <w:t>m</w:t>
      </w:r>
      <w:r>
        <w:rPr>
          <w:color w:val="auto"/>
          <w:sz w:val="24"/>
          <w:vertAlign w:val="superscript"/>
        </w:rPr>
        <w:t>3</w:t>
      </w:r>
      <w:r>
        <w:rPr>
          <w:color w:val="auto"/>
          <w:sz w:val="24"/>
        </w:rPr>
        <w:t>/a），生活废水排水系数以0.</w:t>
      </w:r>
      <w:r>
        <w:rPr>
          <w:rFonts w:hint="eastAsia"/>
          <w:color w:val="auto"/>
          <w:sz w:val="24"/>
          <w:lang w:val="en-US" w:eastAsia="zh-CN"/>
        </w:rPr>
        <w:t>9</w:t>
      </w:r>
      <w:r>
        <w:rPr>
          <w:color w:val="auto"/>
          <w:sz w:val="24"/>
        </w:rPr>
        <w:t>计，则生活污水排放量</w:t>
      </w:r>
      <w:r>
        <w:rPr>
          <w:rFonts w:hint="eastAsia"/>
          <w:color w:val="auto"/>
          <w:sz w:val="24"/>
          <w:lang w:val="en-US" w:eastAsia="zh-CN"/>
        </w:rPr>
        <w:t>2.7</w:t>
      </w:r>
      <w:r>
        <w:rPr>
          <w:color w:val="auto"/>
          <w:sz w:val="24"/>
        </w:rPr>
        <w:t>m</w:t>
      </w:r>
      <w:r>
        <w:rPr>
          <w:color w:val="auto"/>
          <w:sz w:val="24"/>
          <w:vertAlign w:val="superscript"/>
        </w:rPr>
        <w:t>3</w:t>
      </w:r>
      <w:r>
        <w:rPr>
          <w:color w:val="auto"/>
          <w:sz w:val="24"/>
        </w:rPr>
        <w:t>/d（</w:t>
      </w:r>
      <w:r>
        <w:rPr>
          <w:rFonts w:hint="eastAsia"/>
          <w:color w:val="auto"/>
          <w:sz w:val="24"/>
          <w:lang w:val="en-US" w:eastAsia="zh-CN"/>
        </w:rPr>
        <w:t>985.5</w:t>
      </w:r>
      <w:r>
        <w:rPr>
          <w:color w:val="auto"/>
          <w:sz w:val="24"/>
        </w:rPr>
        <w:t>m</w:t>
      </w:r>
      <w:r>
        <w:rPr>
          <w:color w:val="auto"/>
          <w:sz w:val="24"/>
          <w:vertAlign w:val="superscript"/>
        </w:rPr>
        <w:t>3</w:t>
      </w:r>
      <w:r>
        <w:rPr>
          <w:color w:val="auto"/>
          <w:sz w:val="24"/>
        </w:rPr>
        <w:t>/a）。</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b/>
          <w:color w:val="auto"/>
          <w:sz w:val="24"/>
        </w:rPr>
      </w:pPr>
      <w:r>
        <w:rPr>
          <w:b/>
          <w:color w:val="auto"/>
          <w:sz w:val="24"/>
        </w:rPr>
        <w:t>（2）生产废水产生量</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b/>
          <w:color w:val="auto"/>
          <w:sz w:val="24"/>
        </w:rPr>
      </w:pPr>
      <w:r>
        <w:rPr>
          <w:b/>
          <w:color w:val="auto"/>
          <w:sz w:val="24"/>
        </w:rPr>
        <w:fldChar w:fldCharType="begin"/>
      </w:r>
      <w:r>
        <w:rPr>
          <w:b/>
          <w:color w:val="auto"/>
          <w:sz w:val="24"/>
        </w:rPr>
        <w:instrText xml:space="preserve">= 1 \* GB3</w:instrText>
      </w:r>
      <w:r>
        <w:rPr>
          <w:b/>
          <w:color w:val="auto"/>
          <w:sz w:val="24"/>
        </w:rPr>
        <w:fldChar w:fldCharType="separate"/>
      </w:r>
      <w:r>
        <w:rPr>
          <w:b/>
          <w:color w:val="auto"/>
          <w:sz w:val="24"/>
        </w:rPr>
        <w:t>①</w:t>
      </w:r>
      <w:r>
        <w:rPr>
          <w:b/>
          <w:color w:val="auto"/>
          <w:sz w:val="24"/>
        </w:rPr>
        <w:fldChar w:fldCharType="end"/>
      </w:r>
      <w:r>
        <w:rPr>
          <w:rFonts w:hint="eastAsia" w:ascii="宋体" w:hAnsi="宋体"/>
          <w:b/>
          <w:color w:val="auto"/>
          <w:sz w:val="24"/>
          <w:lang w:val="en-US" w:eastAsia="zh-CN"/>
        </w:rPr>
        <w:t>牛</w:t>
      </w:r>
      <w:r>
        <w:rPr>
          <w:b/>
          <w:color w:val="auto"/>
          <w:sz w:val="24"/>
        </w:rPr>
        <w:t>尿的产生量</w:t>
      </w:r>
    </w:p>
    <w:p>
      <w:pPr>
        <w:keepNext w:val="0"/>
        <w:keepLines w:val="0"/>
        <w:pageBreakBefore w:val="0"/>
        <w:widowControl w:val="0"/>
        <w:kinsoku/>
        <w:wordWrap/>
        <w:overflowPunct/>
        <w:topLinePunct w:val="0"/>
        <w:autoSpaceDE/>
        <w:autoSpaceDN/>
        <w:bidi w:val="0"/>
        <w:adjustRightInd w:val="0"/>
        <w:snapToGrid w:val="0"/>
        <w:spacing w:line="360" w:lineRule="auto"/>
        <w:ind w:firstLine="444" w:firstLineChars="200"/>
        <w:textAlignment w:val="auto"/>
        <w:rPr>
          <w:rFonts w:hint="eastAsia"/>
          <w:color w:val="auto"/>
          <w:sz w:val="24"/>
          <w:u w:val="none"/>
        </w:rPr>
      </w:pPr>
      <w:r>
        <w:rPr>
          <w:color w:val="auto"/>
          <w:spacing w:val="-9"/>
          <w:sz w:val="24"/>
          <w:szCs w:val="20"/>
          <w:u w:val="none"/>
        </w:rPr>
        <w:t>根据</w:t>
      </w:r>
      <w:r>
        <w:rPr>
          <w:color w:val="auto"/>
          <w:sz w:val="24"/>
          <w:u w:val="none"/>
        </w:rPr>
        <w:t>《畜禽养殖业污染治理工程技术规范》（</w:t>
      </w:r>
      <w:r>
        <w:rPr>
          <w:rFonts w:eastAsia="Times New Roman"/>
          <w:color w:val="auto"/>
          <w:sz w:val="24"/>
          <w:u w:val="none"/>
        </w:rPr>
        <w:t>HJ497-2009</w:t>
      </w:r>
      <w:r>
        <w:rPr>
          <w:color w:val="auto"/>
          <w:sz w:val="24"/>
          <w:u w:val="none"/>
        </w:rPr>
        <w:t>）附录</w:t>
      </w:r>
      <w:r>
        <w:rPr>
          <w:color w:val="auto"/>
          <w:spacing w:val="-17"/>
          <w:sz w:val="24"/>
          <w:u w:val="none"/>
        </w:rPr>
        <w:t xml:space="preserve"> </w:t>
      </w:r>
      <w:r>
        <w:rPr>
          <w:rFonts w:eastAsia="Times New Roman"/>
          <w:color w:val="auto"/>
          <w:sz w:val="24"/>
          <w:u w:val="none"/>
        </w:rPr>
        <w:t>A</w:t>
      </w:r>
      <w:r>
        <w:rPr>
          <w:rFonts w:eastAsia="Times New Roman"/>
          <w:color w:val="auto"/>
          <w:spacing w:val="-9"/>
          <w:sz w:val="24"/>
          <w:u w:val="none"/>
        </w:rPr>
        <w:t xml:space="preserve"> </w:t>
      </w:r>
      <w:r>
        <w:rPr>
          <w:color w:val="auto"/>
          <w:sz w:val="24"/>
          <w:u w:val="none"/>
        </w:rPr>
        <w:t>中表</w:t>
      </w:r>
      <w:r>
        <w:rPr>
          <w:rFonts w:eastAsia="Times New Roman"/>
          <w:color w:val="auto"/>
          <w:sz w:val="24"/>
          <w:u w:val="none"/>
        </w:rPr>
        <w:t>A.</w:t>
      </w:r>
      <w:r>
        <w:rPr>
          <w:color w:val="auto"/>
          <w:sz w:val="24"/>
          <w:u w:val="none"/>
        </w:rPr>
        <w:t>2，牛尿产生量为10.0kg/（只</w:t>
      </w:r>
      <w:r>
        <w:rPr>
          <w:b/>
          <w:color w:val="auto"/>
          <w:u w:val="none"/>
        </w:rPr>
        <w:t>·</w:t>
      </w:r>
      <w:r>
        <w:rPr>
          <w:rFonts w:hint="eastAsia"/>
          <w:color w:val="auto"/>
          <w:sz w:val="24"/>
          <w:u w:val="none"/>
        </w:rPr>
        <w:t>d</w:t>
      </w:r>
      <w:r>
        <w:rPr>
          <w:color w:val="auto"/>
          <w:sz w:val="24"/>
          <w:u w:val="none"/>
        </w:rPr>
        <w:t>），项目建成后，常年存栏量为</w:t>
      </w:r>
      <w:r>
        <w:rPr>
          <w:rFonts w:hint="eastAsia"/>
          <w:color w:val="auto"/>
          <w:sz w:val="24"/>
          <w:u w:val="none"/>
          <w:lang w:val="en-US" w:eastAsia="zh-CN"/>
        </w:rPr>
        <w:t>9734</w:t>
      </w:r>
      <w:r>
        <w:rPr>
          <w:rFonts w:hint="eastAsia"/>
          <w:color w:val="auto"/>
          <w:sz w:val="24"/>
          <w:u w:val="none"/>
        </w:rPr>
        <w:t>头牛，则产生的尿液量为</w:t>
      </w:r>
      <w:r>
        <w:rPr>
          <w:rFonts w:hint="eastAsia"/>
          <w:color w:val="auto"/>
          <w:sz w:val="24"/>
          <w:u w:val="none"/>
          <w:lang w:val="en-US" w:eastAsia="zh-CN"/>
        </w:rPr>
        <w:t>97.34</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35529.1</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rPr>
        <w:t>。</w:t>
      </w:r>
    </w:p>
    <w:p>
      <w:pPr>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default" w:ascii="宋体" w:hAnsi="宋体" w:eastAsia="宋体" w:cs="Times New Roman"/>
          <w:b/>
          <w:color w:val="auto"/>
          <w:sz w:val="24"/>
          <w:lang w:val="en-US" w:eastAsia="zh-CN"/>
        </w:rPr>
      </w:pPr>
      <w:r>
        <w:rPr>
          <w:rFonts w:ascii="宋体" w:hAnsi="宋体"/>
          <w:b/>
          <w:color w:val="auto"/>
          <w:sz w:val="24"/>
        </w:rPr>
        <w:fldChar w:fldCharType="begin"/>
      </w:r>
      <w:r>
        <w:rPr>
          <w:rFonts w:hint="eastAsia" w:ascii="宋体" w:hAnsi="宋体"/>
          <w:b/>
          <w:color w:val="auto"/>
          <w:sz w:val="24"/>
        </w:rPr>
        <w:instrText xml:space="preserve">= 2 \* GB3</w:instrText>
      </w:r>
      <w:r>
        <w:rPr>
          <w:rFonts w:ascii="宋体" w:hAnsi="宋体"/>
          <w:b/>
          <w:color w:val="auto"/>
          <w:sz w:val="24"/>
        </w:rPr>
        <w:fldChar w:fldCharType="separate"/>
      </w:r>
      <w:r>
        <w:rPr>
          <w:rFonts w:hint="eastAsia" w:ascii="宋体" w:hAnsi="宋体"/>
          <w:b/>
          <w:color w:val="auto"/>
          <w:sz w:val="24"/>
        </w:rPr>
        <w:t>②</w:t>
      </w:r>
      <w:r>
        <w:rPr>
          <w:rFonts w:ascii="宋体" w:hAnsi="宋体"/>
          <w:b/>
          <w:color w:val="auto"/>
          <w:sz w:val="24"/>
        </w:rPr>
        <w:fldChar w:fldCharType="end"/>
      </w:r>
      <w:r>
        <w:rPr>
          <w:rFonts w:hint="eastAsia" w:ascii="宋体" w:hAnsi="宋体" w:eastAsia="宋体" w:cs="Times New Roman"/>
          <w:b/>
          <w:color w:val="auto"/>
          <w:sz w:val="24"/>
          <w:lang w:val="en-US" w:eastAsia="zh-CN"/>
        </w:rPr>
        <w:t>牛舍降温用水排放量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rPr>
      </w:pPr>
      <w:r>
        <w:rPr>
          <w:rFonts w:hint="eastAsia"/>
          <w:color w:val="auto"/>
          <w:sz w:val="24"/>
        </w:rPr>
        <w:t>本项目牛舍夏季降温采用电风扇辅助喷淋设施，全年用水量为</w:t>
      </w:r>
      <w:r>
        <w:rPr>
          <w:rFonts w:hint="eastAsia"/>
          <w:color w:val="auto"/>
          <w:sz w:val="24"/>
          <w:lang w:val="en-US" w:eastAsia="zh-CN"/>
        </w:rPr>
        <w:t>1080</w:t>
      </w:r>
      <w:r>
        <w:rPr>
          <w:rFonts w:hint="eastAsia"/>
          <w:color w:val="auto"/>
          <w:sz w:val="24"/>
        </w:rPr>
        <w:t>t/a，喷淋水在高温和风扇辅助降温下，全部以蒸发的形式散失。</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color w:val="auto"/>
        </w:rPr>
      </w:pPr>
      <w:r>
        <w:rPr>
          <w:rFonts w:ascii="宋体" w:hAnsi="宋体" w:eastAsia="宋体" w:cs="Times New Roman"/>
          <w:b/>
          <w:color w:val="auto"/>
          <w:sz w:val="24"/>
        </w:rPr>
        <w:fldChar w:fldCharType="begin"/>
      </w:r>
      <w:r>
        <w:rPr>
          <w:rFonts w:ascii="宋体" w:hAnsi="宋体" w:eastAsia="宋体" w:cs="Times New Roman"/>
          <w:b/>
          <w:color w:val="auto"/>
          <w:sz w:val="24"/>
        </w:rPr>
        <w:instrText xml:space="preserve">= 3 \* GB3</w:instrText>
      </w:r>
      <w:r>
        <w:rPr>
          <w:rFonts w:ascii="宋体" w:hAnsi="宋体" w:eastAsia="宋体" w:cs="Times New Roman"/>
          <w:b/>
          <w:color w:val="auto"/>
          <w:sz w:val="24"/>
        </w:rPr>
        <w:fldChar w:fldCharType="separate"/>
      </w:r>
      <w:r>
        <w:rPr>
          <w:rFonts w:ascii="宋体" w:hAnsi="宋体" w:eastAsia="宋体" w:cs="Times New Roman"/>
          <w:b/>
          <w:color w:val="auto"/>
          <w:sz w:val="24"/>
        </w:rPr>
        <w:t>③</w:t>
      </w:r>
      <w:r>
        <w:rPr>
          <w:rFonts w:ascii="宋体" w:hAnsi="宋体" w:eastAsia="宋体" w:cs="Times New Roman"/>
          <w:b/>
          <w:color w:val="auto"/>
          <w:sz w:val="24"/>
        </w:rPr>
        <w:fldChar w:fldCharType="end"/>
      </w:r>
      <w:r>
        <w:rPr>
          <w:rFonts w:ascii="宋体" w:hAnsi="宋体" w:eastAsia="宋体" w:cs="Times New Roman"/>
          <w:b/>
          <w:color w:val="auto"/>
          <w:sz w:val="24"/>
        </w:rPr>
        <w:t>消毒</w:t>
      </w:r>
      <w:r>
        <w:rPr>
          <w:rFonts w:hint="eastAsia" w:ascii="宋体" w:hAnsi="宋体" w:eastAsia="宋体" w:cs="Times New Roman"/>
          <w:b/>
          <w:color w:val="auto"/>
          <w:sz w:val="24"/>
        </w:rPr>
        <w:t>排水量</w:t>
      </w:r>
    </w:p>
    <w:p>
      <w:pPr>
        <w:adjustRightInd w:val="0"/>
        <w:snapToGrid w:val="0"/>
        <w:spacing w:line="360" w:lineRule="auto"/>
        <w:ind w:firstLine="480" w:firstLineChars="200"/>
        <w:rPr>
          <w:color w:val="auto"/>
          <w:sz w:val="24"/>
        </w:rPr>
      </w:pPr>
      <w:r>
        <w:rPr>
          <w:rFonts w:hint="eastAsia"/>
          <w:color w:val="auto"/>
          <w:sz w:val="24"/>
          <w:lang w:val="en-US" w:eastAsia="zh-CN"/>
        </w:rPr>
        <w:t>消毒废水</w:t>
      </w:r>
      <w:r>
        <w:rPr>
          <w:color w:val="auto"/>
          <w:sz w:val="24"/>
        </w:rPr>
        <w:t>全部蒸发损耗</w:t>
      </w:r>
      <w:r>
        <w:rPr>
          <w:rFonts w:hint="eastAsia"/>
          <w:color w:val="auto"/>
          <w:sz w:val="24"/>
          <w:lang w:eastAsia="zh-CN"/>
        </w:rPr>
        <w:t>，</w:t>
      </w:r>
      <w:r>
        <w:rPr>
          <w:rFonts w:hint="eastAsia"/>
          <w:color w:val="auto"/>
          <w:sz w:val="24"/>
          <w:lang w:val="en-US" w:eastAsia="zh-CN"/>
        </w:rPr>
        <w:t>不外排</w:t>
      </w:r>
      <w:r>
        <w:rPr>
          <w:color w:val="auto"/>
          <w:sz w:val="24"/>
        </w:rPr>
        <w:t>。</w:t>
      </w:r>
    </w:p>
    <w:p>
      <w:pPr>
        <w:spacing w:line="360" w:lineRule="auto"/>
        <w:ind w:firstLine="482" w:firstLineChars="200"/>
        <w:rPr>
          <w:b/>
          <w:color w:val="auto"/>
          <w:sz w:val="24"/>
        </w:rPr>
      </w:pPr>
      <w:r>
        <w:rPr>
          <w:b/>
          <w:color w:val="auto"/>
          <w:sz w:val="24"/>
        </w:rPr>
        <w:t>④</w:t>
      </w:r>
      <w:r>
        <w:rPr>
          <w:rFonts w:hint="eastAsia"/>
          <w:b/>
          <w:color w:val="auto"/>
          <w:sz w:val="24"/>
          <w:lang w:val="en-US" w:eastAsia="zh-CN"/>
        </w:rPr>
        <w:t>牛</w:t>
      </w:r>
      <w:r>
        <w:rPr>
          <w:b/>
          <w:color w:val="auto"/>
          <w:sz w:val="24"/>
        </w:rPr>
        <w:t>舍</w:t>
      </w:r>
      <w:r>
        <w:rPr>
          <w:rFonts w:hint="eastAsia"/>
          <w:b/>
          <w:color w:val="auto"/>
          <w:sz w:val="24"/>
          <w:lang w:val="en-US" w:eastAsia="zh-CN"/>
        </w:rPr>
        <w:t>冲</w:t>
      </w:r>
      <w:r>
        <w:rPr>
          <w:b/>
          <w:color w:val="auto"/>
          <w:sz w:val="24"/>
        </w:rPr>
        <w:t>洗水产生量</w:t>
      </w:r>
    </w:p>
    <w:p>
      <w:pPr>
        <w:spacing w:line="360" w:lineRule="auto"/>
        <w:ind w:firstLine="480" w:firstLineChars="200"/>
        <w:rPr>
          <w:rFonts w:hint="eastAsia"/>
          <w:color w:val="auto"/>
          <w:sz w:val="24"/>
          <w:lang w:eastAsia="zh-CN"/>
        </w:rPr>
      </w:pPr>
      <w:r>
        <w:rPr>
          <w:rFonts w:hint="eastAsia"/>
          <w:b w:val="0"/>
          <w:bCs/>
          <w:color w:val="auto"/>
          <w:sz w:val="24"/>
          <w:lang w:val="en-US" w:eastAsia="zh-CN"/>
        </w:rPr>
        <w:t>牛</w:t>
      </w:r>
      <w:r>
        <w:rPr>
          <w:color w:val="auto"/>
          <w:sz w:val="24"/>
        </w:rPr>
        <w:t>舍冲洗水产生量按用水量的</w:t>
      </w:r>
      <w:r>
        <w:rPr>
          <w:rFonts w:hint="eastAsia"/>
          <w:color w:val="auto"/>
          <w:sz w:val="24"/>
          <w:lang w:val="en-US" w:eastAsia="zh-CN"/>
        </w:rPr>
        <w:t>90</w:t>
      </w:r>
      <w:r>
        <w:rPr>
          <w:color w:val="auto"/>
          <w:sz w:val="24"/>
        </w:rPr>
        <w:t>%计，则冲洗水的产生量共为</w:t>
      </w:r>
      <w:r>
        <w:rPr>
          <w:rFonts w:hint="eastAsia"/>
          <w:color w:val="auto"/>
          <w:sz w:val="24"/>
          <w:lang w:val="en-US" w:eastAsia="zh-CN"/>
        </w:rPr>
        <w:t>5.616</w:t>
      </w:r>
      <w:r>
        <w:rPr>
          <w:color w:val="auto"/>
          <w:sz w:val="24"/>
        </w:rPr>
        <w:t>m</w:t>
      </w:r>
      <w:r>
        <w:rPr>
          <w:color w:val="auto"/>
          <w:sz w:val="24"/>
          <w:vertAlign w:val="superscript"/>
        </w:rPr>
        <w:t>3</w:t>
      </w:r>
      <w:r>
        <w:rPr>
          <w:color w:val="auto"/>
          <w:sz w:val="24"/>
        </w:rPr>
        <w:t>/d（</w:t>
      </w:r>
      <w:r>
        <w:rPr>
          <w:rFonts w:hint="eastAsia"/>
          <w:color w:val="auto"/>
          <w:sz w:val="24"/>
          <w:lang w:val="en-US" w:eastAsia="zh-CN"/>
        </w:rPr>
        <w:t>2049.84</w:t>
      </w:r>
      <w:r>
        <w:rPr>
          <w:color w:val="auto"/>
          <w:sz w:val="24"/>
        </w:rPr>
        <w:t>m</w:t>
      </w:r>
      <w:r>
        <w:rPr>
          <w:color w:val="auto"/>
          <w:sz w:val="24"/>
          <w:vertAlign w:val="superscript"/>
        </w:rPr>
        <w:t>3</w:t>
      </w:r>
      <w:r>
        <w:rPr>
          <w:color w:val="auto"/>
          <w:sz w:val="24"/>
        </w:rPr>
        <w:t>/a）</w:t>
      </w:r>
      <w:r>
        <w:rPr>
          <w:rFonts w:hint="eastAsia"/>
          <w:color w:val="auto"/>
          <w:sz w:val="24"/>
          <w:lang w:eastAsia="zh-CN"/>
        </w:rPr>
        <w:t>。</w:t>
      </w:r>
    </w:p>
    <w:p>
      <w:pPr>
        <w:spacing w:line="360" w:lineRule="auto"/>
        <w:ind w:firstLine="482" w:firstLineChars="200"/>
        <w:rPr>
          <w:b/>
          <w:color w:val="auto"/>
          <w:sz w:val="24"/>
        </w:rPr>
      </w:pPr>
      <w:r>
        <w:rPr>
          <w:rFonts w:hint="eastAsia"/>
          <w:b/>
          <w:color w:val="auto"/>
          <w:sz w:val="24"/>
          <w:lang w:val="en-US" w:eastAsia="zh-CN"/>
        </w:rPr>
        <w:t>⑤青储窖渗滤液</w:t>
      </w:r>
      <w:r>
        <w:rPr>
          <w:b/>
          <w:color w:val="auto"/>
          <w:sz w:val="24"/>
        </w:rPr>
        <w:t>产生量</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根据建设单位提供资料，</w:t>
      </w:r>
      <w:r>
        <w:rPr>
          <w:rFonts w:hint="default" w:ascii="Times New Roman" w:hAnsi="Times New Roman" w:eastAsia="宋体" w:cs="Times New Roman"/>
          <w:color w:val="auto"/>
          <w:kern w:val="0"/>
          <w:sz w:val="24"/>
          <w:szCs w:val="24"/>
          <w:lang w:val="en-US" w:eastAsia="zh-CN" w:bidi="ar"/>
        </w:rPr>
        <w:t>青储窖渗滤液产生量约为8万L/1000t青储料，</w:t>
      </w:r>
      <w:r>
        <w:rPr>
          <w:rFonts w:hint="eastAsia" w:cs="Times New Roman"/>
          <w:color w:val="auto"/>
          <w:kern w:val="0"/>
          <w:sz w:val="24"/>
          <w:szCs w:val="24"/>
          <w:lang w:val="en-US" w:eastAsia="zh-CN" w:bidi="ar"/>
        </w:rPr>
        <w:t>本项目年用青储料24000t，青储池渗滤液产生量为5.26</w:t>
      </w:r>
      <w:r>
        <w:rPr>
          <w:rFonts w:hint="default" w:ascii="Times New Roman" w:hAnsi="Times New Roman" w:eastAsia="宋体" w:cs="Times New Roman"/>
          <w:color w:val="auto"/>
          <w:kern w:val="0"/>
          <w:sz w:val="24"/>
          <w:szCs w:val="24"/>
          <w:lang w:val="en-US" w:eastAsia="zh-CN" w:bidi="ar"/>
        </w:rPr>
        <w:t>m³/d</w:t>
      </w:r>
      <w:r>
        <w:rPr>
          <w:rFonts w:hint="eastAsia" w:cs="Times New Roman"/>
          <w:color w:val="auto"/>
          <w:kern w:val="0"/>
          <w:sz w:val="24"/>
          <w:szCs w:val="24"/>
          <w:lang w:val="en-US" w:eastAsia="zh-CN" w:bidi="ar"/>
        </w:rPr>
        <w:t>（1920m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vertAlign w:val="baseline"/>
          <w:lang w:val="en-US" w:eastAsia="zh-CN" w:bidi="ar"/>
        </w:rPr>
        <w:t>/a</w:t>
      </w:r>
      <w:r>
        <w:rPr>
          <w:rFonts w:hint="eastAsia" w:cs="Times New Roman"/>
          <w:color w:val="auto"/>
          <w:kern w:val="0"/>
          <w:sz w:val="24"/>
          <w:szCs w:val="24"/>
          <w:lang w:val="en-US" w:eastAsia="zh-CN" w:bidi="ar"/>
        </w:rPr>
        <w:t>）</w:t>
      </w:r>
      <w:r>
        <w:rPr>
          <w:rFonts w:hint="eastAsia" w:cs="Times New Roman"/>
          <w:color w:val="auto"/>
          <w:kern w:val="0"/>
          <w:sz w:val="24"/>
          <w:szCs w:val="24"/>
          <w:vertAlign w:val="baseline"/>
          <w:lang w:val="en-US" w:eastAsia="zh-CN" w:bidi="ar"/>
        </w:rPr>
        <w:t>。</w:t>
      </w:r>
    </w:p>
    <w:p>
      <w:pPr>
        <w:ind w:firstLine="420" w:firstLineChars="200"/>
        <w:jc w:val="center"/>
        <w:rPr>
          <w:rFonts w:eastAsia="黑体"/>
          <w:color w:val="auto"/>
        </w:rPr>
      </w:pPr>
      <w:r>
        <w:rPr>
          <w:rFonts w:eastAsia="黑体"/>
          <w:color w:val="auto"/>
        </w:rPr>
        <w:t>表</w:t>
      </w:r>
      <w:r>
        <w:rPr>
          <w:rFonts w:hint="eastAsia" w:eastAsia="黑体"/>
          <w:color w:val="auto"/>
          <w:lang w:val="en-US" w:eastAsia="zh-CN"/>
        </w:rPr>
        <w:t>3</w:t>
      </w:r>
      <w:r>
        <w:rPr>
          <w:rFonts w:hint="eastAsia" w:eastAsia="黑体"/>
          <w:color w:val="auto"/>
        </w:rPr>
        <w:t>.4-</w:t>
      </w:r>
      <w:r>
        <w:rPr>
          <w:rFonts w:hint="eastAsia" w:eastAsia="黑体"/>
          <w:color w:val="auto"/>
          <w:lang w:val="en-US" w:eastAsia="zh-CN"/>
        </w:rPr>
        <w:t>2</w:t>
      </w:r>
      <w:r>
        <w:rPr>
          <w:rFonts w:eastAsia="黑体"/>
          <w:color w:val="auto"/>
        </w:rPr>
        <w:t xml:space="preserve">  项目</w:t>
      </w:r>
      <w:r>
        <w:rPr>
          <w:rFonts w:hint="eastAsia" w:eastAsia="黑体"/>
          <w:color w:val="auto"/>
        </w:rPr>
        <w:t>给</w:t>
      </w:r>
      <w:r>
        <w:rPr>
          <w:rFonts w:eastAsia="黑体"/>
          <w:color w:val="auto"/>
        </w:rPr>
        <w:t>排水情况表</w:t>
      </w:r>
    </w:p>
    <w:tbl>
      <w:tblPr>
        <w:tblStyle w:val="89"/>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36"/>
        <w:gridCol w:w="1975"/>
        <w:gridCol w:w="1409"/>
        <w:gridCol w:w="1265"/>
        <w:gridCol w:w="2300"/>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rPr>
        <w:tc>
          <w:tcPr>
            <w:tcW w:w="836"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eastAsia" w:ascii="宋体" w:hAnsi="宋体"/>
                <w:b/>
                <w:bCs/>
                <w:color w:val="auto"/>
                <w:kern w:val="0"/>
              </w:rPr>
              <w:t>序号</w:t>
            </w:r>
          </w:p>
        </w:tc>
        <w:tc>
          <w:tcPr>
            <w:tcW w:w="1975"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eastAsia" w:ascii="宋体" w:hAnsi="宋体"/>
                <w:b/>
                <w:bCs/>
                <w:color w:val="auto"/>
                <w:kern w:val="0"/>
              </w:rPr>
              <w:t>项目</w:t>
            </w:r>
          </w:p>
        </w:tc>
        <w:tc>
          <w:tcPr>
            <w:tcW w:w="2674" w:type="dxa"/>
            <w:gridSpan w:val="2"/>
            <w:shd w:val="clear" w:color="auto" w:fill="auto"/>
            <w:noWrap/>
            <w:vAlign w:val="center"/>
          </w:tcPr>
          <w:p>
            <w:pPr>
              <w:keepNext w:val="0"/>
              <w:keepLines w:val="0"/>
              <w:widowControl/>
              <w:suppressLineNumbers w:val="0"/>
              <w:spacing w:before="0" w:beforeAutospacing="0" w:after="0" w:afterAutospacing="0"/>
              <w:ind w:left="0" w:right="0"/>
              <w:jc w:val="center"/>
              <w:rPr>
                <w:rFonts w:hint="default"/>
                <w:b/>
                <w:bCs/>
                <w:color w:val="auto"/>
                <w:kern w:val="0"/>
                <w:sz w:val="22"/>
                <w:szCs w:val="22"/>
              </w:rPr>
            </w:pPr>
            <w:r>
              <w:rPr>
                <w:rFonts w:hint="eastAsia" w:ascii="宋体" w:hAnsi="宋体"/>
                <w:b/>
                <w:bCs/>
                <w:color w:val="auto"/>
                <w:kern w:val="0"/>
                <w:sz w:val="22"/>
                <w:szCs w:val="22"/>
              </w:rPr>
              <w:t>用水量</w:t>
            </w:r>
          </w:p>
        </w:tc>
        <w:tc>
          <w:tcPr>
            <w:tcW w:w="3274"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b/>
                <w:bCs/>
                <w:color w:val="auto"/>
                <w:kern w:val="0"/>
                <w:sz w:val="22"/>
                <w:szCs w:val="22"/>
              </w:rPr>
            </w:pPr>
            <w:r>
              <w:rPr>
                <w:rFonts w:hint="eastAsia" w:ascii="宋体" w:hAnsi="宋体"/>
                <w:b/>
                <w:bCs/>
                <w:color w:val="auto"/>
                <w:kern w:val="0"/>
                <w:sz w:val="22"/>
                <w:szCs w:val="22"/>
                <w:lang w:val="en-US" w:eastAsia="zh-CN"/>
              </w:rPr>
              <w:t>发酵床</w:t>
            </w:r>
            <w:r>
              <w:rPr>
                <w:rFonts w:hint="eastAsia" w:ascii="宋体" w:hAnsi="宋体"/>
                <w:b/>
                <w:bCs/>
                <w:color w:val="auto"/>
                <w:kern w:val="0"/>
                <w:sz w:val="22"/>
                <w:szCs w:val="22"/>
              </w:rPr>
              <w:t>处理水量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rPr>
        <w:tc>
          <w:tcPr>
            <w:tcW w:w="836" w:type="dxa"/>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1975" w:type="dxa"/>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m</w:t>
            </w:r>
            <w:r>
              <w:rPr>
                <w:rFonts w:hint="default"/>
                <w:b/>
                <w:bCs/>
                <w:color w:val="auto"/>
                <w:kern w:val="0"/>
                <w:vertAlign w:val="superscript"/>
              </w:rPr>
              <w:t>3</w:t>
            </w:r>
            <w:r>
              <w:rPr>
                <w:rFonts w:hint="default"/>
                <w:b/>
                <w:bCs/>
                <w:color w:val="auto"/>
                <w:kern w:val="0"/>
              </w:rPr>
              <w:t>/d</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b/>
                <w:bCs/>
                <w:color w:val="auto"/>
                <w:kern w:val="0"/>
                <w:sz w:val="22"/>
                <w:szCs w:val="22"/>
              </w:rPr>
            </w:pPr>
            <w:r>
              <w:rPr>
                <w:rFonts w:hint="default"/>
                <w:b/>
                <w:bCs/>
                <w:color w:val="auto"/>
                <w:kern w:val="0"/>
                <w:sz w:val="22"/>
                <w:szCs w:val="22"/>
              </w:rPr>
              <w:t>m</w:t>
            </w:r>
            <w:r>
              <w:rPr>
                <w:rFonts w:hint="default"/>
                <w:b/>
                <w:bCs/>
                <w:color w:val="auto"/>
                <w:kern w:val="0"/>
                <w:sz w:val="22"/>
                <w:szCs w:val="22"/>
                <w:vertAlign w:val="superscript"/>
              </w:rPr>
              <w:t>3</w:t>
            </w:r>
            <w:r>
              <w:rPr>
                <w:rFonts w:hint="default"/>
                <w:b/>
                <w:bCs/>
                <w:color w:val="auto"/>
                <w:kern w:val="0"/>
                <w:sz w:val="22"/>
                <w:szCs w:val="22"/>
              </w:rPr>
              <w:t>/a</w:t>
            </w:r>
          </w:p>
        </w:tc>
        <w:tc>
          <w:tcPr>
            <w:tcW w:w="2300" w:type="dxa"/>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m</w:t>
            </w:r>
            <w:r>
              <w:rPr>
                <w:rFonts w:hint="default"/>
                <w:b/>
                <w:bCs/>
                <w:color w:val="auto"/>
                <w:kern w:val="0"/>
                <w:vertAlign w:val="superscript"/>
              </w:rPr>
              <w:t>3</w:t>
            </w:r>
            <w:r>
              <w:rPr>
                <w:rFonts w:hint="default"/>
                <w:b/>
                <w:bCs/>
                <w:color w:val="auto"/>
                <w:kern w:val="0"/>
              </w:rPr>
              <w:t>/d</w:t>
            </w:r>
          </w:p>
        </w:tc>
        <w:tc>
          <w:tcPr>
            <w:tcW w:w="974" w:type="dxa"/>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m</w:t>
            </w:r>
            <w:r>
              <w:rPr>
                <w:rFonts w:hint="default"/>
                <w:b/>
                <w:bCs/>
                <w:color w:val="auto"/>
                <w:kern w:val="0"/>
                <w:vertAlign w:val="superscript"/>
              </w:rPr>
              <w:t>3</w:t>
            </w:r>
            <w:r>
              <w:rPr>
                <w:rFonts w:hint="default"/>
                <w:b/>
                <w:bCs/>
                <w:color w:val="auto"/>
                <w:kern w:val="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9"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bookmarkStart w:id="217" w:name="OLE_LINK5" w:colFirst="6" w:colLast="6"/>
            <w:r>
              <w:rPr>
                <w:rFonts w:hint="default"/>
                <w:color w:val="auto"/>
                <w:kern w:val="0"/>
              </w:rPr>
              <w:t>1</w:t>
            </w:r>
          </w:p>
        </w:tc>
        <w:tc>
          <w:tcPr>
            <w:tcW w:w="1975"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olor w:val="auto"/>
                <w:kern w:val="0"/>
                <w:lang w:val="en-US" w:eastAsia="zh-CN"/>
              </w:rPr>
            </w:pPr>
            <w:r>
              <w:rPr>
                <w:rFonts w:hint="eastAsia" w:ascii="宋体" w:hAnsi="宋体"/>
                <w:color w:val="auto"/>
                <w:kern w:val="0"/>
                <w:lang w:val="en-US" w:eastAsia="zh-CN"/>
              </w:rPr>
              <w:t>牛</w:t>
            </w:r>
            <w:r>
              <w:rPr>
                <w:rFonts w:hint="eastAsia" w:ascii="宋体" w:hAnsi="宋体"/>
                <w:color w:val="auto"/>
                <w:kern w:val="0"/>
              </w:rPr>
              <w:t>饮水</w:t>
            </w:r>
            <w:r>
              <w:rPr>
                <w:rFonts w:hint="eastAsia" w:ascii="宋体" w:hAnsi="宋体"/>
                <w:color w:val="auto"/>
                <w:kern w:val="0"/>
                <w:lang w:val="en-US" w:eastAsia="zh-CN"/>
              </w:rPr>
              <w:t>量</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389.36</w:t>
            </w:r>
          </w:p>
        </w:tc>
        <w:tc>
          <w:tcPr>
            <w:tcW w:w="126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142116.4</w:t>
            </w:r>
          </w:p>
        </w:tc>
        <w:tc>
          <w:tcPr>
            <w:tcW w:w="230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97.34</w:t>
            </w:r>
          </w:p>
        </w:tc>
        <w:tc>
          <w:tcPr>
            <w:tcW w:w="97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35529.1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2</w:t>
            </w:r>
          </w:p>
        </w:tc>
        <w:tc>
          <w:tcPr>
            <w:tcW w:w="197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夏季</w:t>
            </w:r>
            <w:r>
              <w:rPr>
                <w:rFonts w:hint="eastAsia" w:ascii="宋体" w:hAnsi="宋体"/>
                <w:color w:val="auto"/>
                <w:kern w:val="0"/>
                <w:lang w:val="en-US" w:eastAsia="zh-CN"/>
              </w:rPr>
              <w:t>牛</w:t>
            </w:r>
            <w:r>
              <w:rPr>
                <w:rFonts w:hint="eastAsia" w:ascii="宋体" w:hAnsi="宋体"/>
                <w:color w:val="auto"/>
                <w:kern w:val="0"/>
              </w:rPr>
              <w:t>舍降温用水</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2.96</w:t>
            </w:r>
          </w:p>
        </w:tc>
        <w:tc>
          <w:tcPr>
            <w:tcW w:w="126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1080</w:t>
            </w:r>
          </w:p>
        </w:tc>
        <w:tc>
          <w:tcPr>
            <w:tcW w:w="230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97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3</w:t>
            </w:r>
          </w:p>
        </w:tc>
        <w:tc>
          <w:tcPr>
            <w:tcW w:w="197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olor w:val="auto"/>
                <w:kern w:val="0"/>
              </w:rPr>
            </w:pPr>
            <w:r>
              <w:rPr>
                <w:rFonts w:hint="eastAsia" w:ascii="宋体" w:hAnsi="宋体"/>
                <w:color w:val="auto"/>
                <w:kern w:val="0"/>
                <w:lang w:val="en-US" w:eastAsia="zh-CN"/>
              </w:rPr>
              <w:t>牛</w:t>
            </w:r>
            <w:r>
              <w:rPr>
                <w:rFonts w:hint="eastAsia" w:ascii="宋体" w:hAnsi="宋体"/>
                <w:color w:val="auto"/>
                <w:kern w:val="0"/>
              </w:rPr>
              <w:t>舍冲洗用水</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6.24</w:t>
            </w:r>
          </w:p>
        </w:tc>
        <w:tc>
          <w:tcPr>
            <w:tcW w:w="126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2277.756</w:t>
            </w:r>
          </w:p>
        </w:tc>
        <w:tc>
          <w:tcPr>
            <w:tcW w:w="2300"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5.616</w:t>
            </w:r>
          </w:p>
        </w:tc>
        <w:tc>
          <w:tcPr>
            <w:tcW w:w="974"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2049.84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4</w:t>
            </w:r>
          </w:p>
        </w:tc>
        <w:tc>
          <w:tcPr>
            <w:tcW w:w="197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职工生活用水</w:t>
            </w:r>
          </w:p>
        </w:tc>
        <w:tc>
          <w:tcPr>
            <w:tcW w:w="1409"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3</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1095</w:t>
            </w:r>
          </w:p>
        </w:tc>
        <w:tc>
          <w:tcPr>
            <w:tcW w:w="2300"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2.7</w:t>
            </w:r>
          </w:p>
        </w:tc>
        <w:tc>
          <w:tcPr>
            <w:tcW w:w="974" w:type="dxa"/>
            <w:vAlign w:val="center"/>
          </w:tcPr>
          <w:p>
            <w:pPr>
              <w:keepNext w:val="0"/>
              <w:keepLines w:val="0"/>
              <w:widowControl/>
              <w:suppressLineNumbers w:val="0"/>
              <w:spacing w:before="0" w:beforeAutospacing="0" w:after="0" w:afterAutospacing="0"/>
              <w:ind w:left="0" w:right="0"/>
              <w:jc w:val="center"/>
              <w:rPr>
                <w:rFonts w:hint="default"/>
                <w:color w:val="auto"/>
                <w:kern w:val="0"/>
                <w:lang w:val="en-US"/>
              </w:rPr>
            </w:pPr>
            <w:r>
              <w:rPr>
                <w:rFonts w:hint="eastAsia"/>
                <w:color w:val="auto"/>
                <w:kern w:val="0"/>
                <w:lang w:val="en-US" w:eastAsia="zh-CN"/>
              </w:rPr>
              <w:t>985.5</w:t>
            </w:r>
          </w:p>
        </w:tc>
      </w:tr>
      <w:bookmarkEnd w:id="21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5</w:t>
            </w:r>
          </w:p>
        </w:tc>
        <w:tc>
          <w:tcPr>
            <w:tcW w:w="1975"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rPr>
            </w:pPr>
            <w:r>
              <w:rPr>
                <w:rFonts w:hint="eastAsia"/>
                <w:color w:val="auto"/>
              </w:rPr>
              <w:t>消毒用水</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5.48</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2000</w:t>
            </w:r>
          </w:p>
        </w:tc>
        <w:tc>
          <w:tcPr>
            <w:tcW w:w="2300" w:type="dxa"/>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0</w:t>
            </w:r>
          </w:p>
        </w:tc>
        <w:tc>
          <w:tcPr>
            <w:tcW w:w="974" w:type="dxa"/>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6"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宋体"/>
                <w:color w:val="auto"/>
                <w:kern w:val="0"/>
                <w:lang w:val="en-US" w:eastAsia="zh-CN"/>
              </w:rPr>
            </w:pPr>
            <w:r>
              <w:rPr>
                <w:rFonts w:hint="eastAsia"/>
                <w:color w:val="auto"/>
                <w:kern w:val="0"/>
                <w:lang w:val="en-US" w:eastAsia="zh-CN"/>
              </w:rPr>
              <w:t>6</w:t>
            </w:r>
          </w:p>
        </w:tc>
        <w:tc>
          <w:tcPr>
            <w:tcW w:w="1975"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青储池渗滤液</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0</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0</w:t>
            </w:r>
          </w:p>
        </w:tc>
        <w:tc>
          <w:tcPr>
            <w:tcW w:w="2300"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5.26</w:t>
            </w:r>
          </w:p>
        </w:tc>
        <w:tc>
          <w:tcPr>
            <w:tcW w:w="974"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2" w:hRule="atLeast"/>
        </w:trPr>
        <w:tc>
          <w:tcPr>
            <w:tcW w:w="2811" w:type="dxa"/>
            <w:gridSpan w:val="2"/>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2"/>
                <w:szCs w:val="22"/>
              </w:rPr>
            </w:pPr>
            <w:r>
              <w:rPr>
                <w:rFonts w:hint="eastAsia" w:ascii="宋体" w:hAnsi="宋体" w:cs="宋体"/>
                <w:color w:val="auto"/>
                <w:kern w:val="0"/>
                <w:sz w:val="22"/>
                <w:szCs w:val="22"/>
              </w:rPr>
              <w:t>合计</w:t>
            </w:r>
          </w:p>
        </w:tc>
        <w:tc>
          <w:tcPr>
            <w:tcW w:w="1409"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407.04</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148569.156</w:t>
            </w:r>
          </w:p>
        </w:tc>
        <w:tc>
          <w:tcPr>
            <w:tcW w:w="230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110.916</w:t>
            </w:r>
          </w:p>
        </w:tc>
        <w:tc>
          <w:tcPr>
            <w:tcW w:w="97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40484.44</w:t>
            </w:r>
          </w:p>
        </w:tc>
      </w:tr>
    </w:tbl>
    <w:p>
      <w:pPr>
        <w:pStyle w:val="75"/>
        <w:spacing w:before="120" w:beforeLines="50"/>
        <w:jc w:val="center"/>
        <w:rPr>
          <w:color w:val="auto"/>
          <w:sz w:val="24"/>
        </w:rPr>
      </w:pPr>
      <w:r>
        <w:rPr>
          <w:color w:val="auto"/>
          <w:sz w:val="24"/>
        </w:rPr>
        <w:object>
          <v:shape id="_x0000_i1029" o:spt="75" type="#_x0000_t75" style="height:372pt;width:396pt;" o:ole="t" filled="f" o:preferrelative="t" stroked="f" coordsize="21600,21600">
            <v:path/>
            <v:fill on="f" focussize="0,0"/>
            <v:stroke on="f"/>
            <v:imagedata r:id="rId31" o:title=""/>
            <o:lock v:ext="edit" aspectratio="f"/>
            <w10:wrap type="none"/>
            <w10:anchorlock/>
          </v:shape>
          <o:OLEObject Type="Embed" ProgID="Visio.Drawing.11" ShapeID="_x0000_i1029" DrawAspect="Content" ObjectID="_1468075729" r:id="rId30">
            <o:LockedField>false</o:LockedField>
          </o:OLEObject>
        </w:object>
      </w:r>
    </w:p>
    <w:p>
      <w:pPr>
        <w:jc w:val="center"/>
        <w:rPr>
          <w:rFonts w:hint="eastAsia"/>
          <w:b/>
          <w:color w:val="auto"/>
          <w:szCs w:val="20"/>
          <w:lang w:eastAsia="zh-CN"/>
        </w:rPr>
      </w:pPr>
      <w:r>
        <w:rPr>
          <w:rFonts w:hint="eastAsia"/>
          <w:b/>
          <w:color w:val="auto"/>
          <w:szCs w:val="20"/>
        </w:rPr>
        <w:t>图</w:t>
      </w:r>
      <w:r>
        <w:rPr>
          <w:rFonts w:hint="eastAsia"/>
          <w:b/>
          <w:color w:val="auto"/>
          <w:szCs w:val="20"/>
          <w:lang w:val="en-US" w:eastAsia="zh-CN"/>
        </w:rPr>
        <w:t>3</w:t>
      </w:r>
      <w:r>
        <w:rPr>
          <w:rFonts w:hint="eastAsia"/>
          <w:b/>
          <w:color w:val="auto"/>
          <w:szCs w:val="20"/>
        </w:rPr>
        <w:t>.4</w:t>
      </w:r>
      <w:r>
        <w:rPr>
          <w:b/>
          <w:color w:val="auto"/>
          <w:szCs w:val="20"/>
        </w:rPr>
        <w:noBreakHyphen/>
      </w:r>
      <w:r>
        <w:rPr>
          <w:rFonts w:hint="eastAsia"/>
          <w:b/>
          <w:color w:val="auto"/>
          <w:szCs w:val="20"/>
        </w:rPr>
        <w:t>1</w:t>
      </w:r>
      <w:r>
        <w:rPr>
          <w:b/>
          <w:color w:val="auto"/>
          <w:szCs w:val="20"/>
        </w:rPr>
        <w:t xml:space="preserve">  </w:t>
      </w:r>
      <w:r>
        <w:rPr>
          <w:rFonts w:hint="eastAsia"/>
          <w:b/>
          <w:color w:val="auto"/>
          <w:szCs w:val="20"/>
        </w:rPr>
        <w:t>项目水平衡图（</w:t>
      </w:r>
      <w:bookmarkStart w:id="218" w:name="OLE_LINK1"/>
      <w:r>
        <w:rPr>
          <w:b/>
          <w:color w:val="auto"/>
          <w:szCs w:val="20"/>
        </w:rPr>
        <w:t>m</w:t>
      </w:r>
      <w:r>
        <w:rPr>
          <w:b/>
          <w:color w:val="auto"/>
          <w:szCs w:val="20"/>
          <w:vertAlign w:val="superscript"/>
        </w:rPr>
        <w:t>3</w:t>
      </w:r>
      <w:r>
        <w:rPr>
          <w:b/>
          <w:color w:val="auto"/>
          <w:szCs w:val="20"/>
        </w:rPr>
        <w:t>/d</w:t>
      </w:r>
      <w:bookmarkEnd w:id="218"/>
      <w:r>
        <w:rPr>
          <w:rFonts w:hint="eastAsia"/>
          <w:b/>
          <w:color w:val="auto"/>
          <w:szCs w:val="20"/>
        </w:rPr>
        <w:t>）</w:t>
      </w:r>
    </w:p>
    <w:p>
      <w:pPr>
        <w:pStyle w:val="6"/>
        <w:keepNext/>
        <w:keepLines/>
        <w:pageBreakBefore w:val="0"/>
        <w:widowControl w:val="0"/>
        <w:kinsoku/>
        <w:wordWrap/>
        <w:overflowPunct/>
        <w:topLinePunct w:val="0"/>
        <w:autoSpaceDE/>
        <w:autoSpaceDN/>
        <w:bidi w:val="0"/>
        <w:adjustRightInd/>
        <w:snapToGrid/>
        <w:spacing w:before="0" w:beforeLines="50" w:after="0" w:line="360" w:lineRule="auto"/>
        <w:textAlignment w:val="auto"/>
        <w:rPr>
          <w:rFonts w:ascii="Times New Roman" w:hAnsi="Times New Roman" w:cs="Times New Roman" w:eastAsiaTheme="majorEastAsia"/>
          <w:bCs/>
          <w:color w:val="auto"/>
          <w:kern w:val="2"/>
          <w:szCs w:val="32"/>
          <w:lang w:val="en-US" w:eastAsia="zh-CN"/>
        </w:rPr>
      </w:pPr>
      <w:bookmarkStart w:id="219" w:name="_Toc2600"/>
      <w:bookmarkStart w:id="220" w:name="_Toc174889485"/>
      <w:bookmarkStart w:id="221" w:name="_Toc19762"/>
      <w:bookmarkStart w:id="222" w:name="_Toc31952"/>
      <w:bookmarkStart w:id="223" w:name="_Toc265160057"/>
      <w:r>
        <w:rPr>
          <w:rFonts w:ascii="Times New Roman" w:hAnsi="Times New Roman" w:cs="Times New Roman" w:eastAsiaTheme="majorEastAsia"/>
          <w:bCs/>
          <w:color w:val="auto"/>
          <w:kern w:val="2"/>
          <w:szCs w:val="32"/>
          <w:lang w:val="en-US" w:eastAsia="zh-CN"/>
        </w:rPr>
        <w:t>主要污染物的产生及治理</w:t>
      </w:r>
      <w:bookmarkEnd w:id="219"/>
      <w:bookmarkEnd w:id="220"/>
      <w:bookmarkEnd w:id="221"/>
      <w:bookmarkEnd w:id="222"/>
      <w:bookmarkEnd w:id="223"/>
    </w:p>
    <w:p>
      <w:pPr>
        <w:pStyle w:val="180"/>
        <w:rPr>
          <w:rFonts w:hint="default" w:ascii="Times New Roman" w:hAnsi="Times New Roman" w:cs="Times New Roman" w:eastAsiaTheme="majorEastAsia"/>
          <w:b/>
          <w:bCs w:val="0"/>
          <w:color w:val="auto"/>
          <w:sz w:val="24"/>
          <w:szCs w:val="24"/>
        </w:rPr>
      </w:pPr>
      <w:bookmarkStart w:id="224" w:name="_Toc27757"/>
      <w:r>
        <w:rPr>
          <w:rFonts w:hint="default" w:ascii="Times New Roman" w:hAnsi="Times New Roman" w:cs="Times New Roman" w:eastAsiaTheme="majorEastAsia"/>
          <w:b/>
          <w:bCs w:val="0"/>
          <w:color w:val="auto"/>
          <w:sz w:val="24"/>
          <w:szCs w:val="24"/>
        </w:rPr>
        <w:t>施工期污染物产生及治理措施</w:t>
      </w:r>
      <w:bookmarkEnd w:id="224"/>
    </w:p>
    <w:p>
      <w:pPr>
        <w:pStyle w:val="4"/>
        <w:spacing w:line="360" w:lineRule="auto"/>
        <w:ind w:firstLine="508"/>
        <w:rPr>
          <w:rFonts w:ascii="Times New Roman"/>
          <w:b/>
          <w:color w:val="auto"/>
        </w:rPr>
      </w:pPr>
      <w:r>
        <w:rPr>
          <w:rFonts w:ascii="Times New Roman"/>
          <w:b/>
          <w:color w:val="auto"/>
        </w:rPr>
        <w:t>1、废水排放及治理措施</w:t>
      </w:r>
    </w:p>
    <w:p>
      <w:pPr>
        <w:pStyle w:val="4"/>
        <w:spacing w:line="360" w:lineRule="auto"/>
        <w:ind w:firstLine="508"/>
        <w:rPr>
          <w:rFonts w:ascii="Times New Roman"/>
          <w:color w:val="auto"/>
        </w:rPr>
      </w:pPr>
      <w:r>
        <w:rPr>
          <w:rFonts w:ascii="Times New Roman"/>
          <w:color w:val="auto"/>
        </w:rPr>
        <w:t>施工期的废水排放主要来自于建筑施工人员的生活污水和生产废水。</w:t>
      </w:r>
    </w:p>
    <w:p>
      <w:pPr>
        <w:pStyle w:val="4"/>
        <w:spacing w:line="360" w:lineRule="auto"/>
        <w:ind w:firstLine="508"/>
        <w:rPr>
          <w:rFonts w:ascii="Times New Roman"/>
          <w:color w:val="auto"/>
        </w:rPr>
      </w:pPr>
      <w:r>
        <w:rPr>
          <w:rFonts w:ascii="Times New Roman"/>
          <w:b/>
          <w:color w:val="auto"/>
        </w:rPr>
        <w:t>生活污水：</w:t>
      </w:r>
      <w:r>
        <w:rPr>
          <w:rFonts w:ascii="Times New Roman"/>
          <w:color w:val="auto"/>
        </w:rPr>
        <w:t>施工期间施工人员最多人数</w:t>
      </w:r>
      <w:r>
        <w:rPr>
          <w:rFonts w:hint="eastAsia" w:ascii="Times New Roman"/>
          <w:color w:val="auto"/>
          <w:lang w:val="en-US" w:eastAsia="zh-CN"/>
        </w:rPr>
        <w:t>30</w:t>
      </w:r>
      <w:r>
        <w:rPr>
          <w:rFonts w:ascii="Times New Roman"/>
          <w:color w:val="auto"/>
        </w:rPr>
        <w:t>人，根据《四川省用水定额》可知，生活用水量可按80L/d·人计，则日生活用水量为</w:t>
      </w:r>
      <w:r>
        <w:rPr>
          <w:rFonts w:hint="eastAsia" w:ascii="Times New Roman"/>
          <w:color w:val="auto"/>
          <w:lang w:val="en-US" w:eastAsia="zh-CN"/>
        </w:rPr>
        <w:t>2.4</w:t>
      </w:r>
      <w:r>
        <w:rPr>
          <w:rFonts w:ascii="Times New Roman"/>
          <w:color w:val="auto"/>
        </w:rPr>
        <w:t>m</w:t>
      </w:r>
      <w:r>
        <w:rPr>
          <w:rFonts w:ascii="Times New Roman"/>
          <w:color w:val="auto"/>
          <w:vertAlign w:val="superscript"/>
        </w:rPr>
        <w:t>3</w:t>
      </w:r>
      <w:r>
        <w:rPr>
          <w:rFonts w:ascii="Times New Roman"/>
          <w:color w:val="auto"/>
        </w:rPr>
        <w:t>/d，生活污水的排放量按用水量的80%计算，则生活污水的日排放量为</w:t>
      </w:r>
      <w:r>
        <w:rPr>
          <w:rFonts w:hint="eastAsia" w:ascii="Times New Roman"/>
          <w:color w:val="auto"/>
          <w:lang w:val="en-US" w:eastAsia="zh-CN"/>
        </w:rPr>
        <w:t>1.92</w:t>
      </w:r>
      <w:r>
        <w:rPr>
          <w:rFonts w:ascii="Times New Roman"/>
          <w:color w:val="auto"/>
        </w:rPr>
        <w:t>m</w:t>
      </w:r>
      <w:r>
        <w:rPr>
          <w:rFonts w:ascii="Times New Roman"/>
          <w:color w:val="auto"/>
          <w:vertAlign w:val="superscript"/>
        </w:rPr>
        <w:t>3</w:t>
      </w:r>
      <w:r>
        <w:rPr>
          <w:rFonts w:ascii="Times New Roman"/>
          <w:color w:val="auto"/>
        </w:rPr>
        <w:t>/d。主要污染因子为COD</w:t>
      </w:r>
      <w:r>
        <w:rPr>
          <w:rFonts w:ascii="Times New Roman"/>
          <w:color w:val="auto"/>
          <w:vertAlign w:val="subscript"/>
        </w:rPr>
        <w:t>Cr</w:t>
      </w:r>
      <w:r>
        <w:rPr>
          <w:rFonts w:ascii="Times New Roman"/>
          <w:color w:val="auto"/>
        </w:rPr>
        <w:t>、SS、BOD</w:t>
      </w:r>
      <w:r>
        <w:rPr>
          <w:rFonts w:ascii="Times New Roman"/>
          <w:color w:val="auto"/>
          <w:vertAlign w:val="subscript"/>
        </w:rPr>
        <w:t>5</w:t>
      </w:r>
      <w:r>
        <w:rPr>
          <w:rFonts w:ascii="Times New Roman"/>
          <w:color w:val="auto"/>
        </w:rPr>
        <w:t>、NH</w:t>
      </w:r>
      <w:r>
        <w:rPr>
          <w:rFonts w:ascii="Times New Roman"/>
          <w:color w:val="auto"/>
          <w:vertAlign w:val="subscript"/>
        </w:rPr>
        <w:t>3</w:t>
      </w:r>
      <w:r>
        <w:rPr>
          <w:rFonts w:ascii="Times New Roman"/>
          <w:color w:val="auto"/>
        </w:rPr>
        <w:t>-N等。</w:t>
      </w:r>
    </w:p>
    <w:p>
      <w:pPr>
        <w:pStyle w:val="4"/>
        <w:spacing w:line="360" w:lineRule="auto"/>
        <w:ind w:firstLine="508"/>
        <w:rPr>
          <w:rFonts w:ascii="Times New Roman"/>
          <w:color w:val="auto"/>
        </w:rPr>
      </w:pPr>
      <w:r>
        <w:rPr>
          <w:rFonts w:ascii="Times New Roman"/>
          <w:color w:val="auto"/>
        </w:rPr>
        <w:t>项目施工人员可利用附近农户的旱厕对生活废水进行收集处理，后用于当地农田施肥。</w:t>
      </w:r>
    </w:p>
    <w:p>
      <w:pPr>
        <w:pStyle w:val="4"/>
        <w:spacing w:line="360" w:lineRule="auto"/>
        <w:ind w:firstLine="508"/>
        <w:rPr>
          <w:rFonts w:ascii="Times New Roman"/>
          <w:color w:val="auto"/>
        </w:rPr>
      </w:pPr>
      <w:r>
        <w:rPr>
          <w:rFonts w:ascii="Times New Roman"/>
          <w:b/>
          <w:color w:val="auto"/>
        </w:rPr>
        <w:t>生产废水：</w:t>
      </w:r>
      <w:r>
        <w:rPr>
          <w:rFonts w:ascii="Times New Roman"/>
          <w:color w:val="auto"/>
        </w:rPr>
        <w:t>主要为施工设备及车辆冲洗水，经沉淀池沉淀后循环使用，用于施工现场的洒水降尘等。项目场地内不设机械维修。</w:t>
      </w:r>
    </w:p>
    <w:p>
      <w:pPr>
        <w:pStyle w:val="4"/>
        <w:spacing w:line="360" w:lineRule="auto"/>
        <w:ind w:firstLine="508"/>
        <w:rPr>
          <w:rFonts w:ascii="Times New Roman"/>
          <w:b/>
          <w:color w:val="auto"/>
        </w:rPr>
      </w:pPr>
      <w:r>
        <w:rPr>
          <w:rFonts w:ascii="Times New Roman"/>
          <w:b/>
          <w:color w:val="auto"/>
        </w:rPr>
        <w:t>2、废气排放及治理措施</w:t>
      </w:r>
    </w:p>
    <w:p>
      <w:pPr>
        <w:pStyle w:val="4"/>
        <w:spacing w:line="360" w:lineRule="auto"/>
        <w:ind w:firstLine="508"/>
        <w:rPr>
          <w:rFonts w:ascii="Times New Roman"/>
          <w:b/>
          <w:color w:val="auto"/>
        </w:rPr>
      </w:pPr>
      <w:r>
        <w:rPr>
          <w:rFonts w:ascii="Times New Roman"/>
          <w:b/>
          <w:color w:val="auto"/>
        </w:rPr>
        <w:t>（1）施工扬尘</w:t>
      </w:r>
    </w:p>
    <w:p>
      <w:pPr>
        <w:pStyle w:val="4"/>
        <w:spacing w:line="360" w:lineRule="auto"/>
        <w:ind w:firstLine="480" w:firstLineChars="200"/>
        <w:rPr>
          <w:rFonts w:ascii="Times New Roman"/>
          <w:color w:val="auto"/>
        </w:rPr>
      </w:pPr>
      <w:r>
        <w:rPr>
          <w:rFonts w:ascii="Times New Roman"/>
          <w:color w:val="auto"/>
        </w:rPr>
        <w:t>施工期施工车辆产生的扬尘污染比较严重，且影响范围也较大，扬尘属于粒径较小的降尘（10～20μm），未铺装道路表面（泥土）粉尘粒径分布为：小于5μm的占8%，5～30μm的占24%，大于30μm的占68%。因此，施工道路极易起尘，但扬尘与灰土拌和产生的粉尘相比，其危害较小，且其影响周期也较短，可采用洒水措施来降低扬尘污染。</w:t>
      </w:r>
    </w:p>
    <w:p>
      <w:pPr>
        <w:pStyle w:val="4"/>
        <w:spacing w:line="360" w:lineRule="auto"/>
        <w:ind w:firstLine="508"/>
        <w:rPr>
          <w:rFonts w:ascii="Times New Roman"/>
          <w:color w:val="auto"/>
        </w:rPr>
      </w:pPr>
      <w:r>
        <w:rPr>
          <w:rFonts w:ascii="Times New Roman"/>
          <w:color w:val="auto"/>
        </w:rPr>
        <w:t>根据中国环境科学研究院的研究，建筑扬尘排放经验因子为0.292kg/m</w:t>
      </w:r>
      <w:r>
        <w:rPr>
          <w:rFonts w:ascii="Times New Roman"/>
          <w:color w:val="auto"/>
          <w:vertAlign w:val="superscript"/>
        </w:rPr>
        <w:t>2</w:t>
      </w:r>
      <w:r>
        <w:rPr>
          <w:rFonts w:ascii="Times New Roman"/>
          <w:color w:val="auto"/>
        </w:rPr>
        <w:t>，根据类比分析，建筑施工场地扬尘浓度一般约为3.5mg/m</w:t>
      </w:r>
      <w:r>
        <w:rPr>
          <w:rFonts w:ascii="Times New Roman"/>
          <w:color w:val="auto"/>
          <w:vertAlign w:val="superscript"/>
        </w:rPr>
        <w:t>3</w:t>
      </w:r>
      <w:r>
        <w:rPr>
          <w:rFonts w:ascii="Times New Roman"/>
          <w:color w:val="auto"/>
        </w:rPr>
        <w:t>。</w:t>
      </w:r>
    </w:p>
    <w:p>
      <w:pPr>
        <w:pStyle w:val="4"/>
        <w:spacing w:line="360" w:lineRule="auto"/>
        <w:ind w:firstLine="508"/>
        <w:rPr>
          <w:rFonts w:ascii="Times New Roman"/>
          <w:color w:val="auto"/>
        </w:rPr>
      </w:pPr>
      <w:r>
        <w:rPr>
          <w:rFonts w:ascii="Times New Roman"/>
          <w:color w:val="auto"/>
        </w:rPr>
        <w:t>为减少扬尘的产生量及其浓度，在施工过程中，施工单位应采取以下措施：</w:t>
      </w:r>
    </w:p>
    <w:p>
      <w:pPr>
        <w:pStyle w:val="4"/>
        <w:spacing w:line="360" w:lineRule="auto"/>
        <w:ind w:firstLine="508"/>
        <w:rPr>
          <w:rFonts w:ascii="Times New Roman"/>
          <w:color w:val="auto"/>
        </w:rPr>
      </w:pPr>
      <w:r>
        <w:rPr>
          <w:rFonts w:ascii="Times New Roman"/>
          <w:color w:val="auto"/>
        </w:rPr>
        <w:t>①文明施工，定期对地面洒水，并对撒落在路面的渣土尽快清除。</w:t>
      </w:r>
    </w:p>
    <w:p>
      <w:pPr>
        <w:pStyle w:val="4"/>
        <w:spacing w:line="360" w:lineRule="auto"/>
        <w:ind w:firstLine="508"/>
        <w:rPr>
          <w:rFonts w:ascii="Times New Roman"/>
          <w:color w:val="auto"/>
        </w:rPr>
      </w:pPr>
      <w:r>
        <w:rPr>
          <w:rFonts w:ascii="Times New Roman"/>
          <w:color w:val="auto"/>
        </w:rPr>
        <w:t>②在施工场地对施工车辆实施限速行驶，同时施工现场主要运输道路尽量采用硬化路面并进行洒水抑尘；在施工场地出口放置防尘垫，对运输车辆现场用水清洗车体和轮胎，清洗用水进行统一收集，循环利用，不得向水体排放。</w:t>
      </w:r>
    </w:p>
    <w:p>
      <w:pPr>
        <w:pStyle w:val="4"/>
        <w:spacing w:line="360" w:lineRule="auto"/>
        <w:ind w:firstLine="508"/>
        <w:rPr>
          <w:rFonts w:ascii="Times New Roman"/>
          <w:color w:val="auto"/>
        </w:rPr>
      </w:pPr>
      <w:r>
        <w:rPr>
          <w:rFonts w:ascii="Times New Roman"/>
          <w:color w:val="auto"/>
        </w:rPr>
        <w:t>③禁止在风天进行渣土堆放作业，建材堆放地点相对集中，临时废弃土石堆场及时清运，并对堆场必须以毡布覆盖，不得有裸土，并且裸露地面进行硬化和绿化，减少建材的露天堆放时间；开挖出的土石方应加强围栏，表面用毡布覆盖，并及时将回填开挖土石方。</w:t>
      </w:r>
    </w:p>
    <w:p>
      <w:pPr>
        <w:pStyle w:val="4"/>
        <w:spacing w:line="360" w:lineRule="auto"/>
        <w:ind w:firstLine="508"/>
        <w:rPr>
          <w:rFonts w:ascii="Times New Roman"/>
          <w:color w:val="auto"/>
        </w:rPr>
      </w:pPr>
      <w:r>
        <w:rPr>
          <w:rFonts w:ascii="Times New Roman"/>
          <w:color w:val="auto"/>
        </w:rPr>
        <w:t>④风速大于3m/s时应停止施工。</w:t>
      </w:r>
    </w:p>
    <w:p>
      <w:pPr>
        <w:pStyle w:val="4"/>
        <w:spacing w:line="360" w:lineRule="auto"/>
        <w:ind w:firstLine="508"/>
        <w:rPr>
          <w:rFonts w:ascii="Times New Roman"/>
          <w:color w:val="auto"/>
        </w:rPr>
      </w:pPr>
      <w:r>
        <w:rPr>
          <w:rFonts w:ascii="Times New Roman"/>
          <w:color w:val="auto"/>
        </w:rPr>
        <w:t>⑤施工建设应使用商品混凝土。因条件限制确需设置搅拌机或人工搅拌的工地，必须采取防尘措施。</w:t>
      </w:r>
    </w:p>
    <w:p>
      <w:pPr>
        <w:pStyle w:val="4"/>
        <w:spacing w:line="360" w:lineRule="auto"/>
        <w:ind w:firstLine="508"/>
        <w:rPr>
          <w:rFonts w:ascii="Times New Roman"/>
          <w:color w:val="auto"/>
        </w:rPr>
      </w:pPr>
      <w:r>
        <w:rPr>
          <w:rFonts w:ascii="Times New Roman"/>
          <w:color w:val="auto"/>
        </w:rPr>
        <w:t>⑥场地内道路进行硬化处理，并对场地内周边暂未利用的裸土区域尽快进行绿化覆盖。</w:t>
      </w:r>
    </w:p>
    <w:p>
      <w:pPr>
        <w:pStyle w:val="4"/>
        <w:spacing w:line="360" w:lineRule="auto"/>
        <w:ind w:firstLine="508"/>
        <w:rPr>
          <w:rFonts w:ascii="Times New Roman"/>
          <w:color w:val="auto"/>
        </w:rPr>
      </w:pPr>
      <w:r>
        <w:rPr>
          <w:rFonts w:ascii="Times New Roman"/>
          <w:color w:val="auto"/>
        </w:rPr>
        <w:t>除上述措施外，项目在施工过程中还需采取以下扬尘防治措施：</w:t>
      </w:r>
    </w:p>
    <w:p>
      <w:pPr>
        <w:pStyle w:val="4"/>
        <w:spacing w:line="360" w:lineRule="auto"/>
        <w:ind w:firstLine="508"/>
        <w:rPr>
          <w:rFonts w:ascii="Times New Roman"/>
          <w:color w:val="auto"/>
        </w:rPr>
      </w:pPr>
      <w:r>
        <w:rPr>
          <w:rFonts w:ascii="Times New Roman"/>
          <w:color w:val="auto"/>
        </w:rPr>
        <w:t>施工期应严格按照、《四川省打赢蓝天保卫战实施方案》和《四川省人民政府办公厅关于加强灰霾污染防治的通知》（川办发[2013]32号）、关于印发《四川省灰霾污染防治实施方案》的通知（川环发〔2013〕78 号）及《四川省灰霾污染防治办法》（四川省人民政府令第 288 号）相关规定做好扬尘防治工作：严格施工扬尘监管，严格落实“六必须、六不准”管控要求；严格道路扬尘治理，严格渣土车辆管理，严格查处抛洒滴漏、带泥行驶；强化堆场扬尘管控，堆场进出口设置车辆冲洗设施等措施。</w:t>
      </w:r>
    </w:p>
    <w:p>
      <w:pPr>
        <w:pStyle w:val="4"/>
        <w:spacing w:line="360" w:lineRule="auto"/>
        <w:ind w:firstLine="508"/>
        <w:rPr>
          <w:rFonts w:ascii="Times New Roman"/>
          <w:b/>
          <w:color w:val="auto"/>
        </w:rPr>
      </w:pPr>
      <w:r>
        <w:rPr>
          <w:rFonts w:ascii="Times New Roman"/>
          <w:b/>
          <w:color w:val="auto"/>
        </w:rPr>
        <w:t>（2）施工机械废气、装修油漆废气</w:t>
      </w:r>
    </w:p>
    <w:p>
      <w:pPr>
        <w:pStyle w:val="4"/>
        <w:spacing w:line="360" w:lineRule="auto"/>
        <w:ind w:firstLine="508"/>
        <w:rPr>
          <w:rFonts w:ascii="Times New Roman"/>
          <w:color w:val="auto"/>
        </w:rPr>
      </w:pPr>
      <w:r>
        <w:rPr>
          <w:rFonts w:ascii="Times New Roman"/>
          <w:color w:val="auto"/>
        </w:rPr>
        <w:t>施工期间，使用机动车运送原材料、设备和建筑机械设备的运转，均会排放一定量的CO、NOx以及未完全燃烧的THC等，其特点是排放量小，且属间断性无组织排放，由于施工场地开阔，扩散条件良好，因此在采取相应的措施后能够做到达标排放。在施工期内应多加注意施工设备的维护，使其能够正常的运行，提高设备原料的利用率。</w:t>
      </w:r>
    </w:p>
    <w:p>
      <w:pPr>
        <w:pStyle w:val="4"/>
        <w:spacing w:line="360" w:lineRule="auto"/>
        <w:ind w:firstLine="508"/>
        <w:rPr>
          <w:rFonts w:ascii="Times New Roman"/>
          <w:color w:val="auto"/>
        </w:rPr>
      </w:pPr>
      <w:r>
        <w:rPr>
          <w:rFonts w:ascii="Times New Roman"/>
          <w:color w:val="auto"/>
        </w:rPr>
        <w:t>油漆废气主要来自于办公楼装修阶段，该废气的排放属无组织排放，其主要污染因子为二甲苯和甲苯，此外还有极少量的汽油、丁醇和丙醇等。由于油漆废气的排放时间和部位不能十分明确，并且装修阶段的油漆废气排放周期短，且作业量较小。因此，在装修油漆期间，施工单位在采用环保型油漆、加强室内的通风换气情况下，再加之项目所在场地扩散条件较好，从而，项目装修施工产生的油漆废气可实现达标排放。</w:t>
      </w:r>
    </w:p>
    <w:p>
      <w:pPr>
        <w:pStyle w:val="4"/>
        <w:spacing w:line="360" w:lineRule="auto"/>
        <w:ind w:firstLine="508"/>
        <w:rPr>
          <w:rFonts w:ascii="Times New Roman"/>
          <w:b/>
          <w:color w:val="auto"/>
        </w:rPr>
      </w:pPr>
      <w:r>
        <w:rPr>
          <w:rFonts w:ascii="Times New Roman"/>
          <w:b/>
          <w:color w:val="auto"/>
        </w:rPr>
        <w:t>3、噪声排放及治理措施</w:t>
      </w:r>
    </w:p>
    <w:p>
      <w:pPr>
        <w:pStyle w:val="4"/>
        <w:spacing w:line="360" w:lineRule="auto"/>
        <w:ind w:firstLine="508"/>
        <w:rPr>
          <w:rFonts w:ascii="Times New Roman"/>
          <w:color w:val="auto"/>
        </w:rPr>
      </w:pPr>
      <w:r>
        <w:rPr>
          <w:rFonts w:ascii="Times New Roman"/>
          <w:color w:val="auto"/>
        </w:rPr>
        <w:t>由于施工作业，工程机械将产生噪声，噪声源强80-95dB，属间断性噪声。同时使用运输车辆，建材的运输及装卸均会产生一定量的噪声。</w:t>
      </w:r>
    </w:p>
    <w:p>
      <w:pPr>
        <w:pStyle w:val="4"/>
        <w:spacing w:line="360" w:lineRule="auto"/>
        <w:ind w:firstLine="508"/>
        <w:rPr>
          <w:rFonts w:ascii="Times New Roman"/>
          <w:color w:val="auto"/>
        </w:rPr>
      </w:pPr>
      <w:r>
        <w:rPr>
          <w:rFonts w:ascii="Times New Roman"/>
          <w:color w:val="auto"/>
        </w:rPr>
        <w:t>环评建议工程施工尽可能地安排在白天进行，以减少噪声扰民的程度，应该严格按照《建筑施工厂界环境噪声排放标准》（GB12523-2011）施工。</w:t>
      </w:r>
    </w:p>
    <w:p>
      <w:pPr>
        <w:pStyle w:val="4"/>
        <w:spacing w:line="360" w:lineRule="auto"/>
        <w:ind w:firstLine="508"/>
        <w:rPr>
          <w:rFonts w:ascii="Times New Roman"/>
          <w:color w:val="auto"/>
        </w:rPr>
      </w:pPr>
      <w:r>
        <w:rPr>
          <w:rFonts w:ascii="Times New Roman"/>
          <w:color w:val="auto"/>
        </w:rPr>
        <w:t>施工期噪声防治措施：</w:t>
      </w:r>
    </w:p>
    <w:p>
      <w:pPr>
        <w:pStyle w:val="4"/>
        <w:spacing w:line="360" w:lineRule="auto"/>
        <w:ind w:firstLine="508"/>
        <w:rPr>
          <w:rFonts w:ascii="Times New Roman"/>
          <w:color w:val="auto"/>
        </w:rPr>
      </w:pPr>
      <w:r>
        <w:rPr>
          <w:rFonts w:ascii="Times New Roman"/>
          <w:color w:val="auto"/>
        </w:rPr>
        <w:t>①施工现场合理布局，相对集中固定声源，将高噪声设备尽量布置在项目中央，远离居民的地点。</w:t>
      </w:r>
    </w:p>
    <w:p>
      <w:pPr>
        <w:pStyle w:val="4"/>
        <w:spacing w:line="360" w:lineRule="auto"/>
        <w:ind w:firstLine="508"/>
        <w:rPr>
          <w:rFonts w:ascii="Times New Roman"/>
          <w:color w:val="auto"/>
        </w:rPr>
      </w:pPr>
      <w:r>
        <w:rPr>
          <w:rFonts w:ascii="Times New Roman"/>
          <w:color w:val="auto"/>
        </w:rPr>
        <w:t>②高噪声固定设备应采用固定式或活动隔声屏进行降噪处理，同时尽可能避免多台高噪声设备同时作业。</w:t>
      </w:r>
    </w:p>
    <w:p>
      <w:pPr>
        <w:pStyle w:val="4"/>
        <w:spacing w:line="360" w:lineRule="auto"/>
        <w:ind w:firstLine="508"/>
        <w:rPr>
          <w:rFonts w:ascii="Times New Roman"/>
          <w:color w:val="auto"/>
        </w:rPr>
      </w:pPr>
      <w:r>
        <w:rPr>
          <w:rFonts w:ascii="Times New Roman"/>
          <w:color w:val="auto"/>
        </w:rPr>
        <w:t>③加强施工管理，严格执行地方环境管理规定，合理安排夜间施工以避免夜间高噪声施工作业。</w:t>
      </w:r>
    </w:p>
    <w:p>
      <w:pPr>
        <w:pStyle w:val="4"/>
        <w:spacing w:line="360" w:lineRule="auto"/>
        <w:ind w:firstLine="508"/>
        <w:rPr>
          <w:rFonts w:ascii="Times New Roman"/>
          <w:color w:val="auto"/>
        </w:rPr>
      </w:pPr>
      <w:r>
        <w:rPr>
          <w:rFonts w:ascii="Times New Roman"/>
          <w:color w:val="auto"/>
        </w:rPr>
        <w:t>④施工期不得使用高音喇叭进行宣传或指挥生产。</w:t>
      </w:r>
    </w:p>
    <w:p>
      <w:pPr>
        <w:pStyle w:val="4"/>
        <w:spacing w:line="360" w:lineRule="auto"/>
        <w:ind w:firstLine="508"/>
        <w:rPr>
          <w:rFonts w:ascii="Times New Roman"/>
          <w:color w:val="auto"/>
        </w:rPr>
      </w:pPr>
      <w:r>
        <w:rPr>
          <w:rFonts w:ascii="Times New Roman"/>
          <w:color w:val="auto"/>
        </w:rPr>
        <w:t>⑤保障施工车辆进出通道畅通并加强交通管理，以避免由于运输作业影响交通秩序而产生的车辆鸣笛噪声污染。</w:t>
      </w:r>
    </w:p>
    <w:p>
      <w:pPr>
        <w:pStyle w:val="4"/>
        <w:spacing w:line="360" w:lineRule="auto"/>
        <w:ind w:firstLine="508"/>
        <w:rPr>
          <w:rFonts w:ascii="Times New Roman"/>
          <w:color w:val="auto"/>
        </w:rPr>
      </w:pPr>
      <w:r>
        <w:rPr>
          <w:rFonts w:ascii="Times New Roman"/>
          <w:color w:val="auto"/>
        </w:rPr>
        <w:t>⑥夜间（22：00～6：00）禁止高噪声机械施工作业；项目场地布置时，应考虑施工噪声对临近农户的影响，将高噪声设备尽量远离农户。同时，严禁夜间施工。若必须连续施工作业的工点，施工单位应视具体情况及时与环保部门取得联系，按规定申领夜间施工证，同时发布公告最大限度地争取民众支持。</w:t>
      </w:r>
    </w:p>
    <w:p>
      <w:pPr>
        <w:pStyle w:val="4"/>
        <w:spacing w:line="360" w:lineRule="auto"/>
        <w:ind w:firstLine="508"/>
        <w:rPr>
          <w:rFonts w:ascii="Times New Roman"/>
          <w:b/>
          <w:color w:val="auto"/>
        </w:rPr>
      </w:pPr>
      <w:r>
        <w:rPr>
          <w:rFonts w:ascii="Times New Roman"/>
          <w:b/>
          <w:color w:val="auto"/>
        </w:rPr>
        <w:t>4、固废排放及治理措施</w:t>
      </w:r>
    </w:p>
    <w:p>
      <w:pPr>
        <w:pStyle w:val="4"/>
        <w:spacing w:line="360" w:lineRule="auto"/>
        <w:ind w:firstLine="508"/>
        <w:rPr>
          <w:rFonts w:ascii="Times New Roman"/>
          <w:color w:val="auto"/>
        </w:rPr>
      </w:pPr>
      <w:r>
        <w:rPr>
          <w:rFonts w:ascii="Times New Roman"/>
          <w:color w:val="auto"/>
        </w:rPr>
        <w:t>施工期间建筑工地将会产生渣土、地表开挖的剩余泥土、施工建筑垃圾和现场施工人员的生活垃圾等。</w:t>
      </w:r>
    </w:p>
    <w:p>
      <w:pPr>
        <w:pStyle w:val="4"/>
        <w:spacing w:line="360" w:lineRule="auto"/>
        <w:ind w:firstLine="508"/>
        <w:rPr>
          <w:rFonts w:ascii="Times New Roman"/>
          <w:color w:val="auto"/>
        </w:rPr>
      </w:pPr>
      <w:r>
        <w:rPr>
          <w:rFonts w:ascii="Times New Roman"/>
          <w:color w:val="auto"/>
        </w:rPr>
        <w:t>项目区域土石方能够实现挖填平衡，不会产生弃土。施工人员产生的生活垃圾交由当地环卫部门处理，建筑垃圾送往当地政府部门指定的场地进行处理。</w:t>
      </w:r>
    </w:p>
    <w:p>
      <w:pPr>
        <w:pStyle w:val="4"/>
        <w:spacing w:line="360" w:lineRule="auto"/>
        <w:ind w:firstLine="508"/>
        <w:rPr>
          <w:rFonts w:ascii="Times New Roman"/>
          <w:color w:val="auto"/>
        </w:rPr>
      </w:pPr>
      <w:r>
        <w:rPr>
          <w:rFonts w:ascii="Times New Roman"/>
          <w:color w:val="auto"/>
        </w:rPr>
        <w:t>施工期间施工人员最多人数</w:t>
      </w:r>
      <w:r>
        <w:rPr>
          <w:rFonts w:hint="eastAsia" w:ascii="Times New Roman"/>
          <w:color w:val="auto"/>
          <w:lang w:val="en-US" w:eastAsia="zh-CN"/>
        </w:rPr>
        <w:t>30</w:t>
      </w:r>
      <w:r>
        <w:rPr>
          <w:rFonts w:ascii="Times New Roman"/>
          <w:color w:val="auto"/>
        </w:rPr>
        <w:t>人，生活垃圾以0.5kg/d·人计，则日生活垃圾产生量为</w:t>
      </w:r>
      <w:r>
        <w:rPr>
          <w:rFonts w:hint="eastAsia" w:ascii="Times New Roman"/>
          <w:color w:val="auto"/>
          <w:lang w:val="en-US" w:eastAsia="zh-CN"/>
        </w:rPr>
        <w:t>15</w:t>
      </w:r>
      <w:r>
        <w:rPr>
          <w:rFonts w:ascii="Times New Roman"/>
          <w:color w:val="auto"/>
        </w:rPr>
        <w:t>kg/d。建设单位在施工区域设有生活垃圾收集桶，并定期运往环卫部门统一处理。</w:t>
      </w:r>
    </w:p>
    <w:p>
      <w:pPr>
        <w:pStyle w:val="4"/>
        <w:spacing w:line="360" w:lineRule="auto"/>
        <w:ind w:firstLine="508"/>
        <w:rPr>
          <w:rFonts w:ascii="Times New Roman"/>
          <w:color w:val="auto"/>
        </w:rPr>
      </w:pPr>
      <w:r>
        <w:rPr>
          <w:rFonts w:ascii="Times New Roman"/>
          <w:color w:val="auto"/>
        </w:rPr>
        <w:t>施工期固体废弃物环保措施：</w:t>
      </w:r>
    </w:p>
    <w:p>
      <w:pPr>
        <w:pStyle w:val="4"/>
        <w:spacing w:line="360" w:lineRule="auto"/>
        <w:ind w:firstLine="508"/>
        <w:rPr>
          <w:rFonts w:ascii="Times New Roman"/>
          <w:color w:val="auto"/>
        </w:rPr>
      </w:pPr>
      <w:r>
        <w:rPr>
          <w:rFonts w:ascii="Times New Roman"/>
          <w:color w:val="auto"/>
        </w:rPr>
        <w:t>①为减少回填土方的堆放时间和堆放量，建设单位应精心组织施工，先后有序，后序施工点开挖的土方应作为先期施工点的回填土方，既减少了对环境的污染，又可节约工时和资金。</w:t>
      </w:r>
    </w:p>
    <w:p>
      <w:pPr>
        <w:pStyle w:val="4"/>
        <w:spacing w:line="360" w:lineRule="auto"/>
        <w:ind w:firstLine="508"/>
        <w:rPr>
          <w:rFonts w:ascii="Times New Roman"/>
          <w:color w:val="auto"/>
        </w:rPr>
      </w:pPr>
      <w:r>
        <w:rPr>
          <w:rFonts w:ascii="Times New Roman"/>
          <w:color w:val="auto"/>
        </w:rPr>
        <w:t>②厂内水土保持，地面硬化处理，同时根据生产工艺等进行厂区绿化。</w:t>
      </w:r>
    </w:p>
    <w:p>
      <w:pPr>
        <w:pStyle w:val="4"/>
        <w:spacing w:line="360" w:lineRule="auto"/>
        <w:ind w:firstLine="508"/>
        <w:rPr>
          <w:rFonts w:ascii="Times New Roman"/>
          <w:color w:val="auto"/>
        </w:rPr>
      </w:pPr>
      <w:r>
        <w:rPr>
          <w:rFonts w:ascii="Times New Roman"/>
          <w:color w:val="auto"/>
        </w:rPr>
        <w:t>③运输建筑垃圾的车辆应随车携带《建筑垃圾准运证》和《建筑垃圾处置许可证》，保持箱体完好、有效遮盖，运输过程中不得撒漏。</w:t>
      </w:r>
    </w:p>
    <w:p>
      <w:pPr>
        <w:pStyle w:val="4"/>
        <w:spacing w:line="360" w:lineRule="auto"/>
        <w:ind w:firstLine="508"/>
        <w:rPr>
          <w:rFonts w:ascii="Times New Roman"/>
          <w:color w:val="auto"/>
        </w:rPr>
      </w:pPr>
      <w:r>
        <w:rPr>
          <w:rFonts w:ascii="Times New Roman"/>
          <w:color w:val="auto"/>
        </w:rPr>
        <w:t>④必须对表层土进行剥离保存，用于厂区绿化使用。</w:t>
      </w:r>
    </w:p>
    <w:p>
      <w:pPr>
        <w:pStyle w:val="4"/>
        <w:spacing w:line="360" w:lineRule="auto"/>
        <w:ind w:firstLine="508"/>
        <w:jc w:val="both"/>
        <w:rPr>
          <w:rFonts w:ascii="Times New Roman"/>
          <w:color w:val="auto"/>
        </w:rPr>
      </w:pPr>
      <w:r>
        <w:rPr>
          <w:rFonts w:ascii="Times New Roman"/>
          <w:color w:val="auto"/>
        </w:rPr>
        <w:t>⑤施工人员的生活垃圾应集中收集，定期统一处理。</w:t>
      </w:r>
    </w:p>
    <w:p>
      <w:pPr>
        <w:pStyle w:val="4"/>
        <w:spacing w:line="360" w:lineRule="auto"/>
        <w:ind w:firstLine="508"/>
        <w:rPr>
          <w:rFonts w:ascii="Times New Roman"/>
          <w:b/>
          <w:color w:val="auto"/>
        </w:rPr>
      </w:pPr>
      <w:r>
        <w:rPr>
          <w:rFonts w:ascii="Times New Roman"/>
          <w:b/>
          <w:color w:val="auto"/>
        </w:rPr>
        <w:t>5、生态环境的影响</w:t>
      </w:r>
    </w:p>
    <w:p>
      <w:pPr>
        <w:pStyle w:val="4"/>
        <w:spacing w:line="360" w:lineRule="auto"/>
        <w:ind w:firstLine="508"/>
        <w:rPr>
          <w:rFonts w:ascii="Times New Roman"/>
          <w:color w:val="auto"/>
        </w:rPr>
      </w:pPr>
      <w:r>
        <w:rPr>
          <w:rFonts w:ascii="Times New Roman"/>
          <w:color w:val="auto"/>
        </w:rPr>
        <w:t>工程施工开挖、弃渣堆放、地面平整、碾压等施工活动将对项目周围的土地、植被以及动物栖息地造成一定的影响和破坏，地表裸露，使局部地区表土失去防冲固土能力造成新的水土流失同时，施工“三废”及施工噪声对陆生动物的栖息活动造成一定干扰和影响，从而使施工区域的生态结构发生一定变化，影响陆地生态系统及其稳定性。</w:t>
      </w:r>
    </w:p>
    <w:p>
      <w:pPr>
        <w:pStyle w:val="4"/>
        <w:spacing w:line="360" w:lineRule="auto"/>
        <w:ind w:firstLine="508"/>
        <w:rPr>
          <w:rFonts w:ascii="Times New Roman"/>
          <w:color w:val="auto"/>
        </w:rPr>
      </w:pPr>
      <w:r>
        <w:rPr>
          <w:rFonts w:ascii="Times New Roman"/>
          <w:color w:val="auto"/>
        </w:rPr>
        <w:t>本项目所占土地为农田，经工程预算，项目场平挖方和填方能够实现挖填平衡，不会产生弃土。环评要求建设单位采取下面的保护措施进行施工期生态环境保护。</w:t>
      </w:r>
    </w:p>
    <w:p>
      <w:pPr>
        <w:pStyle w:val="4"/>
        <w:spacing w:line="360" w:lineRule="auto"/>
        <w:ind w:firstLine="508"/>
        <w:rPr>
          <w:rFonts w:ascii="Times New Roman"/>
          <w:color w:val="auto"/>
        </w:rPr>
      </w:pPr>
      <w:r>
        <w:rPr>
          <w:rFonts w:ascii="Times New Roman"/>
          <w:color w:val="auto"/>
        </w:rPr>
        <w:t>保护措施：</w:t>
      </w:r>
    </w:p>
    <w:p>
      <w:pPr>
        <w:pStyle w:val="4"/>
        <w:spacing w:line="360" w:lineRule="auto"/>
        <w:ind w:firstLine="508"/>
        <w:rPr>
          <w:rFonts w:ascii="Times New Roman"/>
          <w:color w:val="auto"/>
        </w:rPr>
      </w:pPr>
      <w:r>
        <w:rPr>
          <w:rFonts w:ascii="Times New Roman"/>
          <w:color w:val="auto"/>
        </w:rPr>
        <w:t>①在项目场地高差较大一侧修建临时围墙、及时夯实回填土、及时绿化、施工道路采用硬化路面；</w:t>
      </w:r>
    </w:p>
    <w:p>
      <w:pPr>
        <w:pStyle w:val="4"/>
        <w:spacing w:line="360" w:lineRule="auto"/>
        <w:ind w:firstLine="508"/>
        <w:rPr>
          <w:rFonts w:ascii="Times New Roman"/>
          <w:color w:val="auto"/>
        </w:rPr>
      </w:pPr>
      <w:r>
        <w:rPr>
          <w:rFonts w:ascii="Times New Roman"/>
          <w:color w:val="auto"/>
        </w:rPr>
        <w:t>②在施工现场建排水沟，防止雨水冲刷场地，并在排水沟出口处建沉淀池，使雨水经沉淀池沉清后再外排等措施，尽量减少施工期水土流失；</w:t>
      </w:r>
    </w:p>
    <w:p>
      <w:pPr>
        <w:pStyle w:val="4"/>
        <w:spacing w:line="360" w:lineRule="auto"/>
        <w:ind w:firstLine="508"/>
        <w:rPr>
          <w:rFonts w:ascii="Times New Roman"/>
          <w:color w:val="auto"/>
        </w:rPr>
      </w:pPr>
      <w:r>
        <w:rPr>
          <w:rFonts w:ascii="Times New Roman"/>
          <w:color w:val="auto"/>
        </w:rPr>
        <w:t>③对于不再开挖的场地及时进行生态重建，对破坏的植被采取自然及人工相结合方式进行多品种的植被恢复；</w:t>
      </w:r>
    </w:p>
    <w:p>
      <w:pPr>
        <w:pStyle w:val="4"/>
        <w:spacing w:line="360" w:lineRule="auto"/>
        <w:ind w:firstLine="508"/>
        <w:jc w:val="both"/>
        <w:rPr>
          <w:rFonts w:ascii="Times New Roman"/>
          <w:color w:val="auto"/>
        </w:rPr>
      </w:pPr>
      <w:r>
        <w:rPr>
          <w:rFonts w:ascii="Times New Roman"/>
          <w:color w:val="auto"/>
        </w:rPr>
        <w:t>④对表层土进行剥离，并采取遮盖等措施进行保存，用于后期厂区的绿化用土。</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225" w:name="_Toc24881"/>
      <w:bookmarkStart w:id="226" w:name="_Toc11034"/>
      <w:bookmarkStart w:id="227" w:name="_Toc19272"/>
      <w:r>
        <w:rPr>
          <w:rFonts w:ascii="Times New Roman" w:hAnsi="Times New Roman" w:cs="Times New Roman" w:eastAsiaTheme="majorEastAsia"/>
          <w:bCs/>
          <w:color w:val="auto"/>
          <w:kern w:val="2"/>
          <w:szCs w:val="32"/>
          <w:lang w:val="en-US" w:eastAsia="zh-CN"/>
        </w:rPr>
        <w:t>配套公辅工程</w:t>
      </w:r>
      <w:bookmarkEnd w:id="225"/>
      <w:bookmarkEnd w:id="226"/>
      <w:bookmarkEnd w:id="227"/>
    </w:p>
    <w:p>
      <w:pPr>
        <w:pStyle w:val="180"/>
        <w:rPr>
          <w:rFonts w:hint="default" w:ascii="Times New Roman" w:hAnsi="Times New Roman" w:cs="Times New Roman" w:eastAsiaTheme="majorEastAsia"/>
          <w:b/>
          <w:bCs w:val="0"/>
          <w:color w:val="auto"/>
          <w:sz w:val="24"/>
          <w:szCs w:val="24"/>
        </w:rPr>
      </w:pPr>
      <w:bookmarkStart w:id="228" w:name="_Toc27905"/>
      <w:bookmarkStart w:id="229" w:name="_Toc369334802"/>
      <w:bookmarkStart w:id="230" w:name="_Toc369191619"/>
      <w:bookmarkStart w:id="231" w:name="_Toc369359669"/>
      <w:bookmarkStart w:id="232" w:name="_Toc369334622"/>
      <w:bookmarkStart w:id="233" w:name="_Toc369197784"/>
      <w:bookmarkStart w:id="234" w:name="_Toc357495536"/>
      <w:r>
        <w:rPr>
          <w:rFonts w:hint="default" w:ascii="Times New Roman" w:hAnsi="Times New Roman" w:cs="Times New Roman" w:eastAsiaTheme="majorEastAsia"/>
          <w:b/>
          <w:bCs w:val="0"/>
          <w:color w:val="auto"/>
          <w:sz w:val="24"/>
          <w:szCs w:val="24"/>
        </w:rPr>
        <w:t>给排水</w:t>
      </w:r>
      <w:bookmarkEnd w:id="228"/>
      <w:bookmarkEnd w:id="229"/>
      <w:bookmarkEnd w:id="230"/>
      <w:bookmarkEnd w:id="231"/>
      <w:bookmarkEnd w:id="232"/>
      <w:bookmarkEnd w:id="233"/>
      <w:bookmarkEnd w:id="234"/>
    </w:p>
    <w:p>
      <w:pPr>
        <w:spacing w:line="360" w:lineRule="auto"/>
        <w:ind w:firstLine="482" w:firstLineChars="200"/>
        <w:rPr>
          <w:b/>
          <w:color w:val="auto"/>
          <w:sz w:val="24"/>
        </w:rPr>
      </w:pPr>
      <w:r>
        <w:rPr>
          <w:b/>
          <w:color w:val="auto"/>
          <w:sz w:val="24"/>
        </w:rPr>
        <w:t>（1）给水</w:t>
      </w:r>
    </w:p>
    <w:p>
      <w:pPr>
        <w:spacing w:line="360" w:lineRule="auto"/>
        <w:ind w:firstLine="480" w:firstLineChars="200"/>
        <w:rPr>
          <w:color w:val="auto"/>
          <w:sz w:val="24"/>
        </w:rPr>
      </w:pPr>
      <w:r>
        <w:rPr>
          <w:rFonts w:eastAsiaTheme="minorEastAsia"/>
          <w:bCs/>
          <w:color w:val="auto"/>
          <w:sz w:val="24"/>
        </w:rPr>
        <w:t>项目场地</w:t>
      </w:r>
      <w:r>
        <w:rPr>
          <w:rFonts w:hint="eastAsia" w:eastAsiaTheme="minorEastAsia"/>
          <w:bCs/>
          <w:color w:val="auto"/>
          <w:sz w:val="24"/>
          <w:lang w:val="en-US" w:eastAsia="zh-CN"/>
        </w:rPr>
        <w:t>采用自来水管网供水</w:t>
      </w:r>
      <w:r>
        <w:rPr>
          <w:rFonts w:eastAsiaTheme="minorEastAsia"/>
          <w:bCs/>
          <w:color w:val="auto"/>
          <w:sz w:val="24"/>
        </w:rPr>
        <w:t>。</w:t>
      </w:r>
    </w:p>
    <w:p>
      <w:pPr>
        <w:spacing w:line="360" w:lineRule="auto"/>
        <w:ind w:firstLine="482" w:firstLineChars="200"/>
        <w:rPr>
          <w:b/>
          <w:bCs/>
          <w:color w:val="auto"/>
          <w:sz w:val="24"/>
        </w:rPr>
      </w:pPr>
      <w:r>
        <w:rPr>
          <w:b/>
          <w:bCs/>
          <w:color w:val="auto"/>
          <w:sz w:val="24"/>
        </w:rPr>
        <w:t>（2）排水</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bCs/>
          <w:color w:val="auto"/>
          <w:sz w:val="24"/>
          <w:lang w:val="en-US" w:eastAsia="zh-CN"/>
        </w:rPr>
      </w:pPr>
      <w:bookmarkStart w:id="235" w:name="_Toc369334623"/>
      <w:bookmarkStart w:id="236" w:name="_Toc369191620"/>
      <w:bookmarkStart w:id="237" w:name="_Toc369197785"/>
      <w:bookmarkStart w:id="238" w:name="_Toc369334803"/>
      <w:bookmarkStart w:id="239" w:name="_Toc357495537"/>
      <w:bookmarkStart w:id="240" w:name="_Toc369359670"/>
      <w:r>
        <w:rPr>
          <w:bCs/>
          <w:color w:val="auto"/>
          <w:sz w:val="24"/>
        </w:rPr>
        <w:t>废水主要包括</w:t>
      </w:r>
      <w:r>
        <w:rPr>
          <w:rFonts w:hint="eastAsia"/>
          <w:bCs/>
          <w:color w:val="auto"/>
          <w:sz w:val="24"/>
          <w:lang w:val="en-US" w:eastAsia="zh-CN"/>
        </w:rPr>
        <w:t>牛</w:t>
      </w:r>
      <w:r>
        <w:rPr>
          <w:bCs/>
          <w:color w:val="auto"/>
          <w:sz w:val="24"/>
        </w:rPr>
        <w:t>尿、</w:t>
      </w:r>
      <w:r>
        <w:rPr>
          <w:rFonts w:hint="eastAsia"/>
          <w:bCs/>
          <w:color w:val="auto"/>
          <w:sz w:val="24"/>
          <w:lang w:val="en-US" w:eastAsia="zh-CN"/>
        </w:rPr>
        <w:t>牛</w:t>
      </w:r>
      <w:r>
        <w:rPr>
          <w:bCs/>
          <w:color w:val="auto"/>
          <w:sz w:val="24"/>
        </w:rPr>
        <w:t>舍冲洗废水</w:t>
      </w:r>
      <w:r>
        <w:rPr>
          <w:rFonts w:hint="eastAsia"/>
          <w:bCs/>
          <w:color w:val="auto"/>
          <w:sz w:val="24"/>
          <w:lang w:eastAsia="zh-CN"/>
        </w:rPr>
        <w:t>、</w:t>
      </w:r>
      <w:r>
        <w:rPr>
          <w:bCs/>
          <w:color w:val="auto"/>
          <w:sz w:val="24"/>
        </w:rPr>
        <w:t>职工食堂废水</w:t>
      </w:r>
      <w:r>
        <w:rPr>
          <w:rFonts w:hint="eastAsia"/>
          <w:bCs/>
          <w:color w:val="auto"/>
          <w:sz w:val="24"/>
          <w:lang w:val="en-US" w:eastAsia="zh-CN"/>
        </w:rPr>
        <w:t>及</w:t>
      </w:r>
      <w:r>
        <w:rPr>
          <w:bCs/>
          <w:color w:val="auto"/>
          <w:sz w:val="24"/>
        </w:rPr>
        <w:t>生活废水</w:t>
      </w:r>
      <w:r>
        <w:rPr>
          <w:rFonts w:hint="eastAsia"/>
          <w:bCs/>
          <w:color w:val="auto"/>
          <w:sz w:val="24"/>
          <w:lang w:eastAsia="zh-CN"/>
        </w:rPr>
        <w:t>。</w:t>
      </w:r>
      <w:r>
        <w:rPr>
          <w:bCs/>
          <w:color w:val="auto"/>
          <w:sz w:val="24"/>
        </w:rPr>
        <w:t>职工食堂废水</w:t>
      </w:r>
      <w:r>
        <w:rPr>
          <w:rFonts w:hint="eastAsia"/>
          <w:bCs/>
          <w:color w:val="auto"/>
          <w:sz w:val="24"/>
          <w:lang w:val="en-US" w:eastAsia="zh-CN"/>
        </w:rPr>
        <w:t>经隔油处理后与生活废水一同进去预处理池，</w:t>
      </w:r>
      <w:r>
        <w:rPr>
          <w:rFonts w:hint="eastAsia"/>
          <w:b/>
          <w:bCs/>
          <w:color w:val="auto"/>
          <w:sz w:val="24"/>
          <w:lang w:val="en-US" w:eastAsia="zh-CN"/>
        </w:rPr>
        <w:t>通过管道进入生产废水粪尿收集池后，与生产废水一同进入发酵床</w:t>
      </w:r>
      <w:r>
        <w:rPr>
          <w:rFonts w:hint="eastAsia"/>
          <w:bCs/>
          <w:color w:val="auto"/>
          <w:sz w:val="24"/>
          <w:lang w:val="en-US" w:eastAsia="zh-CN"/>
        </w:rPr>
        <w:t>。牛</w:t>
      </w:r>
      <w:r>
        <w:rPr>
          <w:bCs/>
          <w:color w:val="auto"/>
          <w:sz w:val="24"/>
        </w:rPr>
        <w:t>尿、</w:t>
      </w:r>
      <w:r>
        <w:rPr>
          <w:rFonts w:hint="eastAsia"/>
          <w:bCs/>
          <w:color w:val="auto"/>
          <w:sz w:val="24"/>
          <w:lang w:val="en-US" w:eastAsia="zh-CN"/>
        </w:rPr>
        <w:t>牛</w:t>
      </w:r>
      <w:r>
        <w:rPr>
          <w:bCs/>
          <w:color w:val="auto"/>
          <w:sz w:val="24"/>
        </w:rPr>
        <w:t>舍冲洗废水</w:t>
      </w:r>
      <w:r>
        <w:rPr>
          <w:rFonts w:hint="eastAsia"/>
          <w:bCs/>
          <w:color w:val="auto"/>
          <w:sz w:val="24"/>
          <w:lang w:val="en-US" w:eastAsia="zh-CN"/>
        </w:rPr>
        <w:t>通过管道进入粪尿收集池。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8"/>
          <w:szCs w:val="28"/>
        </w:rPr>
      </w:pPr>
      <w:r>
        <w:rPr>
          <w:rFonts w:hint="eastAsia"/>
          <w:bCs/>
          <w:color w:val="auto"/>
          <w:sz w:val="24"/>
        </w:rPr>
        <w:t>废水经污水站处理后用于</w:t>
      </w:r>
      <w:r>
        <w:rPr>
          <w:bCs/>
          <w:color w:val="auto"/>
          <w:sz w:val="24"/>
        </w:rPr>
        <w:t>消纳地内灌溉。</w:t>
      </w:r>
    </w:p>
    <w:p>
      <w:pPr>
        <w:pStyle w:val="180"/>
        <w:rPr>
          <w:rFonts w:hint="default" w:ascii="Times New Roman" w:hAnsi="Times New Roman" w:cs="Times New Roman" w:eastAsiaTheme="majorEastAsia"/>
          <w:b/>
          <w:bCs w:val="0"/>
          <w:color w:val="auto"/>
          <w:sz w:val="24"/>
          <w:szCs w:val="24"/>
        </w:rPr>
      </w:pPr>
      <w:bookmarkStart w:id="241" w:name="_Toc12582"/>
      <w:r>
        <w:rPr>
          <w:rFonts w:hint="default" w:ascii="Times New Roman" w:hAnsi="Times New Roman" w:cs="Times New Roman" w:eastAsiaTheme="majorEastAsia"/>
          <w:b/>
          <w:bCs w:val="0"/>
          <w:color w:val="auto"/>
          <w:sz w:val="24"/>
          <w:szCs w:val="24"/>
        </w:rPr>
        <w:t>供配电</w:t>
      </w:r>
      <w:bookmarkEnd w:id="235"/>
      <w:bookmarkEnd w:id="236"/>
      <w:bookmarkEnd w:id="237"/>
      <w:bookmarkEnd w:id="238"/>
      <w:bookmarkEnd w:id="239"/>
      <w:bookmarkEnd w:id="240"/>
      <w:bookmarkEnd w:id="241"/>
    </w:p>
    <w:p>
      <w:pPr>
        <w:spacing w:line="360" w:lineRule="auto"/>
        <w:ind w:firstLine="480" w:firstLineChars="200"/>
        <w:rPr>
          <w:bCs/>
          <w:color w:val="auto"/>
          <w:sz w:val="24"/>
        </w:rPr>
      </w:pPr>
      <w:r>
        <w:rPr>
          <w:bCs/>
          <w:color w:val="auto"/>
          <w:sz w:val="24"/>
        </w:rPr>
        <w:t>本项目耗电量</w:t>
      </w:r>
      <w:r>
        <w:rPr>
          <w:rFonts w:hint="eastAsia"/>
          <w:bCs/>
          <w:color w:val="auto"/>
          <w:sz w:val="24"/>
          <w:lang w:val="en-US" w:eastAsia="zh-CN"/>
        </w:rPr>
        <w:t>60</w:t>
      </w:r>
      <w:r>
        <w:rPr>
          <w:bCs/>
          <w:color w:val="auto"/>
          <w:sz w:val="24"/>
        </w:rPr>
        <w:t>万kWh/a</w:t>
      </w:r>
      <w:r>
        <w:rPr>
          <w:rFonts w:hint="eastAsia"/>
          <w:bCs/>
          <w:color w:val="auto"/>
          <w:sz w:val="24"/>
          <w:lang w:eastAsia="zh-CN"/>
        </w:rPr>
        <w:t>，</w:t>
      </w:r>
      <w:r>
        <w:rPr>
          <w:rFonts w:hint="eastAsia"/>
          <w:bCs/>
          <w:color w:val="auto"/>
          <w:sz w:val="24"/>
          <w:lang w:val="en-US" w:eastAsia="zh-CN"/>
        </w:rPr>
        <w:t>采用农村电网供电</w:t>
      </w:r>
      <w:r>
        <w:rPr>
          <w:bCs/>
          <w:color w:val="auto"/>
          <w:sz w:val="24"/>
        </w:rPr>
        <w:t>。备用发电机1台。</w:t>
      </w:r>
    </w:p>
    <w:p>
      <w:pPr>
        <w:pStyle w:val="180"/>
        <w:rPr>
          <w:rFonts w:hint="default" w:ascii="Times New Roman" w:hAnsi="Times New Roman" w:cs="Times New Roman" w:eastAsiaTheme="majorEastAsia"/>
          <w:b/>
          <w:bCs w:val="0"/>
          <w:color w:val="auto"/>
          <w:sz w:val="24"/>
          <w:szCs w:val="24"/>
        </w:rPr>
      </w:pPr>
      <w:bookmarkStart w:id="242" w:name="_Toc31805"/>
      <w:bookmarkStart w:id="243" w:name="_Toc369359672"/>
      <w:bookmarkStart w:id="244" w:name="_Toc369197787"/>
      <w:bookmarkStart w:id="245" w:name="_Toc369334805"/>
      <w:bookmarkStart w:id="246" w:name="_Toc369334625"/>
      <w:bookmarkStart w:id="247" w:name="_Toc357495539"/>
      <w:bookmarkStart w:id="248" w:name="_Toc369191622"/>
      <w:r>
        <w:rPr>
          <w:rFonts w:hint="default" w:ascii="Times New Roman" w:hAnsi="Times New Roman" w:cs="Times New Roman" w:eastAsiaTheme="majorEastAsia"/>
          <w:b/>
          <w:bCs w:val="0"/>
          <w:color w:val="auto"/>
          <w:sz w:val="24"/>
          <w:szCs w:val="24"/>
        </w:rPr>
        <w:t>交通运输</w:t>
      </w:r>
      <w:bookmarkEnd w:id="242"/>
      <w:bookmarkEnd w:id="243"/>
      <w:bookmarkEnd w:id="244"/>
      <w:bookmarkEnd w:id="245"/>
      <w:bookmarkEnd w:id="246"/>
      <w:bookmarkEnd w:id="247"/>
      <w:bookmarkEnd w:id="248"/>
    </w:p>
    <w:p>
      <w:pPr>
        <w:spacing w:line="360" w:lineRule="auto"/>
        <w:ind w:firstLine="480" w:firstLineChars="200"/>
        <w:rPr>
          <w:bCs/>
          <w:color w:val="auto"/>
          <w:sz w:val="24"/>
        </w:rPr>
      </w:pPr>
      <w:r>
        <w:rPr>
          <w:bCs/>
          <w:color w:val="auto"/>
          <w:sz w:val="24"/>
        </w:rPr>
        <w:t>运输均以汽运为主。</w:t>
      </w:r>
    </w:p>
    <w:p>
      <w:pPr>
        <w:pStyle w:val="180"/>
        <w:rPr>
          <w:rFonts w:hint="default" w:ascii="Times New Roman" w:hAnsi="Times New Roman" w:cs="Times New Roman" w:eastAsiaTheme="majorEastAsia"/>
          <w:b/>
          <w:bCs w:val="0"/>
          <w:color w:val="auto"/>
          <w:sz w:val="24"/>
          <w:szCs w:val="24"/>
        </w:rPr>
      </w:pPr>
      <w:bookmarkStart w:id="249" w:name="_Toc23063"/>
      <w:r>
        <w:rPr>
          <w:rFonts w:hint="default" w:ascii="Times New Roman" w:hAnsi="Times New Roman" w:cs="Times New Roman" w:eastAsiaTheme="majorEastAsia"/>
          <w:b/>
          <w:bCs w:val="0"/>
          <w:color w:val="auto"/>
          <w:sz w:val="24"/>
          <w:szCs w:val="24"/>
        </w:rPr>
        <w:t>营运期污染物产生及治理措施</w:t>
      </w:r>
      <w:bookmarkEnd w:id="249"/>
    </w:p>
    <w:p>
      <w:pPr>
        <w:pStyle w:val="4"/>
        <w:spacing w:line="360" w:lineRule="auto"/>
        <w:ind w:firstLine="602" w:firstLineChars="250"/>
        <w:outlineLvl w:val="3"/>
        <w:rPr>
          <w:rFonts w:ascii="Times New Roman"/>
          <w:b/>
          <w:color w:val="auto"/>
        </w:rPr>
      </w:pPr>
      <w:bookmarkStart w:id="250" w:name="_Toc369191627"/>
      <w:bookmarkStart w:id="251" w:name="_Toc369197792"/>
      <w:bookmarkStart w:id="252" w:name="_Toc369359677"/>
      <w:bookmarkStart w:id="253" w:name="_Toc369334630"/>
      <w:bookmarkStart w:id="254" w:name="_Toc369334810"/>
      <w:r>
        <w:rPr>
          <w:rFonts w:ascii="Times New Roman"/>
          <w:b/>
          <w:color w:val="auto"/>
        </w:rPr>
        <w:t>1、废水的产生及治理</w:t>
      </w:r>
      <w:bookmarkEnd w:id="250"/>
      <w:bookmarkEnd w:id="251"/>
      <w:bookmarkEnd w:id="252"/>
      <w:bookmarkEnd w:id="253"/>
      <w:bookmarkEnd w:id="254"/>
    </w:p>
    <w:p>
      <w:pPr>
        <w:spacing w:line="360" w:lineRule="auto"/>
        <w:ind w:firstLine="480" w:firstLineChars="200"/>
        <w:rPr>
          <w:color w:val="auto"/>
          <w:sz w:val="24"/>
          <w:szCs w:val="28"/>
        </w:rPr>
      </w:pPr>
      <w:r>
        <w:rPr>
          <w:color w:val="auto"/>
          <w:sz w:val="24"/>
          <w:szCs w:val="28"/>
        </w:rPr>
        <w:t>本项目建成后产生的废水主要包括</w:t>
      </w:r>
      <w:r>
        <w:rPr>
          <w:rFonts w:hint="eastAsia"/>
          <w:color w:val="auto"/>
          <w:sz w:val="24"/>
          <w:szCs w:val="28"/>
          <w:lang w:eastAsia="zh-CN"/>
        </w:rPr>
        <w:t>牛</w:t>
      </w:r>
      <w:r>
        <w:rPr>
          <w:color w:val="auto"/>
          <w:sz w:val="24"/>
          <w:szCs w:val="28"/>
        </w:rPr>
        <w:t>舍冲洗废水、</w:t>
      </w:r>
      <w:r>
        <w:rPr>
          <w:rFonts w:hint="eastAsia"/>
          <w:color w:val="auto"/>
          <w:sz w:val="24"/>
          <w:szCs w:val="28"/>
          <w:lang w:val="en-US" w:eastAsia="zh-CN"/>
        </w:rPr>
        <w:t>牛</w:t>
      </w:r>
      <w:r>
        <w:rPr>
          <w:color w:val="auto"/>
          <w:sz w:val="24"/>
          <w:szCs w:val="28"/>
        </w:rPr>
        <w:t>尿液、</w:t>
      </w:r>
      <w:r>
        <w:rPr>
          <w:rFonts w:hint="eastAsia"/>
          <w:color w:val="auto"/>
          <w:sz w:val="24"/>
          <w:szCs w:val="28"/>
          <w:lang w:val="en-US" w:eastAsia="zh-CN"/>
        </w:rPr>
        <w:t>牛</w:t>
      </w:r>
      <w:r>
        <w:rPr>
          <w:color w:val="auto"/>
          <w:sz w:val="24"/>
          <w:szCs w:val="28"/>
        </w:rPr>
        <w:t>粪（含水）、以及职工生活污水。</w:t>
      </w:r>
    </w:p>
    <w:p>
      <w:pPr>
        <w:pStyle w:val="1255"/>
        <w:spacing w:line="360" w:lineRule="auto"/>
        <w:ind w:firstLine="480"/>
        <w:rPr>
          <w:color w:val="auto"/>
          <w:szCs w:val="28"/>
        </w:rPr>
      </w:pPr>
      <w:r>
        <w:rPr>
          <w:rFonts w:hint="eastAsia"/>
          <w:color w:val="auto"/>
          <w:szCs w:val="28"/>
        </w:rPr>
        <w:t>①生活污水</w:t>
      </w:r>
    </w:p>
    <w:p>
      <w:pPr>
        <w:spacing w:line="360" w:lineRule="auto"/>
        <w:ind w:firstLine="480" w:firstLineChars="200"/>
        <w:rPr>
          <w:color w:val="auto"/>
          <w:sz w:val="24"/>
        </w:rPr>
      </w:pPr>
      <w:r>
        <w:rPr>
          <w:rFonts w:hint="eastAsia"/>
          <w:b w:val="0"/>
          <w:bCs/>
          <w:color w:val="auto"/>
          <w:sz w:val="24"/>
        </w:rPr>
        <w:t>本项目劳动定员</w:t>
      </w:r>
      <w:r>
        <w:rPr>
          <w:rFonts w:hint="eastAsia"/>
          <w:b w:val="0"/>
          <w:bCs/>
          <w:color w:val="auto"/>
          <w:sz w:val="24"/>
          <w:lang w:val="en-US" w:eastAsia="zh-CN"/>
        </w:rPr>
        <w:t>20</w:t>
      </w:r>
      <w:r>
        <w:rPr>
          <w:rFonts w:hint="eastAsia"/>
          <w:b w:val="0"/>
          <w:bCs/>
          <w:color w:val="auto"/>
          <w:sz w:val="24"/>
        </w:rPr>
        <w:t>人，均在厂内食宿。根据根据《四川省用水定额》川府函〔2021〕8号，并结合项目实际情况，生活用水量按1</w:t>
      </w:r>
      <w:r>
        <w:rPr>
          <w:rFonts w:hint="eastAsia"/>
          <w:b w:val="0"/>
          <w:bCs/>
          <w:color w:val="auto"/>
          <w:sz w:val="24"/>
          <w:lang w:val="en-US" w:eastAsia="zh-CN"/>
        </w:rPr>
        <w:t>5</w:t>
      </w:r>
      <w:r>
        <w:rPr>
          <w:rFonts w:hint="eastAsia"/>
          <w:b w:val="0"/>
          <w:bCs/>
          <w:color w:val="auto"/>
          <w:sz w:val="24"/>
        </w:rPr>
        <w:t>0L/人·d计，则生活用水量为</w:t>
      </w:r>
      <w:r>
        <w:rPr>
          <w:rFonts w:hint="eastAsia"/>
          <w:b w:val="0"/>
          <w:bCs/>
          <w:color w:val="auto"/>
          <w:sz w:val="24"/>
          <w:lang w:val="en-US" w:eastAsia="zh-CN"/>
        </w:rPr>
        <w:t>3</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w:t>
      </w:r>
      <w:r>
        <w:rPr>
          <w:rFonts w:hint="eastAsia"/>
          <w:b w:val="0"/>
          <w:bCs/>
          <w:color w:val="auto"/>
          <w:sz w:val="24"/>
          <w:lang w:val="en-US" w:eastAsia="zh-CN"/>
        </w:rPr>
        <w:t>d</w:t>
      </w:r>
      <w:r>
        <w:rPr>
          <w:rFonts w:hint="eastAsia"/>
          <w:b w:val="0"/>
          <w:bCs/>
          <w:color w:val="auto"/>
          <w:sz w:val="24"/>
        </w:rPr>
        <w:t>（</w:t>
      </w:r>
      <w:r>
        <w:rPr>
          <w:rFonts w:hint="eastAsia"/>
          <w:b w:val="0"/>
          <w:bCs/>
          <w:color w:val="auto"/>
          <w:sz w:val="24"/>
          <w:lang w:val="en-US" w:eastAsia="zh-CN"/>
        </w:rPr>
        <w:t>657</w:t>
      </w:r>
      <w:r>
        <w:rPr>
          <w:rFonts w:hint="eastAsia"/>
          <w:b w:val="0"/>
          <w:bCs/>
          <w:color w:val="auto"/>
          <w:sz w:val="24"/>
        </w:rPr>
        <w:t>m</w:t>
      </w:r>
      <w:r>
        <w:rPr>
          <w:rFonts w:hint="eastAsia"/>
          <w:b w:val="0"/>
          <w:bCs/>
          <w:color w:val="auto"/>
          <w:sz w:val="24"/>
          <w:vertAlign w:val="superscript"/>
        </w:rPr>
        <w:t>3</w:t>
      </w:r>
      <w:r>
        <w:rPr>
          <w:rFonts w:hint="eastAsia"/>
          <w:b w:val="0"/>
          <w:bCs/>
          <w:color w:val="auto"/>
          <w:sz w:val="24"/>
        </w:rPr>
        <w:t>/a）。</w:t>
      </w:r>
      <w:r>
        <w:rPr>
          <w:color w:val="auto"/>
          <w:sz w:val="24"/>
        </w:rPr>
        <w:t>生活废水排水系数以0.</w:t>
      </w:r>
      <w:r>
        <w:rPr>
          <w:rFonts w:hint="eastAsia"/>
          <w:color w:val="auto"/>
          <w:sz w:val="24"/>
          <w:lang w:val="en-US" w:eastAsia="zh-CN"/>
        </w:rPr>
        <w:t>9</w:t>
      </w:r>
      <w:r>
        <w:rPr>
          <w:color w:val="auto"/>
          <w:sz w:val="24"/>
        </w:rPr>
        <w:t>计，则生活污水排放量</w:t>
      </w:r>
      <w:r>
        <w:rPr>
          <w:rFonts w:hint="eastAsia"/>
          <w:color w:val="auto"/>
          <w:sz w:val="24"/>
          <w:lang w:val="en-US" w:eastAsia="zh-CN"/>
        </w:rPr>
        <w:t>2.7</w:t>
      </w:r>
      <w:r>
        <w:rPr>
          <w:color w:val="auto"/>
          <w:sz w:val="24"/>
        </w:rPr>
        <w:t>m</w:t>
      </w:r>
      <w:r>
        <w:rPr>
          <w:color w:val="auto"/>
          <w:sz w:val="24"/>
          <w:vertAlign w:val="superscript"/>
        </w:rPr>
        <w:t>3</w:t>
      </w:r>
      <w:r>
        <w:rPr>
          <w:color w:val="auto"/>
          <w:sz w:val="24"/>
        </w:rPr>
        <w:t>/d（</w:t>
      </w:r>
      <w:r>
        <w:rPr>
          <w:rFonts w:hint="eastAsia"/>
          <w:color w:val="auto"/>
          <w:sz w:val="24"/>
          <w:lang w:val="en-US" w:eastAsia="zh-CN"/>
        </w:rPr>
        <w:t>985.5</w:t>
      </w:r>
      <w:r>
        <w:rPr>
          <w:color w:val="auto"/>
          <w:sz w:val="24"/>
        </w:rPr>
        <w:t>m</w:t>
      </w:r>
      <w:r>
        <w:rPr>
          <w:color w:val="auto"/>
          <w:sz w:val="24"/>
          <w:vertAlign w:val="superscript"/>
        </w:rPr>
        <w:t>3</w:t>
      </w:r>
      <w:r>
        <w:rPr>
          <w:color w:val="auto"/>
          <w:sz w:val="24"/>
        </w:rPr>
        <w:t>/a）。</w:t>
      </w:r>
    </w:p>
    <w:p>
      <w:pPr>
        <w:pStyle w:val="1255"/>
        <w:spacing w:line="360" w:lineRule="auto"/>
        <w:ind w:firstLine="480"/>
        <w:rPr>
          <w:color w:val="auto"/>
          <w:sz w:val="24"/>
          <w:szCs w:val="28"/>
        </w:rPr>
      </w:pPr>
      <w:r>
        <w:rPr>
          <w:rFonts w:hint="eastAsia"/>
          <w:color w:val="auto"/>
          <w:sz w:val="24"/>
          <w:szCs w:val="28"/>
        </w:rPr>
        <w:t>②</w:t>
      </w:r>
      <w:r>
        <w:rPr>
          <w:color w:val="auto"/>
          <w:sz w:val="24"/>
          <w:szCs w:val="28"/>
        </w:rPr>
        <w:t>根据工程分析和水平衡分析，项目</w:t>
      </w:r>
      <w:bookmarkStart w:id="255" w:name="OLE_LINK7"/>
      <w:r>
        <w:rPr>
          <w:color w:val="auto"/>
          <w:sz w:val="24"/>
          <w:szCs w:val="28"/>
        </w:rPr>
        <w:t>生产废水产生量</w:t>
      </w:r>
      <w:bookmarkEnd w:id="255"/>
      <w:r>
        <w:rPr>
          <w:rFonts w:eastAsiaTheme="minorEastAsia"/>
          <w:color w:val="auto"/>
          <w:sz w:val="24"/>
        </w:rPr>
        <w:t>为</w:t>
      </w:r>
      <w:r>
        <w:rPr>
          <w:rFonts w:hint="eastAsia" w:eastAsiaTheme="minorEastAsia"/>
          <w:color w:val="auto"/>
          <w:sz w:val="24"/>
          <w:lang w:val="en-US" w:eastAsia="zh-CN"/>
        </w:rPr>
        <w:t>108.216</w:t>
      </w:r>
      <w:r>
        <w:rPr>
          <w:rFonts w:eastAsiaTheme="minorEastAsia"/>
          <w:color w:val="auto"/>
          <w:sz w:val="24"/>
        </w:rPr>
        <w:t>m</w:t>
      </w:r>
      <w:r>
        <w:rPr>
          <w:rFonts w:eastAsiaTheme="minorEastAsia"/>
          <w:color w:val="auto"/>
          <w:sz w:val="24"/>
          <w:vertAlign w:val="superscript"/>
        </w:rPr>
        <w:t>3</w:t>
      </w:r>
      <w:r>
        <w:rPr>
          <w:rFonts w:eastAsiaTheme="minorEastAsia"/>
          <w:color w:val="auto"/>
          <w:sz w:val="24"/>
        </w:rPr>
        <w:t>/d，</w:t>
      </w:r>
      <w:r>
        <w:rPr>
          <w:color w:val="auto"/>
          <w:sz w:val="24"/>
          <w:szCs w:val="28"/>
        </w:rPr>
        <w:t>其主要污染物为pH、COD</w:t>
      </w:r>
      <w:r>
        <w:rPr>
          <w:color w:val="auto"/>
          <w:sz w:val="24"/>
          <w:szCs w:val="28"/>
          <w:vertAlign w:val="subscript"/>
        </w:rPr>
        <w:t>Cr</w:t>
      </w:r>
      <w:r>
        <w:rPr>
          <w:color w:val="auto"/>
          <w:sz w:val="24"/>
          <w:szCs w:val="28"/>
        </w:rPr>
        <w:t>、BOD</w:t>
      </w:r>
      <w:r>
        <w:rPr>
          <w:color w:val="auto"/>
          <w:sz w:val="24"/>
          <w:szCs w:val="28"/>
          <w:vertAlign w:val="subscript"/>
        </w:rPr>
        <w:t>5</w:t>
      </w:r>
      <w:r>
        <w:rPr>
          <w:color w:val="auto"/>
          <w:sz w:val="24"/>
          <w:szCs w:val="28"/>
        </w:rPr>
        <w:t>、NH</w:t>
      </w:r>
      <w:r>
        <w:rPr>
          <w:color w:val="auto"/>
          <w:sz w:val="24"/>
          <w:szCs w:val="28"/>
          <w:vertAlign w:val="subscript"/>
        </w:rPr>
        <w:t>3</w:t>
      </w:r>
      <w:r>
        <w:rPr>
          <w:color w:val="auto"/>
          <w:sz w:val="24"/>
          <w:szCs w:val="28"/>
        </w:rPr>
        <w:t>-N、总氮、总磷、SS和粪大肠菌群。调研同类规模</w:t>
      </w:r>
      <w:r>
        <w:rPr>
          <w:rFonts w:hint="eastAsia"/>
          <w:color w:val="auto"/>
          <w:sz w:val="24"/>
          <w:szCs w:val="28"/>
          <w:lang w:eastAsia="zh-CN"/>
        </w:rPr>
        <w:t>牛</w:t>
      </w:r>
      <w:r>
        <w:rPr>
          <w:color w:val="auto"/>
          <w:sz w:val="24"/>
          <w:szCs w:val="28"/>
        </w:rPr>
        <w:t>场及参考《畜禽养殖业污染治理工程技术规范》（HJ497-2009）表 A.1 中提供的参考数据，项目废水水质及污染物产生量见表</w:t>
      </w:r>
      <w:r>
        <w:rPr>
          <w:rFonts w:hint="eastAsia"/>
          <w:color w:val="auto"/>
          <w:sz w:val="24"/>
          <w:szCs w:val="28"/>
          <w:lang w:val="en-US" w:eastAsia="zh-CN"/>
        </w:rPr>
        <w:t>3</w:t>
      </w:r>
      <w:r>
        <w:rPr>
          <w:rFonts w:hint="eastAsia"/>
          <w:color w:val="auto"/>
          <w:sz w:val="24"/>
          <w:szCs w:val="28"/>
        </w:rPr>
        <w:t>.5</w:t>
      </w:r>
      <w:r>
        <w:rPr>
          <w:color w:val="auto"/>
          <w:sz w:val="24"/>
          <w:szCs w:val="28"/>
        </w:rPr>
        <w:t>-1</w:t>
      </w:r>
      <w:r>
        <w:rPr>
          <w:rFonts w:hint="eastAsia"/>
          <w:color w:val="auto"/>
          <w:sz w:val="24"/>
          <w:szCs w:val="28"/>
        </w:rPr>
        <w:t>。</w:t>
      </w:r>
    </w:p>
    <w:p>
      <w:pPr>
        <w:ind w:firstLine="420" w:firstLineChars="200"/>
        <w:jc w:val="center"/>
        <w:rPr>
          <w:rFonts w:eastAsia="黑体"/>
          <w:color w:val="auto"/>
        </w:rPr>
      </w:pPr>
      <w:r>
        <w:rPr>
          <w:rFonts w:eastAsia="黑体"/>
          <w:color w:val="auto"/>
        </w:rPr>
        <w:t>表</w:t>
      </w:r>
      <w:r>
        <w:rPr>
          <w:rFonts w:hint="eastAsia" w:eastAsia="黑体"/>
          <w:color w:val="auto"/>
          <w:lang w:val="en-US" w:eastAsia="zh-CN"/>
        </w:rPr>
        <w:t>3</w:t>
      </w:r>
      <w:r>
        <w:rPr>
          <w:rFonts w:hint="eastAsia" w:eastAsia="黑体"/>
          <w:color w:val="auto"/>
        </w:rPr>
        <w:t>.5-1</w:t>
      </w:r>
      <w:r>
        <w:rPr>
          <w:rFonts w:eastAsia="黑体"/>
          <w:color w:val="auto"/>
        </w:rPr>
        <w:t xml:space="preserve">  项目</w:t>
      </w:r>
      <w:r>
        <w:rPr>
          <w:rFonts w:hint="eastAsia" w:eastAsia="黑体"/>
          <w:color w:val="auto"/>
        </w:rPr>
        <w:t>给</w:t>
      </w:r>
      <w:r>
        <w:rPr>
          <w:rFonts w:eastAsia="黑体"/>
          <w:color w:val="auto"/>
        </w:rPr>
        <w:t>排水情况表</w:t>
      </w:r>
    </w:p>
    <w:tbl>
      <w:tblPr>
        <w:tblStyle w:val="89"/>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36"/>
        <w:gridCol w:w="1975"/>
        <w:gridCol w:w="1409"/>
        <w:gridCol w:w="1265"/>
        <w:gridCol w:w="2300"/>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rPr>
        <w:tc>
          <w:tcPr>
            <w:tcW w:w="836"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bookmarkStart w:id="256" w:name="_Toc369191628"/>
            <w:bookmarkStart w:id="257" w:name="_Toc369197793"/>
            <w:bookmarkStart w:id="258" w:name="_Toc369334811"/>
            <w:bookmarkStart w:id="259" w:name="_Toc369334631"/>
            <w:bookmarkStart w:id="260" w:name="_Toc369359678"/>
            <w:r>
              <w:rPr>
                <w:rFonts w:hint="eastAsia" w:ascii="宋体" w:hAnsi="宋体"/>
                <w:b/>
                <w:bCs/>
                <w:color w:val="auto"/>
                <w:kern w:val="0"/>
              </w:rPr>
              <w:t>序号</w:t>
            </w:r>
          </w:p>
        </w:tc>
        <w:tc>
          <w:tcPr>
            <w:tcW w:w="1975"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eastAsia" w:ascii="宋体" w:hAnsi="宋体"/>
                <w:b/>
                <w:bCs/>
                <w:color w:val="auto"/>
                <w:kern w:val="0"/>
              </w:rPr>
              <w:t>项目</w:t>
            </w:r>
          </w:p>
        </w:tc>
        <w:tc>
          <w:tcPr>
            <w:tcW w:w="2674" w:type="dxa"/>
            <w:gridSpan w:val="2"/>
            <w:shd w:val="clear" w:color="auto" w:fill="auto"/>
            <w:noWrap/>
            <w:vAlign w:val="center"/>
          </w:tcPr>
          <w:p>
            <w:pPr>
              <w:keepNext w:val="0"/>
              <w:keepLines w:val="0"/>
              <w:widowControl/>
              <w:suppressLineNumbers w:val="0"/>
              <w:spacing w:before="0" w:beforeAutospacing="0" w:after="0" w:afterAutospacing="0"/>
              <w:ind w:left="0" w:right="0"/>
              <w:jc w:val="center"/>
              <w:rPr>
                <w:rFonts w:hint="default"/>
                <w:b/>
                <w:bCs/>
                <w:color w:val="auto"/>
                <w:kern w:val="0"/>
                <w:sz w:val="22"/>
                <w:szCs w:val="22"/>
              </w:rPr>
            </w:pPr>
            <w:r>
              <w:rPr>
                <w:rFonts w:hint="eastAsia" w:ascii="宋体" w:hAnsi="宋体"/>
                <w:b/>
                <w:bCs/>
                <w:color w:val="auto"/>
                <w:kern w:val="0"/>
                <w:sz w:val="22"/>
                <w:szCs w:val="22"/>
              </w:rPr>
              <w:t>用水量</w:t>
            </w:r>
          </w:p>
        </w:tc>
        <w:tc>
          <w:tcPr>
            <w:tcW w:w="3274"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b/>
                <w:bCs/>
                <w:color w:val="auto"/>
                <w:kern w:val="0"/>
                <w:sz w:val="22"/>
                <w:szCs w:val="22"/>
              </w:rPr>
            </w:pPr>
            <w:r>
              <w:rPr>
                <w:rFonts w:hint="eastAsia" w:ascii="宋体" w:hAnsi="宋体"/>
                <w:b/>
                <w:bCs/>
                <w:color w:val="auto"/>
                <w:kern w:val="0"/>
                <w:sz w:val="22"/>
                <w:szCs w:val="22"/>
                <w:lang w:val="en-US" w:eastAsia="zh-CN"/>
              </w:rPr>
              <w:t>发酵床</w:t>
            </w:r>
            <w:r>
              <w:rPr>
                <w:rFonts w:hint="eastAsia" w:ascii="宋体" w:hAnsi="宋体"/>
                <w:b/>
                <w:bCs/>
                <w:color w:val="auto"/>
                <w:kern w:val="0"/>
                <w:sz w:val="22"/>
                <w:szCs w:val="22"/>
              </w:rPr>
              <w:t>处理水量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rPr>
        <w:tc>
          <w:tcPr>
            <w:tcW w:w="836" w:type="dxa"/>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1975" w:type="dxa"/>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m</w:t>
            </w:r>
            <w:r>
              <w:rPr>
                <w:rFonts w:hint="default"/>
                <w:b/>
                <w:bCs/>
                <w:color w:val="auto"/>
                <w:kern w:val="0"/>
                <w:vertAlign w:val="superscript"/>
              </w:rPr>
              <w:t>3</w:t>
            </w:r>
            <w:r>
              <w:rPr>
                <w:rFonts w:hint="default"/>
                <w:b/>
                <w:bCs/>
                <w:color w:val="auto"/>
                <w:kern w:val="0"/>
              </w:rPr>
              <w:t>/d</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b/>
                <w:bCs/>
                <w:color w:val="auto"/>
                <w:kern w:val="0"/>
                <w:sz w:val="22"/>
                <w:szCs w:val="22"/>
              </w:rPr>
            </w:pPr>
            <w:r>
              <w:rPr>
                <w:rFonts w:hint="default"/>
                <w:b/>
                <w:bCs/>
                <w:color w:val="auto"/>
                <w:kern w:val="0"/>
                <w:sz w:val="22"/>
                <w:szCs w:val="22"/>
              </w:rPr>
              <w:t>m</w:t>
            </w:r>
            <w:r>
              <w:rPr>
                <w:rFonts w:hint="default"/>
                <w:b/>
                <w:bCs/>
                <w:color w:val="auto"/>
                <w:kern w:val="0"/>
                <w:sz w:val="22"/>
                <w:szCs w:val="22"/>
                <w:vertAlign w:val="superscript"/>
              </w:rPr>
              <w:t>3</w:t>
            </w:r>
            <w:r>
              <w:rPr>
                <w:rFonts w:hint="default"/>
                <w:b/>
                <w:bCs/>
                <w:color w:val="auto"/>
                <w:kern w:val="0"/>
                <w:sz w:val="22"/>
                <w:szCs w:val="22"/>
              </w:rPr>
              <w:t>/a</w:t>
            </w:r>
          </w:p>
        </w:tc>
        <w:tc>
          <w:tcPr>
            <w:tcW w:w="2300" w:type="dxa"/>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m</w:t>
            </w:r>
            <w:r>
              <w:rPr>
                <w:rFonts w:hint="default"/>
                <w:b/>
                <w:bCs/>
                <w:color w:val="auto"/>
                <w:kern w:val="0"/>
                <w:vertAlign w:val="superscript"/>
              </w:rPr>
              <w:t>3</w:t>
            </w:r>
            <w:r>
              <w:rPr>
                <w:rFonts w:hint="default"/>
                <w:b/>
                <w:bCs/>
                <w:color w:val="auto"/>
                <w:kern w:val="0"/>
              </w:rPr>
              <w:t>/d</w:t>
            </w:r>
          </w:p>
        </w:tc>
        <w:tc>
          <w:tcPr>
            <w:tcW w:w="974" w:type="dxa"/>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m</w:t>
            </w:r>
            <w:r>
              <w:rPr>
                <w:rFonts w:hint="default"/>
                <w:b/>
                <w:bCs/>
                <w:color w:val="auto"/>
                <w:kern w:val="0"/>
                <w:vertAlign w:val="superscript"/>
              </w:rPr>
              <w:t>3</w:t>
            </w:r>
            <w:r>
              <w:rPr>
                <w:rFonts w:hint="default"/>
                <w:b/>
                <w:bCs/>
                <w:color w:val="auto"/>
                <w:kern w:val="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9"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default"/>
                <w:color w:val="auto"/>
                <w:kern w:val="0"/>
              </w:rPr>
              <w:t>1</w:t>
            </w:r>
          </w:p>
        </w:tc>
        <w:tc>
          <w:tcPr>
            <w:tcW w:w="1975"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olor w:val="auto"/>
                <w:kern w:val="0"/>
                <w:lang w:val="en-US" w:eastAsia="zh-CN"/>
              </w:rPr>
            </w:pPr>
            <w:r>
              <w:rPr>
                <w:rFonts w:hint="eastAsia" w:ascii="宋体" w:hAnsi="宋体"/>
                <w:color w:val="auto"/>
                <w:kern w:val="0"/>
                <w:lang w:val="en-US" w:eastAsia="zh-CN"/>
              </w:rPr>
              <w:t>牛</w:t>
            </w:r>
            <w:r>
              <w:rPr>
                <w:rFonts w:hint="eastAsia" w:ascii="宋体" w:hAnsi="宋体"/>
                <w:color w:val="auto"/>
                <w:kern w:val="0"/>
              </w:rPr>
              <w:t>饮水</w:t>
            </w:r>
            <w:r>
              <w:rPr>
                <w:rFonts w:hint="eastAsia" w:ascii="宋体" w:hAnsi="宋体"/>
                <w:color w:val="auto"/>
                <w:kern w:val="0"/>
                <w:lang w:val="en-US" w:eastAsia="zh-CN"/>
              </w:rPr>
              <w:t>量</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389.36</w:t>
            </w:r>
          </w:p>
        </w:tc>
        <w:tc>
          <w:tcPr>
            <w:tcW w:w="126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142116.4</w:t>
            </w:r>
          </w:p>
        </w:tc>
        <w:tc>
          <w:tcPr>
            <w:tcW w:w="230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97.34</w:t>
            </w:r>
          </w:p>
        </w:tc>
        <w:tc>
          <w:tcPr>
            <w:tcW w:w="97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35529.1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2</w:t>
            </w:r>
          </w:p>
        </w:tc>
        <w:tc>
          <w:tcPr>
            <w:tcW w:w="197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夏季</w:t>
            </w:r>
            <w:r>
              <w:rPr>
                <w:rFonts w:hint="eastAsia" w:ascii="宋体" w:hAnsi="宋体"/>
                <w:color w:val="auto"/>
                <w:kern w:val="0"/>
                <w:lang w:val="en-US" w:eastAsia="zh-CN"/>
              </w:rPr>
              <w:t>牛</w:t>
            </w:r>
            <w:r>
              <w:rPr>
                <w:rFonts w:hint="eastAsia" w:ascii="宋体" w:hAnsi="宋体"/>
                <w:color w:val="auto"/>
                <w:kern w:val="0"/>
              </w:rPr>
              <w:t>舍降温用水</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2.96</w:t>
            </w:r>
          </w:p>
        </w:tc>
        <w:tc>
          <w:tcPr>
            <w:tcW w:w="126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1080</w:t>
            </w:r>
          </w:p>
        </w:tc>
        <w:tc>
          <w:tcPr>
            <w:tcW w:w="230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97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3</w:t>
            </w:r>
          </w:p>
        </w:tc>
        <w:tc>
          <w:tcPr>
            <w:tcW w:w="197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olor w:val="auto"/>
                <w:kern w:val="0"/>
              </w:rPr>
            </w:pPr>
            <w:r>
              <w:rPr>
                <w:rFonts w:hint="eastAsia" w:ascii="宋体" w:hAnsi="宋体"/>
                <w:color w:val="auto"/>
                <w:kern w:val="0"/>
                <w:lang w:val="en-US" w:eastAsia="zh-CN"/>
              </w:rPr>
              <w:t>牛</w:t>
            </w:r>
            <w:r>
              <w:rPr>
                <w:rFonts w:hint="eastAsia" w:ascii="宋体" w:hAnsi="宋体"/>
                <w:color w:val="auto"/>
                <w:kern w:val="0"/>
              </w:rPr>
              <w:t>舍冲洗用水</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6.24</w:t>
            </w:r>
          </w:p>
        </w:tc>
        <w:tc>
          <w:tcPr>
            <w:tcW w:w="126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2277.756</w:t>
            </w:r>
          </w:p>
        </w:tc>
        <w:tc>
          <w:tcPr>
            <w:tcW w:w="2300"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5.616</w:t>
            </w:r>
          </w:p>
        </w:tc>
        <w:tc>
          <w:tcPr>
            <w:tcW w:w="974"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2049.84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4</w:t>
            </w:r>
          </w:p>
        </w:tc>
        <w:tc>
          <w:tcPr>
            <w:tcW w:w="1975"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rPr>
            </w:pPr>
            <w:r>
              <w:rPr>
                <w:rFonts w:hint="eastAsia" w:ascii="宋体" w:hAnsi="宋体" w:cs="宋体"/>
                <w:color w:val="auto"/>
                <w:kern w:val="0"/>
              </w:rPr>
              <w:t>职工生活用水</w:t>
            </w:r>
          </w:p>
        </w:tc>
        <w:tc>
          <w:tcPr>
            <w:tcW w:w="1409"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3</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1095</w:t>
            </w:r>
          </w:p>
        </w:tc>
        <w:tc>
          <w:tcPr>
            <w:tcW w:w="2300"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2.7</w:t>
            </w:r>
          </w:p>
        </w:tc>
        <w:tc>
          <w:tcPr>
            <w:tcW w:w="974" w:type="dxa"/>
            <w:vAlign w:val="center"/>
          </w:tcPr>
          <w:p>
            <w:pPr>
              <w:keepNext w:val="0"/>
              <w:keepLines w:val="0"/>
              <w:widowControl/>
              <w:suppressLineNumbers w:val="0"/>
              <w:spacing w:before="0" w:beforeAutospacing="0" w:after="0" w:afterAutospacing="0"/>
              <w:ind w:left="0" w:right="0"/>
              <w:jc w:val="center"/>
              <w:rPr>
                <w:rFonts w:hint="default"/>
                <w:color w:val="auto"/>
                <w:kern w:val="0"/>
                <w:lang w:val="en-US"/>
              </w:rPr>
            </w:pPr>
            <w:r>
              <w:rPr>
                <w:rFonts w:hint="eastAsia"/>
                <w:color w:val="auto"/>
                <w:kern w:val="0"/>
                <w:lang w:val="en-US" w:eastAsia="zh-CN"/>
              </w:rPr>
              <w:t>985.5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5</w:t>
            </w:r>
          </w:p>
        </w:tc>
        <w:tc>
          <w:tcPr>
            <w:tcW w:w="1975"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rPr>
            </w:pPr>
            <w:r>
              <w:rPr>
                <w:rFonts w:hint="eastAsia"/>
                <w:color w:val="auto"/>
              </w:rPr>
              <w:t>消毒用水</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5.48</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2000</w:t>
            </w:r>
          </w:p>
        </w:tc>
        <w:tc>
          <w:tcPr>
            <w:tcW w:w="2300" w:type="dxa"/>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0</w:t>
            </w:r>
          </w:p>
        </w:tc>
        <w:tc>
          <w:tcPr>
            <w:tcW w:w="974" w:type="dxa"/>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6" w:hRule="atLeast"/>
        </w:trPr>
        <w:tc>
          <w:tcPr>
            <w:tcW w:w="836"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eastAsia="宋体"/>
                <w:color w:val="auto"/>
                <w:kern w:val="0"/>
                <w:lang w:val="en-US" w:eastAsia="zh-CN"/>
              </w:rPr>
            </w:pPr>
            <w:r>
              <w:rPr>
                <w:rFonts w:hint="eastAsia"/>
                <w:color w:val="auto"/>
                <w:kern w:val="0"/>
                <w:lang w:val="en-US" w:eastAsia="zh-CN"/>
              </w:rPr>
              <w:t>6</w:t>
            </w:r>
          </w:p>
        </w:tc>
        <w:tc>
          <w:tcPr>
            <w:tcW w:w="1975"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青储池渗滤液</w:t>
            </w:r>
          </w:p>
        </w:tc>
        <w:tc>
          <w:tcPr>
            <w:tcW w:w="1409"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0</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0</w:t>
            </w:r>
          </w:p>
        </w:tc>
        <w:tc>
          <w:tcPr>
            <w:tcW w:w="2300"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5.26</w:t>
            </w:r>
          </w:p>
        </w:tc>
        <w:tc>
          <w:tcPr>
            <w:tcW w:w="974"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2" w:hRule="atLeast"/>
        </w:trPr>
        <w:tc>
          <w:tcPr>
            <w:tcW w:w="2811" w:type="dxa"/>
            <w:gridSpan w:val="2"/>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2"/>
                <w:szCs w:val="22"/>
              </w:rPr>
            </w:pPr>
            <w:r>
              <w:rPr>
                <w:rFonts w:hint="eastAsia" w:ascii="宋体" w:hAnsi="宋体" w:cs="宋体"/>
                <w:color w:val="auto"/>
                <w:kern w:val="0"/>
                <w:sz w:val="22"/>
                <w:szCs w:val="22"/>
              </w:rPr>
              <w:t>合计</w:t>
            </w:r>
          </w:p>
        </w:tc>
        <w:tc>
          <w:tcPr>
            <w:tcW w:w="1409"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407.04</w:t>
            </w:r>
          </w:p>
        </w:tc>
        <w:tc>
          <w:tcPr>
            <w:tcW w:w="126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148569.156</w:t>
            </w:r>
          </w:p>
        </w:tc>
        <w:tc>
          <w:tcPr>
            <w:tcW w:w="230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110.916</w:t>
            </w:r>
          </w:p>
        </w:tc>
        <w:tc>
          <w:tcPr>
            <w:tcW w:w="97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40484.44</w:t>
            </w:r>
          </w:p>
        </w:tc>
      </w:tr>
    </w:tbl>
    <w:p>
      <w:pPr>
        <w:pStyle w:val="1255"/>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textAlignment w:val="auto"/>
        <w:rPr>
          <w:rFonts w:hint="eastAsia" w:eastAsia="宋体"/>
          <w:bCs/>
          <w:color w:val="auto"/>
          <w:sz w:val="24"/>
          <w:lang w:eastAsia="zh-CN"/>
        </w:rPr>
      </w:pPr>
      <w:r>
        <w:rPr>
          <w:rFonts w:hint="eastAsia"/>
          <w:color w:val="auto"/>
        </w:rPr>
        <w:t>本项目</w:t>
      </w:r>
      <w:r>
        <w:rPr>
          <w:rFonts w:hint="eastAsia"/>
          <w:color w:val="auto"/>
          <w:lang w:eastAsia="zh-CN"/>
        </w:rPr>
        <w:t>，</w:t>
      </w:r>
      <w:r>
        <w:rPr>
          <w:rFonts w:hint="default" w:ascii="Times New Roman" w:hAnsi="Times New Roman" w:cs="Times New Roman"/>
          <w:bCs/>
          <w:color w:val="auto"/>
          <w:sz w:val="24"/>
        </w:rPr>
        <w:t>废水主要包括生产废水（牛尿、</w:t>
      </w:r>
      <w:r>
        <w:rPr>
          <w:rFonts w:hint="eastAsia" w:ascii="Times New Roman" w:hAnsi="Times New Roman" w:cs="Times New Roman"/>
          <w:bCs/>
          <w:color w:val="auto"/>
          <w:sz w:val="24"/>
          <w:lang w:val="en-US" w:eastAsia="zh-CN"/>
        </w:rPr>
        <w:t>牛</w:t>
      </w:r>
      <w:r>
        <w:rPr>
          <w:rFonts w:hint="default" w:ascii="Times New Roman" w:hAnsi="Times New Roman" w:cs="Times New Roman"/>
          <w:bCs/>
          <w:color w:val="auto"/>
          <w:sz w:val="24"/>
        </w:rPr>
        <w:t>舍冲洗废水</w:t>
      </w:r>
      <w:r>
        <w:rPr>
          <w:rFonts w:hint="eastAsia" w:ascii="Times New Roman" w:hAnsi="Times New Roman" w:cs="Times New Roman"/>
          <w:bCs/>
          <w:color w:val="auto"/>
          <w:sz w:val="24"/>
          <w:lang w:eastAsia="zh-CN"/>
        </w:rPr>
        <w:t>）</w:t>
      </w:r>
      <w:r>
        <w:rPr>
          <w:rFonts w:hint="default" w:cs="Times New Roman"/>
          <w:bCs/>
          <w:color w:val="auto"/>
          <w:sz w:val="24"/>
          <w:lang w:val="en-US" w:eastAsia="zh-CN"/>
        </w:rPr>
        <w:t>及</w:t>
      </w:r>
      <w:r>
        <w:rPr>
          <w:rFonts w:hint="default" w:ascii="Times New Roman" w:hAnsi="Times New Roman" w:cs="Times New Roman"/>
          <w:bCs/>
          <w:color w:val="auto"/>
          <w:sz w:val="24"/>
        </w:rPr>
        <w:t>职</w:t>
      </w:r>
      <w:r>
        <w:rPr>
          <w:rFonts w:hint="default"/>
          <w:bCs/>
          <w:color w:val="auto"/>
          <w:sz w:val="24"/>
          <w:lang w:eastAsia="zh-CN"/>
        </w:rPr>
        <w:t>工食堂废水经隔油池处理后与生活废水一同进入化粪池后</w:t>
      </w:r>
      <w:r>
        <w:rPr>
          <w:rFonts w:hint="default" w:cs="Times New Roman"/>
          <w:bCs/>
          <w:color w:val="auto"/>
          <w:sz w:val="24"/>
          <w:lang w:eastAsia="zh-CN"/>
        </w:rPr>
        <w:t>，</w:t>
      </w:r>
      <w:r>
        <w:rPr>
          <w:rFonts w:hint="default" w:cs="Times New Roman"/>
          <w:bCs/>
          <w:color w:val="auto"/>
          <w:sz w:val="24"/>
          <w:lang w:val="en-US" w:eastAsia="zh-CN"/>
        </w:rPr>
        <w:t>废水</w:t>
      </w:r>
      <w:r>
        <w:rPr>
          <w:rFonts w:hint="default" w:cs="Times New Roman"/>
          <w:bCs/>
          <w:color w:val="auto"/>
          <w:sz w:val="24"/>
          <w:lang w:eastAsia="zh-CN"/>
        </w:rPr>
        <w:t>全部</w:t>
      </w:r>
      <w:r>
        <w:rPr>
          <w:rFonts w:hint="default" w:cs="Times New Roman"/>
          <w:bCs/>
          <w:color w:val="auto"/>
          <w:sz w:val="24"/>
          <w:lang w:val="en-US" w:eastAsia="zh-CN"/>
        </w:rPr>
        <w:t>进</w:t>
      </w:r>
      <w:r>
        <w:rPr>
          <w:rFonts w:hint="eastAsia" w:cs="Times New Roman"/>
          <w:bCs/>
          <w:color w:val="auto"/>
          <w:sz w:val="24"/>
          <w:lang w:val="en-US" w:eastAsia="zh-CN"/>
        </w:rPr>
        <w:t>入发酵床，经处理后</w:t>
      </w:r>
      <w:r>
        <w:rPr>
          <w:rFonts w:hint="eastAsia" w:ascii="Times New Roman" w:hAnsi="Times New Roman" w:cs="Times New Roman"/>
          <w:color w:val="auto"/>
          <w:sz w:val="24"/>
        </w:rPr>
        <w:t>最终粪污可做有机肥，可实现养分综合利用</w:t>
      </w:r>
      <w:r>
        <w:rPr>
          <w:rFonts w:hint="eastAsia" w:cs="Times New Roman"/>
          <w:bCs/>
          <w:color w:val="auto"/>
          <w:sz w:val="24"/>
          <w:lang w:eastAsia="zh-CN"/>
        </w:rPr>
        <w:t>，</w:t>
      </w:r>
      <w:r>
        <w:rPr>
          <w:rFonts w:hint="eastAsia"/>
          <w:bCs/>
          <w:color w:val="auto"/>
          <w:sz w:val="24"/>
        </w:rPr>
        <w:t>处理后无废水排放。工艺流程图见图3.</w:t>
      </w:r>
      <w:r>
        <w:rPr>
          <w:rFonts w:hint="eastAsia"/>
          <w:bCs/>
          <w:color w:val="auto"/>
          <w:sz w:val="24"/>
          <w:lang w:val="en-US" w:eastAsia="zh-CN"/>
        </w:rPr>
        <w:t>5</w:t>
      </w:r>
      <w:r>
        <w:rPr>
          <w:rFonts w:hint="eastAsia"/>
          <w:bCs/>
          <w:color w:val="auto"/>
          <w:sz w:val="24"/>
        </w:rPr>
        <w:t>-</w:t>
      </w:r>
      <w:r>
        <w:rPr>
          <w:rFonts w:hint="eastAsia"/>
          <w:bCs/>
          <w:color w:val="auto"/>
          <w:sz w:val="24"/>
          <w:lang w:val="en-US" w:eastAsia="zh-CN"/>
        </w:rPr>
        <w:t>1</w:t>
      </w:r>
    </w:p>
    <w:p>
      <w:pPr>
        <w:pStyle w:val="1255"/>
        <w:keepNext w:val="0"/>
        <w:keepLines w:val="0"/>
        <w:pageBreakBefore w:val="0"/>
        <w:widowControl w:val="0"/>
        <w:kinsoku/>
        <w:wordWrap/>
        <w:overflowPunct/>
        <w:topLinePunct w:val="0"/>
        <w:autoSpaceDE/>
        <w:autoSpaceDN/>
        <w:bidi w:val="0"/>
        <w:adjustRightInd w:val="0"/>
        <w:snapToGrid w:val="0"/>
        <w:spacing w:before="0" w:beforeLines="50" w:line="360" w:lineRule="auto"/>
        <w:ind w:left="0" w:leftChars="0" w:firstLine="0" w:firstLineChars="0"/>
        <w:jc w:val="center"/>
        <w:textAlignment w:val="auto"/>
        <w:rPr>
          <w:rFonts w:hint="eastAsia"/>
          <w:color w:val="auto"/>
          <w:lang w:eastAsia="zh-CN"/>
        </w:rPr>
      </w:pPr>
      <w:r>
        <w:rPr>
          <w:rFonts w:hint="eastAsia"/>
          <w:color w:val="auto"/>
          <w:lang w:eastAsia="zh-CN"/>
        </w:rPr>
        <w:object>
          <v:shape id="_x0000_i1030" o:spt="75" type="#_x0000_t75" style="height:98.25pt;width:341.25pt;" o:ole="t" filled="f" o:preferrelative="t" stroked="f" coordsize="21600,21600">
            <v:path/>
            <v:fill on="f" focussize="0,0"/>
            <v:stroke on="f"/>
            <v:imagedata r:id="rId33" o:title=""/>
            <o:lock v:ext="edit" aspectratio="f"/>
            <w10:wrap type="none"/>
            <w10:anchorlock/>
          </v:shape>
          <o:OLEObject Type="Embed" ProgID="Visio.Drawing.11" ShapeID="_x0000_i1030" DrawAspect="Content" ObjectID="_1468075730" r:id="rId32">
            <o:LockedField>false</o:LockedField>
          </o:OLEObject>
        </w:object>
      </w:r>
    </w:p>
    <w:p>
      <w:pPr>
        <w:pStyle w:val="1255"/>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jc w:val="center"/>
        <w:textAlignment w:val="auto"/>
        <w:rPr>
          <w:rFonts w:hint="default"/>
          <w:b/>
          <w:color w:val="auto"/>
          <w:sz w:val="21"/>
          <w:szCs w:val="24"/>
          <w:lang w:val="en-US" w:eastAsia="zh-CN"/>
        </w:rPr>
      </w:pPr>
      <w:r>
        <w:rPr>
          <w:rFonts w:hint="eastAsia"/>
          <w:b/>
          <w:color w:val="auto"/>
          <w:sz w:val="21"/>
          <w:szCs w:val="24"/>
          <w:lang w:val="en-US" w:eastAsia="zh-CN"/>
        </w:rPr>
        <w:t>图3.5-1  发酵床工艺流程图</w:t>
      </w:r>
    </w:p>
    <w:p>
      <w:pPr>
        <w:spacing w:line="360" w:lineRule="auto"/>
        <w:ind w:firstLine="480" w:firstLineChars="200"/>
        <w:rPr>
          <w:rFonts w:hint="eastAsia"/>
          <w:color w:val="auto"/>
          <w:sz w:val="24"/>
        </w:rPr>
      </w:pPr>
      <w:r>
        <w:rPr>
          <w:rFonts w:hint="eastAsia"/>
          <w:color w:val="auto"/>
          <w:sz w:val="24"/>
          <w:lang w:val="en-US" w:eastAsia="zh-CN"/>
        </w:rPr>
        <w:t>发酵床</w:t>
      </w:r>
      <w:r>
        <w:rPr>
          <w:rFonts w:hint="eastAsia"/>
          <w:color w:val="auto"/>
          <w:sz w:val="24"/>
        </w:rPr>
        <w:t>工艺流程简介：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rFonts w:hint="eastAsia"/>
          <w:color w:val="auto"/>
          <w:sz w:val="24"/>
        </w:rPr>
        <w:t>集粪池</w:t>
      </w:r>
      <w:r>
        <w:rPr>
          <w:bCs/>
          <w:color w:val="auto"/>
          <w:sz w:val="24"/>
        </w:rPr>
        <w:t>：</w:t>
      </w:r>
      <w:r>
        <w:rPr>
          <w:rFonts w:hint="eastAsia"/>
          <w:color w:val="auto"/>
          <w:sz w:val="24"/>
          <w:lang w:val="en-US" w:eastAsia="zh-CN"/>
        </w:rPr>
        <w:t>牛粪、牛尿、生活污水、青储池渗滤液</w:t>
      </w:r>
      <w:r>
        <w:rPr>
          <w:rFonts w:hint="eastAsia"/>
          <w:color w:val="auto"/>
          <w:sz w:val="24"/>
        </w:rPr>
        <w:t>通过场区排污管道输入集粪池，集粪池用于短暂贮存废水</w:t>
      </w:r>
      <w:r>
        <w:rPr>
          <w:color w:val="auto"/>
          <w:sz w:val="24"/>
        </w:rPr>
        <w:t>。</w:t>
      </w:r>
    </w:p>
    <w:p>
      <w:pPr>
        <w:pStyle w:val="1259"/>
        <w:tabs>
          <w:tab w:val="left" w:pos="2694"/>
        </w:tabs>
        <w:spacing w:line="360" w:lineRule="auto"/>
        <w:ind w:firstLine="480" w:firstLineChars="200"/>
        <w:rPr>
          <w:rFonts w:hint="eastAsia"/>
          <w:bCs/>
          <w:color w:val="auto"/>
          <w:sz w:val="24"/>
          <w:lang w:eastAsia="zh-CN"/>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lang w:val="en-US" w:eastAsia="zh-CN"/>
        </w:rPr>
        <w:t>喷淋</w:t>
      </w:r>
      <w:r>
        <w:rPr>
          <w:bCs/>
          <w:color w:val="auto"/>
          <w:sz w:val="24"/>
        </w:rPr>
        <w:t>：</w:t>
      </w:r>
      <w:r>
        <w:rPr>
          <w:rFonts w:hint="eastAsia" w:ascii="Arial Narrow" w:hAnsi="Arial Narrow"/>
          <w:color w:val="auto"/>
          <w:sz w:val="24"/>
        </w:rPr>
        <w:t>将发酵基质一次性装填到发酵池（槽）内，装填高度1.5米，装填完毕后，按每立方米发酵基质喷淋粪污量不超过25千克/天测算，将暂贮在喷淋池中的粪污通过喷淋机一次或多次均匀地喷淋到发酵池（槽）表面，多个发酵池（槽）的可轮换错开喷淋时间；粪污与发酵基质混合后的水分含量以</w:t>
      </w:r>
      <w:r>
        <w:rPr>
          <w:rFonts w:ascii="Arial Narrow" w:hAnsi="Arial Narrow"/>
          <w:color w:val="auto"/>
          <w:sz w:val="24"/>
        </w:rPr>
        <w:t>45%-50%</w:t>
      </w:r>
      <w:r>
        <w:rPr>
          <w:rFonts w:hint="eastAsia" w:ascii="Arial Narrow" w:hAnsi="Arial Narrow"/>
          <w:color w:val="auto"/>
          <w:sz w:val="24"/>
        </w:rPr>
        <w:t>为宜</w:t>
      </w:r>
      <w:r>
        <w:rPr>
          <w:rFonts w:ascii="Times New Roman" w:hAnsi="Times New Roman" w:cs="Times New Roman"/>
          <w:color w:val="auto"/>
          <w:sz w:val="24"/>
        </w:rPr>
        <w:t>。</w:t>
      </w:r>
    </w:p>
    <w:p>
      <w:pPr>
        <w:pStyle w:val="1259"/>
        <w:tabs>
          <w:tab w:val="left" w:pos="2694"/>
        </w:tabs>
        <w:spacing w:line="360" w:lineRule="auto"/>
        <w:ind w:firstLine="480" w:firstLineChars="200"/>
        <w:rPr>
          <w:rFonts w:hint="eastAsia"/>
          <w:bCs/>
          <w:color w:val="auto"/>
          <w:sz w:val="24"/>
          <w:lang w:eastAsia="zh-CN"/>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rFonts w:hint="eastAsia"/>
          <w:bCs/>
          <w:color w:val="auto"/>
          <w:sz w:val="24"/>
          <w:lang w:val="en-US" w:eastAsia="zh-CN"/>
        </w:rPr>
        <w:t>发酵</w:t>
      </w:r>
      <w:r>
        <w:rPr>
          <w:bCs/>
          <w:color w:val="auto"/>
          <w:sz w:val="24"/>
        </w:rPr>
        <w:t>：</w:t>
      </w:r>
      <w:r>
        <w:rPr>
          <w:rFonts w:hint="eastAsia" w:ascii="Arial Narrow" w:hAnsi="Arial Narrow"/>
          <w:color w:val="auto"/>
          <w:sz w:val="24"/>
        </w:rPr>
        <w:t>好氧微生物以粪污中的有机物为营养物质，大量繁殖并快速分解有机物，同时释放大量热能，促使发酵槽内温度不断上升，并维持一定时间，在此过程中，粪污中的有机物转化为腐殖质。与此同时，粪污中的病原体在长时间的高温环境中失活，从而达到无害化、腐殖化目的</w:t>
      </w:r>
      <w:r>
        <w:rPr>
          <w:color w:val="auto"/>
          <w:sz w:val="24"/>
        </w:rPr>
        <w:t>。</w:t>
      </w:r>
    </w:p>
    <w:p>
      <w:pPr>
        <w:pStyle w:val="4"/>
        <w:keepNext w:val="0"/>
        <w:keepLines w:val="0"/>
        <w:pageBreakBefore w:val="0"/>
        <w:widowControl w:val="0"/>
        <w:kinsoku/>
        <w:wordWrap/>
        <w:overflowPunct/>
        <w:topLinePunct w:val="0"/>
        <w:autoSpaceDE w:val="0"/>
        <w:autoSpaceDN w:val="0"/>
        <w:bidi w:val="0"/>
        <w:adjustRightInd w:val="0"/>
        <w:snapToGrid/>
        <w:spacing w:before="0" w:beforeLines="50" w:line="360" w:lineRule="auto"/>
        <w:ind w:firstLine="602" w:firstLineChars="250"/>
        <w:textAlignment w:val="baseline"/>
        <w:outlineLvl w:val="3"/>
        <w:rPr>
          <w:rFonts w:ascii="Times New Roman"/>
          <w:b/>
          <w:color w:val="auto"/>
        </w:rPr>
      </w:pPr>
      <w:r>
        <w:rPr>
          <w:rFonts w:ascii="Times New Roman"/>
          <w:b/>
          <w:color w:val="auto"/>
        </w:rPr>
        <w:t>2、地下水污染防治措施</w:t>
      </w:r>
      <w:bookmarkEnd w:id="256"/>
      <w:bookmarkEnd w:id="257"/>
      <w:bookmarkEnd w:id="258"/>
      <w:bookmarkEnd w:id="259"/>
      <w:bookmarkEnd w:id="260"/>
    </w:p>
    <w:p>
      <w:pPr>
        <w:spacing w:line="360" w:lineRule="auto"/>
        <w:ind w:firstLine="480" w:firstLineChars="200"/>
        <w:rPr>
          <w:color w:val="auto"/>
          <w:sz w:val="24"/>
        </w:rPr>
      </w:pPr>
      <w:r>
        <w:rPr>
          <w:color w:val="auto"/>
          <w:sz w:val="24"/>
        </w:rPr>
        <w:t>地下水污染防治措施分为主动防渗措施和被动防渗措施，主动防渗措施是为了防止和减少污染物跑、冒、滴、漏，从源头上采取的控制污染物泄露的各种防渗措施。被动防渗措施是为了防止和减少污染物渗漏进入地下水体，采取的各种防渗措施，包括泄露的隔离、收集等措施。</w:t>
      </w:r>
    </w:p>
    <w:p>
      <w:pPr>
        <w:spacing w:line="360" w:lineRule="auto"/>
        <w:ind w:firstLine="482" w:firstLineChars="200"/>
        <w:rPr>
          <w:b/>
          <w:color w:val="auto"/>
          <w:sz w:val="24"/>
        </w:rPr>
      </w:pPr>
      <w:r>
        <w:rPr>
          <w:b/>
          <w:color w:val="auto"/>
          <w:sz w:val="24"/>
        </w:rPr>
        <w:t>（1）主动防渗漏措施</w:t>
      </w:r>
    </w:p>
    <w:p>
      <w:pPr>
        <w:spacing w:line="360" w:lineRule="auto"/>
        <w:ind w:firstLine="600" w:firstLineChars="250"/>
        <w:rPr>
          <w:color w:val="auto"/>
          <w:sz w:val="24"/>
        </w:rPr>
      </w:pPr>
      <w:r>
        <w:rPr>
          <w:color w:val="auto"/>
          <w:sz w:val="24"/>
        </w:rPr>
        <w:t>①工艺控制措施</w:t>
      </w:r>
    </w:p>
    <w:p>
      <w:pPr>
        <w:spacing w:line="360" w:lineRule="auto"/>
        <w:ind w:firstLine="600" w:firstLineChars="250"/>
        <w:rPr>
          <w:color w:val="auto"/>
          <w:sz w:val="24"/>
        </w:rPr>
      </w:pPr>
      <w:r>
        <w:rPr>
          <w:color w:val="auto"/>
          <w:sz w:val="24"/>
        </w:rPr>
        <w:t>生产区域内易产生泄漏的设备尽可能集中布置；消毒用化学品按规范设置、防止渗漏处理。</w:t>
      </w:r>
    </w:p>
    <w:p>
      <w:pPr>
        <w:spacing w:line="360" w:lineRule="auto"/>
        <w:ind w:firstLine="600" w:firstLineChars="250"/>
        <w:rPr>
          <w:color w:val="auto"/>
          <w:sz w:val="24"/>
        </w:rPr>
      </w:pPr>
      <w:r>
        <w:rPr>
          <w:color w:val="auto"/>
          <w:sz w:val="24"/>
        </w:rPr>
        <w:t>②建筑结构防控措施</w:t>
      </w:r>
    </w:p>
    <w:p>
      <w:pPr>
        <w:spacing w:line="360" w:lineRule="auto"/>
        <w:ind w:firstLine="600" w:firstLineChars="250"/>
        <w:rPr>
          <w:color w:val="auto"/>
          <w:sz w:val="24"/>
        </w:rPr>
      </w:pPr>
      <w:r>
        <w:rPr>
          <w:color w:val="auto"/>
          <w:sz w:val="24"/>
        </w:rPr>
        <w:t>厂房内有可能发生化学药品或含有污染物的介质泄漏的地面按污染区地面处理，地面坡向集水点的坡度须大于0.01；混凝土含碱量最大限值应符合《混凝土碱含量限值标准》（CECS53）的规定；厂房内污染区的排水沟按相应分区进行防渗处理。</w:t>
      </w:r>
    </w:p>
    <w:p>
      <w:pPr>
        <w:spacing w:line="360" w:lineRule="auto"/>
        <w:ind w:firstLine="602" w:firstLineChars="250"/>
        <w:rPr>
          <w:b/>
          <w:color w:val="auto"/>
          <w:sz w:val="24"/>
        </w:rPr>
      </w:pPr>
      <w:r>
        <w:rPr>
          <w:b/>
          <w:color w:val="auto"/>
          <w:sz w:val="24"/>
        </w:rPr>
        <w:t>（2）被动防渗漏措施</w:t>
      </w:r>
    </w:p>
    <w:p>
      <w:pPr>
        <w:spacing w:line="360" w:lineRule="auto"/>
        <w:ind w:firstLine="600" w:firstLineChars="250"/>
        <w:rPr>
          <w:color w:val="auto"/>
          <w:sz w:val="24"/>
        </w:rPr>
      </w:pPr>
      <w:r>
        <w:rPr>
          <w:color w:val="auto"/>
          <w:sz w:val="24"/>
        </w:rPr>
        <w:t>将全厂严格区分为污染防治区和非污染防治区。其中，污染防治区分为重点污染防治区、一般污染防治区和简单污染防治区。项目厂区地下水污染防治区域划分情况</w:t>
      </w:r>
      <w:r>
        <w:rPr>
          <w:rFonts w:hint="eastAsia"/>
          <w:color w:val="auto"/>
          <w:sz w:val="24"/>
          <w:lang w:val="en-US" w:eastAsia="zh-CN"/>
        </w:rPr>
        <w:t>如下</w:t>
      </w:r>
      <w:r>
        <w:rPr>
          <w:color w:val="auto"/>
          <w:sz w:val="24"/>
        </w:rPr>
        <w:t>。</w:t>
      </w:r>
    </w:p>
    <w:p>
      <w:pPr>
        <w:spacing w:line="360" w:lineRule="auto"/>
        <w:ind w:firstLine="600" w:firstLineChars="250"/>
        <w:rPr>
          <w:color w:val="auto"/>
          <w:sz w:val="24"/>
        </w:rPr>
      </w:pPr>
      <w:r>
        <w:rPr>
          <w:color w:val="auto"/>
          <w:sz w:val="24"/>
        </w:rPr>
        <w:t>分区防渗方案：</w:t>
      </w:r>
      <w:r>
        <w:rPr>
          <w:color w:val="auto"/>
          <w:kern w:val="0"/>
          <w:sz w:val="24"/>
        </w:rPr>
        <w:fldChar w:fldCharType="begin"/>
      </w:r>
      <w:r>
        <w:rPr>
          <w:color w:val="auto"/>
          <w:kern w:val="0"/>
          <w:sz w:val="24"/>
        </w:rPr>
        <w:instrText xml:space="preserve">= 1 \* GB3</w:instrText>
      </w:r>
      <w:r>
        <w:rPr>
          <w:color w:val="auto"/>
          <w:kern w:val="0"/>
          <w:sz w:val="24"/>
        </w:rPr>
        <w:fldChar w:fldCharType="separate"/>
      </w:r>
      <w:r>
        <w:rPr>
          <w:color w:val="auto"/>
          <w:kern w:val="0"/>
          <w:sz w:val="24"/>
        </w:rPr>
        <w:t>①</w:t>
      </w:r>
      <w:r>
        <w:rPr>
          <w:color w:val="auto"/>
          <w:kern w:val="0"/>
          <w:sz w:val="24"/>
        </w:rPr>
        <w:fldChar w:fldCharType="end"/>
      </w:r>
      <w:r>
        <w:rPr>
          <w:rFonts w:hint="eastAsia"/>
          <w:color w:val="auto"/>
          <w:kern w:val="0"/>
          <w:sz w:val="24"/>
          <w:lang w:val="en-US" w:eastAsia="zh-CN"/>
        </w:rPr>
        <w:t>医疗废物</w:t>
      </w:r>
      <w:r>
        <w:rPr>
          <w:rFonts w:hint="eastAsia"/>
          <w:color w:val="auto"/>
          <w:kern w:val="0"/>
          <w:sz w:val="24"/>
        </w:rPr>
        <w:t>暂存间、柴油发电机房</w:t>
      </w:r>
      <w:r>
        <w:rPr>
          <w:color w:val="auto"/>
          <w:kern w:val="0"/>
          <w:sz w:val="24"/>
        </w:rPr>
        <w:t>等设置为重点污染防治区。防渗技术要求：等效黏土防渗层 Mb≥6.0m，K≤1×10</w:t>
      </w:r>
      <w:r>
        <w:rPr>
          <w:color w:val="auto"/>
          <w:kern w:val="0"/>
          <w:sz w:val="24"/>
          <w:vertAlign w:val="superscript"/>
        </w:rPr>
        <w:t>-7</w:t>
      </w:r>
      <w:r>
        <w:rPr>
          <w:color w:val="auto"/>
          <w:kern w:val="0"/>
          <w:sz w:val="24"/>
        </w:rPr>
        <w:t>cm/s；</w:t>
      </w:r>
      <w:r>
        <w:rPr>
          <w:rFonts w:hint="eastAsia"/>
          <w:color w:val="auto"/>
          <w:kern w:val="0"/>
          <w:sz w:val="24"/>
          <w:lang w:val="en-US" w:eastAsia="zh-CN"/>
        </w:rPr>
        <w:t>医疗废物</w:t>
      </w:r>
      <w:r>
        <w:rPr>
          <w:rFonts w:hint="eastAsia"/>
          <w:color w:val="auto"/>
          <w:kern w:val="0"/>
          <w:sz w:val="24"/>
        </w:rPr>
        <w:t>暂存间</w:t>
      </w:r>
      <w:r>
        <w:rPr>
          <w:rFonts w:hint="eastAsia"/>
          <w:bCs/>
          <w:color w:val="auto"/>
          <w:sz w:val="24"/>
          <w:szCs w:val="32"/>
        </w:rPr>
        <w:t>满足渗透系数K≤1×10</w:t>
      </w:r>
      <w:r>
        <w:rPr>
          <w:rFonts w:hint="eastAsia"/>
          <w:bCs/>
          <w:color w:val="auto"/>
          <w:sz w:val="24"/>
          <w:szCs w:val="32"/>
          <w:vertAlign w:val="superscript"/>
        </w:rPr>
        <w:t>-10</w:t>
      </w:r>
      <w:r>
        <w:rPr>
          <w:rFonts w:hint="eastAsia"/>
          <w:bCs/>
          <w:color w:val="auto"/>
          <w:sz w:val="24"/>
          <w:szCs w:val="32"/>
        </w:rPr>
        <w:t>cm/s</w:t>
      </w:r>
      <w:r>
        <w:rPr>
          <w:rFonts w:hint="eastAsia"/>
          <w:color w:val="auto"/>
          <w:sz w:val="24"/>
          <w:szCs w:val="24"/>
        </w:rPr>
        <w:t>，</w:t>
      </w:r>
      <w:r>
        <w:rPr>
          <w:rFonts w:hint="default" w:ascii="Times New Roman" w:hAnsi="Times New Roman" w:cs="Times New Roman"/>
          <w:color w:val="auto"/>
          <w:kern w:val="0"/>
          <w:sz w:val="24"/>
          <w:szCs w:val="24"/>
        </w:rPr>
        <w:t>或参照GB18598 执行</w:t>
      </w:r>
      <w:r>
        <w:rPr>
          <w:color w:val="auto"/>
          <w:kern w:val="0"/>
          <w:sz w:val="24"/>
        </w:rPr>
        <w:t>。</w:t>
      </w:r>
    </w:p>
    <w:p>
      <w:pPr>
        <w:spacing w:line="360" w:lineRule="auto"/>
        <w:ind w:firstLine="480" w:firstLineChars="200"/>
        <w:rPr>
          <w:rFonts w:hint="eastAsia" w:eastAsia="宋体"/>
          <w:color w:val="auto"/>
          <w:sz w:val="24"/>
          <w:lang w:eastAsia="zh-CN"/>
        </w:rPr>
      </w:pPr>
      <w:r>
        <w:rPr>
          <w:rFonts w:hint="eastAsia"/>
          <w:color w:val="auto"/>
          <w:kern w:val="0"/>
          <w:sz w:val="24"/>
          <w:lang w:val="en-US" w:eastAsia="zh-CN"/>
        </w:rPr>
        <w:t>医疗废物</w:t>
      </w:r>
      <w:r>
        <w:rPr>
          <w:rFonts w:hint="eastAsia"/>
          <w:color w:val="auto"/>
          <w:kern w:val="0"/>
          <w:sz w:val="24"/>
        </w:rPr>
        <w:t>暂存间</w:t>
      </w:r>
      <w:r>
        <w:rPr>
          <w:rFonts w:hint="eastAsia"/>
          <w:color w:val="auto"/>
          <w:sz w:val="24"/>
        </w:rPr>
        <w:t>严格按照《危险废物贮存污染控制标准》的要求设计，做好地面防雨、防渗、防腐措施，基础周围设置地沟、围堰，并对地沟、围堰进行防渗、防腐处理，以防范装卸作业泄漏、溢流等意外污染事故的发生。采用防渗混凝土+HDPE防渗层，防渗要求为：等效黏土防渗层Mb≥6.0m，渗透系数K≤10</w:t>
      </w:r>
      <w:r>
        <w:rPr>
          <w:rFonts w:hint="eastAsia"/>
          <w:color w:val="auto"/>
          <w:sz w:val="24"/>
          <w:vertAlign w:val="superscript"/>
        </w:rPr>
        <w:t>-10</w:t>
      </w:r>
      <w:r>
        <w:rPr>
          <w:rFonts w:hint="eastAsia"/>
          <w:color w:val="auto"/>
          <w:sz w:val="24"/>
        </w:rPr>
        <w:t>cm/s</w:t>
      </w:r>
      <w:r>
        <w:rPr>
          <w:rFonts w:hint="eastAsia"/>
          <w:color w:val="auto"/>
          <w:sz w:val="24"/>
          <w:lang w:eastAsia="zh-CN"/>
        </w:rPr>
        <w:t>，</w:t>
      </w:r>
      <w:r>
        <w:rPr>
          <w:rFonts w:hint="default" w:ascii="Times New Roman" w:hAnsi="Times New Roman" w:cs="Times New Roman"/>
          <w:color w:val="auto"/>
          <w:kern w:val="0"/>
          <w:sz w:val="24"/>
          <w:szCs w:val="24"/>
        </w:rPr>
        <w:t>或参照GB18598 执行</w:t>
      </w:r>
      <w:r>
        <w:rPr>
          <w:rFonts w:hint="eastAsia"/>
          <w:color w:val="auto"/>
          <w:sz w:val="24"/>
        </w:rPr>
        <w:t>；</w:t>
      </w:r>
      <w:r>
        <w:rPr>
          <w:rFonts w:hint="eastAsia"/>
          <w:color w:val="auto"/>
          <w:kern w:val="0"/>
          <w:sz w:val="24"/>
        </w:rPr>
        <w:t>柴油发电机房、</w:t>
      </w:r>
      <w:r>
        <w:rPr>
          <w:rFonts w:hint="eastAsia"/>
          <w:color w:val="auto"/>
          <w:kern w:val="0"/>
          <w:sz w:val="24"/>
          <w:lang w:val="en-US" w:eastAsia="zh-CN"/>
        </w:rPr>
        <w:t>发酵床</w:t>
      </w:r>
      <w:r>
        <w:rPr>
          <w:rFonts w:hint="eastAsia"/>
          <w:color w:val="auto"/>
          <w:sz w:val="24"/>
        </w:rPr>
        <w:t>，地面采用防渗混凝土+HDPE防渗层，防渗要求为：等效黏土防渗层Mb≥6.0m，渗透系数K≤10</w:t>
      </w:r>
      <w:r>
        <w:rPr>
          <w:rFonts w:hint="eastAsia"/>
          <w:color w:val="auto"/>
          <w:sz w:val="24"/>
          <w:vertAlign w:val="superscript"/>
        </w:rPr>
        <w:t>-7</w:t>
      </w:r>
      <w:r>
        <w:rPr>
          <w:rFonts w:hint="eastAsia"/>
          <w:color w:val="auto"/>
          <w:sz w:val="24"/>
        </w:rPr>
        <w:t>cm/s</w:t>
      </w:r>
      <w:r>
        <w:rPr>
          <w:rFonts w:hint="eastAsia"/>
          <w:color w:val="auto"/>
          <w:sz w:val="24"/>
          <w:lang w:eastAsia="zh-CN"/>
        </w:rPr>
        <w:t>。</w:t>
      </w:r>
    </w:p>
    <w:p>
      <w:pPr>
        <w:spacing w:line="360" w:lineRule="auto"/>
        <w:ind w:firstLine="600" w:firstLineChars="250"/>
        <w:rPr>
          <w:color w:val="auto"/>
          <w:sz w:val="24"/>
        </w:rPr>
      </w:pPr>
      <w:r>
        <w:rPr>
          <w:color w:val="auto"/>
          <w:kern w:val="0"/>
          <w:sz w:val="24"/>
        </w:rPr>
        <w:t>②</w:t>
      </w:r>
      <w:r>
        <w:rPr>
          <w:rFonts w:hint="eastAsia"/>
          <w:color w:val="auto"/>
          <w:kern w:val="0"/>
          <w:sz w:val="24"/>
          <w:lang w:val="en-US" w:eastAsia="zh-CN"/>
        </w:rPr>
        <w:t>养殖牛舍、干草棚、种牛公舍、TMB管理中心、发酵床</w:t>
      </w:r>
      <w:r>
        <w:rPr>
          <w:color w:val="auto"/>
          <w:kern w:val="0"/>
          <w:sz w:val="24"/>
        </w:rPr>
        <w:t>等设置为一般污染防治区，防渗技术要求：等效黏土防渗层Mb≥1.5m，K≤1×10</w:t>
      </w:r>
      <w:r>
        <w:rPr>
          <w:color w:val="auto"/>
          <w:kern w:val="0"/>
          <w:sz w:val="24"/>
          <w:vertAlign w:val="superscript"/>
        </w:rPr>
        <w:t>-7</w:t>
      </w:r>
      <w:r>
        <w:rPr>
          <w:color w:val="auto"/>
          <w:kern w:val="0"/>
          <w:sz w:val="24"/>
        </w:rPr>
        <w:t>cm/s；或参照 GB16889 执行。本项目采用P8级混凝土铺设，混凝土厚度10～15cm。③办公生活用房及道路等属简单污染防治区，可采取非铺砌地坪或普通混凝土地坪，不设置专门的防渗层，场内主要通道全部硬化处理；防渗技术要求：一般地面硬化。</w:t>
      </w:r>
    </w:p>
    <w:p>
      <w:pPr>
        <w:pStyle w:val="4"/>
        <w:spacing w:line="360" w:lineRule="auto"/>
        <w:ind w:firstLine="602" w:firstLineChars="250"/>
        <w:outlineLvl w:val="3"/>
        <w:rPr>
          <w:rFonts w:ascii="Times New Roman"/>
          <w:b/>
          <w:color w:val="auto"/>
        </w:rPr>
      </w:pPr>
      <w:bookmarkStart w:id="261" w:name="_Toc369197794"/>
      <w:bookmarkStart w:id="262" w:name="_Toc369334632"/>
      <w:bookmarkStart w:id="263" w:name="_Toc369191629"/>
      <w:bookmarkStart w:id="264" w:name="_Toc369334812"/>
      <w:bookmarkStart w:id="265" w:name="_Toc369359679"/>
      <w:r>
        <w:rPr>
          <w:rFonts w:ascii="Times New Roman"/>
          <w:b/>
          <w:color w:val="auto"/>
        </w:rPr>
        <w:t>3、废气的产生及处置情况</w:t>
      </w:r>
      <w:bookmarkEnd w:id="261"/>
      <w:bookmarkEnd w:id="262"/>
      <w:bookmarkEnd w:id="263"/>
      <w:bookmarkEnd w:id="264"/>
      <w:bookmarkEnd w:id="265"/>
    </w:p>
    <w:p>
      <w:pPr>
        <w:spacing w:line="360" w:lineRule="auto"/>
        <w:ind w:firstLine="600" w:firstLineChars="250"/>
        <w:rPr>
          <w:color w:val="auto"/>
          <w:sz w:val="24"/>
        </w:rPr>
      </w:pPr>
      <w:r>
        <w:rPr>
          <w:color w:val="auto"/>
          <w:sz w:val="24"/>
        </w:rPr>
        <w:t>本项目废气主要为</w:t>
      </w:r>
      <w:r>
        <w:rPr>
          <w:rFonts w:hint="eastAsia"/>
          <w:bCs/>
          <w:color w:val="auto"/>
          <w:sz w:val="24"/>
        </w:rPr>
        <w:t>恶臭废气、食堂油烟、发电机废气</w:t>
      </w:r>
      <w:r>
        <w:rPr>
          <w:rFonts w:hint="eastAsia"/>
          <w:bCs/>
          <w:color w:val="auto"/>
          <w:sz w:val="24"/>
          <w:lang w:eastAsia="zh-CN"/>
        </w:rPr>
        <w:t>、</w:t>
      </w:r>
      <w:r>
        <w:rPr>
          <w:rFonts w:hint="eastAsia"/>
          <w:bCs/>
          <w:color w:val="auto"/>
          <w:sz w:val="24"/>
          <w:lang w:val="en-US" w:eastAsia="zh-CN"/>
        </w:rPr>
        <w:t>饲料加工粉尘</w:t>
      </w:r>
      <w:r>
        <w:rPr>
          <w:color w:val="auto"/>
          <w:sz w:val="24"/>
        </w:rPr>
        <w:t>。</w:t>
      </w:r>
    </w:p>
    <w:p>
      <w:pPr>
        <w:tabs>
          <w:tab w:val="left" w:pos="1220"/>
        </w:tabs>
        <w:spacing w:line="360" w:lineRule="auto"/>
        <w:ind w:firstLine="477" w:firstLineChars="198"/>
        <w:outlineLvl w:val="4"/>
        <w:rPr>
          <w:rFonts w:hint="default"/>
          <w:b/>
          <w:bCs w:val="0"/>
          <w:i w:val="0"/>
          <w:iCs w:val="0"/>
          <w:color w:val="auto"/>
          <w:sz w:val="24"/>
          <w:lang w:val="en-US"/>
        </w:rPr>
      </w:pPr>
      <w:r>
        <w:rPr>
          <w:rFonts w:hint="eastAsia"/>
          <w:b/>
          <w:bCs w:val="0"/>
          <w:i w:val="0"/>
          <w:iCs w:val="0"/>
          <w:color w:val="auto"/>
          <w:sz w:val="24"/>
          <w:lang w:val="en-US" w:eastAsia="zh-CN"/>
        </w:rPr>
        <w:t>（1）牛舍恶臭</w:t>
      </w:r>
    </w:p>
    <w:p>
      <w:pPr>
        <w:tabs>
          <w:tab w:val="left" w:pos="1220"/>
        </w:tabs>
        <w:spacing w:line="360" w:lineRule="auto"/>
        <w:ind w:firstLine="475" w:firstLineChars="198"/>
        <w:rPr>
          <w:rFonts w:hint="eastAsia"/>
          <w:bCs/>
          <w:color w:val="auto"/>
          <w:sz w:val="24"/>
        </w:rPr>
      </w:pPr>
      <w:r>
        <w:rPr>
          <w:rFonts w:hint="eastAsia"/>
          <w:bCs/>
          <w:color w:val="auto"/>
          <w:sz w:val="24"/>
        </w:rPr>
        <w:t>项目营运期恶臭产生的主要场所为牛舍、</w:t>
      </w:r>
      <w:r>
        <w:rPr>
          <w:rFonts w:hint="eastAsia"/>
          <w:bCs/>
          <w:color w:val="auto"/>
          <w:sz w:val="24"/>
          <w:lang w:val="en-US" w:eastAsia="zh-CN"/>
        </w:rPr>
        <w:t>发酵床</w:t>
      </w:r>
      <w:r>
        <w:rPr>
          <w:rFonts w:hint="eastAsia"/>
          <w:bCs/>
          <w:color w:val="auto"/>
          <w:sz w:val="24"/>
        </w:rPr>
        <w:t>。恶臭主要产生类型如下：</w:t>
      </w:r>
    </w:p>
    <w:p>
      <w:pPr>
        <w:tabs>
          <w:tab w:val="left" w:pos="1220"/>
        </w:tabs>
        <w:spacing w:line="360" w:lineRule="auto"/>
        <w:ind w:firstLine="475" w:firstLineChars="198"/>
        <w:rPr>
          <w:rFonts w:hint="eastAsia"/>
          <w:bCs/>
          <w:color w:val="auto"/>
          <w:sz w:val="24"/>
        </w:rPr>
      </w:pPr>
      <w:r>
        <w:rPr>
          <w:rFonts w:hint="eastAsia"/>
          <w:bCs/>
          <w:color w:val="auto"/>
          <w:sz w:val="24"/>
        </w:rPr>
        <w:t>①动物本身：包括牛皮脂腺和汗腺的分泌物、体外激素、黏附在体表的污物、呼出气中的CO</w:t>
      </w:r>
      <w:r>
        <w:rPr>
          <w:rFonts w:hint="eastAsia"/>
          <w:bCs/>
          <w:color w:val="auto"/>
          <w:sz w:val="24"/>
          <w:vertAlign w:val="subscript"/>
        </w:rPr>
        <w:t>2</w:t>
      </w:r>
      <w:r>
        <w:rPr>
          <w:rFonts w:hint="eastAsia"/>
          <w:bCs/>
          <w:color w:val="auto"/>
          <w:sz w:val="24"/>
        </w:rPr>
        <w:t>（含量比大气约高100倍）等都会散发出难闻的气味等。</w:t>
      </w:r>
    </w:p>
    <w:p>
      <w:pPr>
        <w:tabs>
          <w:tab w:val="left" w:pos="1220"/>
        </w:tabs>
        <w:spacing w:line="360" w:lineRule="auto"/>
        <w:ind w:firstLine="475" w:firstLineChars="198"/>
        <w:rPr>
          <w:rFonts w:hint="eastAsia"/>
          <w:bCs/>
          <w:color w:val="auto"/>
          <w:sz w:val="24"/>
        </w:rPr>
      </w:pPr>
      <w:r>
        <w:rPr>
          <w:rFonts w:hint="eastAsia"/>
          <w:bCs/>
          <w:color w:val="auto"/>
          <w:sz w:val="24"/>
        </w:rPr>
        <w:t>②饲料：饲料中纤维分解时产生的甲烷、饲料在牛只消化道内经过各种消化酶、肠道细菌的作用，会产生硫化氢等使粪有臭味的气体；同时，饲料本身为各种粮食、蛋白以及其他添加成分本身具有一定的气味而使得合成饲料颗粒产生一定的异味，在饲喂过程中在圈舍内散发。</w:t>
      </w:r>
    </w:p>
    <w:p>
      <w:pPr>
        <w:tabs>
          <w:tab w:val="left" w:pos="1220"/>
        </w:tabs>
        <w:spacing w:line="360" w:lineRule="auto"/>
        <w:ind w:firstLine="475" w:firstLineChars="198"/>
        <w:rPr>
          <w:bCs/>
          <w:color w:val="auto"/>
          <w:sz w:val="24"/>
        </w:rPr>
      </w:pPr>
      <w:r>
        <w:rPr>
          <w:rFonts w:hint="eastAsia"/>
          <w:bCs/>
          <w:color w:val="auto"/>
          <w:sz w:val="24"/>
        </w:rPr>
        <w:t>③粪尿的臭味：牛舍中刚排泄出的粪尿中有氨、硫化氢、胺等有害气体，进而产生甲硫醇、多胺、脂肪酸、吲哚等，在高温季节尤为明显；此外，粪尿在牛舍旁的储存池内停留，形成厌氧发酵，产生大量的有害气体，如NH</w:t>
      </w:r>
      <w:r>
        <w:rPr>
          <w:rFonts w:hint="eastAsia"/>
          <w:bCs/>
          <w:color w:val="auto"/>
          <w:sz w:val="24"/>
          <w:vertAlign w:val="subscript"/>
        </w:rPr>
        <w:t>3</w:t>
      </w:r>
      <w:r>
        <w:rPr>
          <w:rFonts w:hint="eastAsia"/>
          <w:bCs/>
          <w:color w:val="auto"/>
          <w:sz w:val="24"/>
        </w:rPr>
        <w:t>、H</w:t>
      </w:r>
      <w:r>
        <w:rPr>
          <w:rFonts w:hint="eastAsia"/>
          <w:bCs/>
          <w:color w:val="auto"/>
          <w:sz w:val="24"/>
          <w:vertAlign w:val="subscript"/>
        </w:rPr>
        <w:t>2</w:t>
      </w:r>
      <w:r>
        <w:rPr>
          <w:rFonts w:hint="eastAsia"/>
          <w:bCs/>
          <w:color w:val="auto"/>
          <w:sz w:val="24"/>
        </w:rPr>
        <w:t>S等恶臭室内空气环境。另外，臭气产生的多少还与粪便的水分含量和粪便堆积的厚度有关，粪便堆积的越厚，就会使臭气产生量越大，尤其是在场地排水不畅通时更是如此。</w:t>
      </w:r>
    </w:p>
    <w:p>
      <w:pPr>
        <w:adjustRightInd w:val="0"/>
        <w:snapToGrid w:val="0"/>
        <w:spacing w:line="360" w:lineRule="auto"/>
        <w:ind w:firstLine="480" w:firstLineChars="200"/>
        <w:rPr>
          <w:rFonts w:hint="eastAsia"/>
          <w:color w:val="auto"/>
          <w:sz w:val="24"/>
        </w:rPr>
      </w:pPr>
      <w:r>
        <w:rPr>
          <w:rFonts w:hint="eastAsia"/>
          <w:color w:val="auto"/>
          <w:sz w:val="24"/>
          <w:lang w:val="en-US" w:eastAsia="zh-CN"/>
        </w:rPr>
        <w:t>本项目</w:t>
      </w:r>
      <w:r>
        <w:rPr>
          <w:rFonts w:hint="eastAsia"/>
          <w:color w:val="auto"/>
          <w:sz w:val="24"/>
        </w:rPr>
        <w:t>年存栏量为</w:t>
      </w:r>
      <w:r>
        <w:rPr>
          <w:rFonts w:hint="eastAsia"/>
          <w:color w:val="auto"/>
          <w:sz w:val="24"/>
          <w:lang w:val="en-US" w:eastAsia="zh-CN"/>
        </w:rPr>
        <w:t>9734</w:t>
      </w:r>
      <w:r>
        <w:rPr>
          <w:rFonts w:hint="eastAsia"/>
          <w:color w:val="auto"/>
          <w:sz w:val="24"/>
        </w:rPr>
        <w:t>头，参考《农林水利类环境影响评价》（环境保护部环境影响评价工程师职业资格等级管理办公室编，中国环境科学出版社，</w:t>
      </w:r>
      <w:r>
        <w:rPr>
          <w:color w:val="auto"/>
          <w:sz w:val="24"/>
        </w:rPr>
        <w:t xml:space="preserve">2010 </w:t>
      </w:r>
      <w:r>
        <w:rPr>
          <w:rFonts w:hint="eastAsia"/>
          <w:color w:val="auto"/>
          <w:sz w:val="24"/>
        </w:rPr>
        <w:t>年版）以及《规模化畜禽养殖恶臭污染物扩散规律及其防护距离研究》（郑芳，中国农业科学研究院</w:t>
      </w:r>
      <w:r>
        <w:rPr>
          <w:color w:val="auto"/>
          <w:sz w:val="24"/>
        </w:rPr>
        <w:t xml:space="preserve">2010 </w:t>
      </w:r>
      <w:r>
        <w:rPr>
          <w:rFonts w:hint="eastAsia"/>
          <w:color w:val="auto"/>
          <w:sz w:val="24"/>
        </w:rPr>
        <w:t>年硕士学位论文）的研究资料，每头牛</w:t>
      </w:r>
      <w:r>
        <w:rPr>
          <w:color w:val="auto"/>
          <w:sz w:val="24"/>
        </w:rPr>
        <w:t>NH</w:t>
      </w:r>
      <w:r>
        <w:rPr>
          <w:color w:val="auto"/>
          <w:sz w:val="24"/>
          <w:vertAlign w:val="subscript"/>
        </w:rPr>
        <w:t>3</w:t>
      </w:r>
      <w:r>
        <w:rPr>
          <w:color w:val="auto"/>
          <w:sz w:val="24"/>
        </w:rPr>
        <w:t xml:space="preserve"> </w:t>
      </w:r>
      <w:r>
        <w:rPr>
          <w:rFonts w:hint="eastAsia"/>
          <w:color w:val="auto"/>
          <w:sz w:val="24"/>
        </w:rPr>
        <w:t>产生量为</w:t>
      </w:r>
      <w:r>
        <w:rPr>
          <w:color w:val="auto"/>
          <w:sz w:val="24"/>
        </w:rPr>
        <w:t>0.7g/</w:t>
      </w:r>
      <w:r>
        <w:rPr>
          <w:rFonts w:hint="eastAsia"/>
          <w:color w:val="auto"/>
          <w:sz w:val="24"/>
        </w:rPr>
        <w:t>头牛·</w:t>
      </w:r>
      <w:r>
        <w:rPr>
          <w:color w:val="auto"/>
          <w:sz w:val="24"/>
        </w:rPr>
        <w:t>d</w:t>
      </w:r>
      <w:r>
        <w:rPr>
          <w:rFonts w:hint="eastAsia"/>
          <w:color w:val="auto"/>
          <w:sz w:val="24"/>
        </w:rPr>
        <w:t>，</w:t>
      </w:r>
      <w:r>
        <w:rPr>
          <w:color w:val="auto"/>
          <w:sz w:val="24"/>
        </w:rPr>
        <w:t>H</w:t>
      </w:r>
      <w:r>
        <w:rPr>
          <w:color w:val="auto"/>
          <w:sz w:val="24"/>
          <w:vertAlign w:val="subscript"/>
        </w:rPr>
        <w:t>2</w:t>
      </w:r>
      <w:r>
        <w:rPr>
          <w:color w:val="auto"/>
          <w:sz w:val="24"/>
        </w:rPr>
        <w:t xml:space="preserve">S </w:t>
      </w:r>
      <w:r>
        <w:rPr>
          <w:rFonts w:hint="eastAsia"/>
          <w:color w:val="auto"/>
          <w:sz w:val="24"/>
        </w:rPr>
        <w:t>产生量为</w:t>
      </w:r>
      <w:r>
        <w:rPr>
          <w:color w:val="auto"/>
          <w:sz w:val="24"/>
        </w:rPr>
        <w:t>0.04g/</w:t>
      </w:r>
      <w:r>
        <w:rPr>
          <w:rFonts w:hint="eastAsia"/>
          <w:color w:val="auto"/>
          <w:sz w:val="24"/>
        </w:rPr>
        <w:t>头牛·</w:t>
      </w:r>
      <w:r>
        <w:rPr>
          <w:color w:val="auto"/>
          <w:sz w:val="24"/>
        </w:rPr>
        <w:t>d</w:t>
      </w:r>
      <w:r>
        <w:rPr>
          <w:rFonts w:hint="eastAsia"/>
          <w:color w:val="auto"/>
          <w:sz w:val="24"/>
        </w:rPr>
        <w:t>。即本项目牛舍恶臭产生情况如下：</w:t>
      </w:r>
    </w:p>
    <w:p>
      <w:pPr>
        <w:adjustRightInd w:val="0"/>
        <w:snapToGrid w:val="0"/>
        <w:spacing w:line="360" w:lineRule="auto"/>
        <w:ind w:firstLine="480" w:firstLineChars="200"/>
        <w:rPr>
          <w:color w:val="auto"/>
          <w:sz w:val="24"/>
        </w:rPr>
      </w:pPr>
      <w:r>
        <w:rPr>
          <w:rFonts w:hint="eastAsia"/>
          <w:color w:val="auto"/>
          <w:sz w:val="24"/>
        </w:rPr>
        <w:t>氨气产生量</w:t>
      </w:r>
      <w:r>
        <w:rPr>
          <w:color w:val="auto"/>
          <w:sz w:val="24"/>
        </w:rPr>
        <w:t>=</w:t>
      </w:r>
      <w:r>
        <w:rPr>
          <w:rFonts w:hint="eastAsia"/>
          <w:color w:val="auto"/>
          <w:sz w:val="24"/>
          <w:lang w:val="en-US" w:eastAsia="zh-CN"/>
        </w:rPr>
        <w:t>9734</w:t>
      </w:r>
      <w:r>
        <w:rPr>
          <w:rFonts w:hint="eastAsia"/>
          <w:color w:val="auto"/>
          <w:sz w:val="24"/>
        </w:rPr>
        <w:t>×</w:t>
      </w:r>
      <w:r>
        <w:rPr>
          <w:color w:val="auto"/>
          <w:sz w:val="24"/>
        </w:rPr>
        <w:t>0.7</w:t>
      </w:r>
      <w:r>
        <w:rPr>
          <w:rFonts w:hint="eastAsia"/>
          <w:color w:val="auto"/>
          <w:sz w:val="24"/>
        </w:rPr>
        <w:t>×</w:t>
      </w:r>
      <w:r>
        <w:rPr>
          <w:color w:val="auto"/>
          <w:sz w:val="24"/>
        </w:rPr>
        <w:t>10</w:t>
      </w:r>
      <w:r>
        <w:rPr>
          <w:color w:val="auto"/>
          <w:sz w:val="24"/>
          <w:vertAlign w:val="superscript"/>
        </w:rPr>
        <w:t>-3</w:t>
      </w:r>
      <w:r>
        <w:rPr>
          <w:color w:val="auto"/>
          <w:sz w:val="24"/>
        </w:rPr>
        <w:t>=</w:t>
      </w:r>
      <w:r>
        <w:rPr>
          <w:rFonts w:hint="eastAsia"/>
          <w:color w:val="auto"/>
          <w:sz w:val="24"/>
          <w:lang w:val="en-US" w:eastAsia="zh-CN"/>
        </w:rPr>
        <w:t>6.81</w:t>
      </w:r>
      <w:r>
        <w:rPr>
          <w:color w:val="auto"/>
          <w:sz w:val="24"/>
        </w:rPr>
        <w:t>kg/d</w:t>
      </w:r>
      <w:r>
        <w:rPr>
          <w:rFonts w:hint="eastAsia"/>
          <w:color w:val="auto"/>
          <w:sz w:val="24"/>
        </w:rPr>
        <w:t>（</w:t>
      </w:r>
      <w:r>
        <w:rPr>
          <w:rFonts w:hint="eastAsia"/>
          <w:color w:val="auto"/>
          <w:sz w:val="24"/>
          <w:lang w:val="en-US" w:eastAsia="zh-CN"/>
        </w:rPr>
        <w:t>2.487t</w:t>
      </w:r>
      <w:r>
        <w:rPr>
          <w:color w:val="auto"/>
          <w:sz w:val="24"/>
        </w:rPr>
        <w:t>/</w:t>
      </w:r>
      <w:r>
        <w:rPr>
          <w:rFonts w:hint="eastAsia"/>
          <w:color w:val="auto"/>
          <w:sz w:val="24"/>
          <w:lang w:val="en-US" w:eastAsia="zh-CN"/>
        </w:rPr>
        <w:t>a</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硫化氢产生量</w:t>
      </w:r>
      <w:r>
        <w:rPr>
          <w:color w:val="auto"/>
          <w:sz w:val="24"/>
        </w:rPr>
        <w:t>=</w:t>
      </w:r>
      <w:r>
        <w:rPr>
          <w:rFonts w:hint="eastAsia"/>
          <w:color w:val="auto"/>
          <w:sz w:val="24"/>
          <w:lang w:val="en-US" w:eastAsia="zh-CN"/>
        </w:rPr>
        <w:t>9734</w:t>
      </w:r>
      <w:r>
        <w:rPr>
          <w:rFonts w:hint="eastAsia"/>
          <w:color w:val="auto"/>
          <w:sz w:val="24"/>
        </w:rPr>
        <w:t>×</w:t>
      </w:r>
      <w:r>
        <w:rPr>
          <w:color w:val="auto"/>
          <w:sz w:val="24"/>
        </w:rPr>
        <w:t>0.04</w:t>
      </w:r>
      <w:r>
        <w:rPr>
          <w:rFonts w:hint="eastAsia"/>
          <w:color w:val="auto"/>
          <w:sz w:val="24"/>
        </w:rPr>
        <w:t>×</w:t>
      </w:r>
      <w:r>
        <w:rPr>
          <w:color w:val="auto"/>
          <w:sz w:val="24"/>
        </w:rPr>
        <w:t>10</w:t>
      </w:r>
      <w:r>
        <w:rPr>
          <w:color w:val="auto"/>
          <w:sz w:val="24"/>
          <w:vertAlign w:val="superscript"/>
        </w:rPr>
        <w:t>-3</w:t>
      </w:r>
      <w:r>
        <w:rPr>
          <w:color w:val="auto"/>
          <w:sz w:val="24"/>
        </w:rPr>
        <w:t>=0.</w:t>
      </w:r>
      <w:r>
        <w:rPr>
          <w:rFonts w:hint="eastAsia"/>
          <w:color w:val="auto"/>
          <w:sz w:val="24"/>
          <w:lang w:val="en-US" w:eastAsia="zh-CN"/>
        </w:rPr>
        <w:t>389</w:t>
      </w:r>
      <w:r>
        <w:rPr>
          <w:color w:val="auto"/>
          <w:sz w:val="24"/>
        </w:rPr>
        <w:t>kg/d</w:t>
      </w:r>
      <w:r>
        <w:rPr>
          <w:rFonts w:hint="eastAsia"/>
          <w:color w:val="auto"/>
          <w:sz w:val="24"/>
        </w:rPr>
        <w:t>（</w:t>
      </w:r>
      <w:r>
        <w:rPr>
          <w:color w:val="auto"/>
          <w:sz w:val="24"/>
        </w:rPr>
        <w:t>0.</w:t>
      </w:r>
      <w:r>
        <w:rPr>
          <w:rFonts w:hint="eastAsia"/>
          <w:color w:val="auto"/>
          <w:sz w:val="24"/>
          <w:lang w:val="en-US" w:eastAsia="zh-CN"/>
        </w:rPr>
        <w:t>142t</w:t>
      </w:r>
      <w:r>
        <w:rPr>
          <w:color w:val="auto"/>
          <w:sz w:val="24"/>
        </w:rPr>
        <w:t>/</w:t>
      </w:r>
      <w:r>
        <w:rPr>
          <w:rFonts w:hint="eastAsia"/>
          <w:color w:val="auto"/>
          <w:sz w:val="24"/>
          <w:lang w:val="en-US" w:eastAsia="zh-CN"/>
        </w:rPr>
        <w:t>a</w:t>
      </w:r>
      <w:r>
        <w:rPr>
          <w:rFonts w:hint="eastAsia"/>
          <w:color w:val="auto"/>
          <w:sz w:val="24"/>
        </w:rPr>
        <w:t>）。</w:t>
      </w:r>
    </w:p>
    <w:p>
      <w:pPr>
        <w:autoSpaceDE w:val="0"/>
        <w:autoSpaceDN w:val="0"/>
        <w:adjustRightInd w:val="0"/>
        <w:snapToGrid w:val="0"/>
        <w:spacing w:line="360" w:lineRule="auto"/>
        <w:ind w:firstLine="480" w:firstLineChars="200"/>
        <w:rPr>
          <w:color w:val="auto"/>
          <w:kern w:val="0"/>
          <w:sz w:val="24"/>
        </w:rPr>
      </w:pPr>
      <w:r>
        <w:rPr>
          <w:color w:val="auto"/>
          <w:kern w:val="0"/>
          <w:sz w:val="24"/>
        </w:rPr>
        <w:t xml:space="preserve">恶臭气味对畜禽有刺激性作用，可引起呼吸系统疾病，同时恶臭气味对养殖场员工身体健康产生一定的影响，为降低养殖场恶臭，拟建项目养殖区采取措施有： </w:t>
      </w:r>
    </w:p>
    <w:p>
      <w:pPr>
        <w:autoSpaceDE w:val="0"/>
        <w:autoSpaceDN w:val="0"/>
        <w:adjustRightInd w:val="0"/>
        <w:snapToGrid w:val="0"/>
        <w:spacing w:line="360" w:lineRule="auto"/>
        <w:ind w:firstLine="480" w:firstLineChars="200"/>
        <w:rPr>
          <w:color w:val="auto"/>
          <w:kern w:val="0"/>
          <w:sz w:val="24"/>
        </w:rPr>
      </w:pPr>
      <w:r>
        <w:rPr>
          <w:rFonts w:hint="eastAsia"/>
          <w:color w:val="auto"/>
          <w:sz w:val="24"/>
        </w:rPr>
        <w:t>①</w:t>
      </w:r>
      <w:r>
        <w:rPr>
          <w:color w:val="auto"/>
          <w:kern w:val="0"/>
          <w:sz w:val="24"/>
        </w:rPr>
        <w:t>源头控制</w:t>
      </w:r>
    </w:p>
    <w:p>
      <w:pPr>
        <w:autoSpaceDE w:val="0"/>
        <w:autoSpaceDN w:val="0"/>
        <w:adjustRightInd w:val="0"/>
        <w:snapToGrid w:val="0"/>
        <w:spacing w:line="360" w:lineRule="auto"/>
        <w:ind w:firstLine="444" w:firstLineChars="200"/>
        <w:rPr>
          <w:color w:val="auto"/>
          <w:spacing w:val="-9"/>
          <w:sz w:val="24"/>
        </w:rPr>
      </w:pPr>
      <w:r>
        <w:rPr>
          <w:bCs/>
          <w:color w:val="auto"/>
          <w:spacing w:val="-9"/>
          <w:sz w:val="24"/>
        </w:rPr>
        <w:t>采取TMR全混合日粮喂食肉牛，向饲料中添加沙皂素等除臭，通</w:t>
      </w:r>
      <w:r>
        <w:rPr>
          <w:bCs/>
          <w:color w:val="auto"/>
          <w:sz w:val="24"/>
        </w:rPr>
        <w:t>过在</w:t>
      </w:r>
      <w:r>
        <w:rPr>
          <w:bCs/>
          <w:color w:val="auto"/>
          <w:spacing w:val="-9"/>
          <w:sz w:val="24"/>
        </w:rPr>
        <w:t>肉</w:t>
      </w:r>
      <w:r>
        <w:rPr>
          <w:bCs/>
          <w:color w:val="auto"/>
          <w:sz w:val="24"/>
        </w:rPr>
        <w:t>牛日粮中添加沙皂素等除臭剂，</w:t>
      </w:r>
      <w:r>
        <w:rPr>
          <w:color w:val="auto"/>
          <w:sz w:val="24"/>
        </w:rPr>
        <w:t>同时科学合理调控日粮，减少肉牛粗蛋白摄入，达到减少</w:t>
      </w:r>
      <w:r>
        <w:rPr>
          <w:bCs/>
          <w:color w:val="auto"/>
          <w:spacing w:val="-9"/>
          <w:sz w:val="24"/>
        </w:rPr>
        <w:t>肉</w:t>
      </w:r>
      <w:r>
        <w:rPr>
          <w:color w:val="auto"/>
          <w:sz w:val="24"/>
        </w:rPr>
        <w:t>牛粪污中</w:t>
      </w:r>
      <w:r>
        <w:rPr>
          <w:color w:val="auto"/>
          <w:spacing w:val="-9"/>
          <w:sz w:val="24"/>
        </w:rPr>
        <w:t>NH</w:t>
      </w:r>
      <w:r>
        <w:rPr>
          <w:color w:val="auto"/>
          <w:spacing w:val="-9"/>
          <w:sz w:val="24"/>
          <w:vertAlign w:val="subscript"/>
        </w:rPr>
        <w:t>3</w:t>
      </w:r>
      <w:r>
        <w:rPr>
          <w:color w:val="auto"/>
          <w:spacing w:val="-9"/>
          <w:sz w:val="24"/>
        </w:rPr>
        <w:t>、H</w:t>
      </w:r>
      <w:r>
        <w:rPr>
          <w:color w:val="auto"/>
          <w:spacing w:val="-9"/>
          <w:sz w:val="24"/>
          <w:vertAlign w:val="subscript"/>
        </w:rPr>
        <w:t>2</w:t>
      </w:r>
      <w:r>
        <w:rPr>
          <w:color w:val="auto"/>
          <w:spacing w:val="-9"/>
          <w:sz w:val="24"/>
        </w:rPr>
        <w:t>S产生的目的。</w:t>
      </w:r>
    </w:p>
    <w:p>
      <w:pPr>
        <w:autoSpaceDE w:val="0"/>
        <w:autoSpaceDN w:val="0"/>
        <w:adjustRightInd w:val="0"/>
        <w:snapToGrid w:val="0"/>
        <w:spacing w:line="360" w:lineRule="auto"/>
        <w:ind w:firstLine="444" w:firstLineChars="200"/>
        <w:rPr>
          <w:color w:val="auto"/>
          <w:kern w:val="0"/>
          <w:sz w:val="24"/>
        </w:rPr>
      </w:pPr>
      <w:r>
        <w:rPr>
          <w:color w:val="auto"/>
          <w:spacing w:val="-9"/>
          <w:sz w:val="24"/>
        </w:rPr>
        <w:t>参考《日粮不同种类的饲草料对荷斯坦青年母牛粪尿中总氮、氨态氮和粪中NH</w:t>
      </w:r>
      <w:r>
        <w:rPr>
          <w:color w:val="auto"/>
          <w:spacing w:val="-9"/>
          <w:sz w:val="24"/>
          <w:vertAlign w:val="subscript"/>
        </w:rPr>
        <w:t>3</w:t>
      </w:r>
      <w:r>
        <w:rPr>
          <w:color w:val="auto"/>
          <w:spacing w:val="-9"/>
          <w:sz w:val="24"/>
        </w:rPr>
        <w:t>、H</w:t>
      </w:r>
      <w:r>
        <w:rPr>
          <w:color w:val="auto"/>
          <w:spacing w:val="-9"/>
          <w:sz w:val="24"/>
          <w:vertAlign w:val="subscript"/>
        </w:rPr>
        <w:t>2</w:t>
      </w:r>
      <w:r>
        <w:rPr>
          <w:color w:val="auto"/>
          <w:spacing w:val="-9"/>
          <w:sz w:val="24"/>
        </w:rPr>
        <w:t>S散发量的影响》（《中国畜牧杂质》，2010（46）20）一文，在采取TMR全混合日粮喂食</w:t>
      </w:r>
      <w:r>
        <w:rPr>
          <w:bCs/>
          <w:color w:val="auto"/>
          <w:spacing w:val="-9"/>
          <w:sz w:val="24"/>
        </w:rPr>
        <w:t>肉</w:t>
      </w:r>
      <w:r>
        <w:rPr>
          <w:color w:val="auto"/>
          <w:spacing w:val="-9"/>
          <w:sz w:val="24"/>
        </w:rPr>
        <w:t>牛、</w:t>
      </w:r>
      <w:r>
        <w:rPr>
          <w:color w:val="auto"/>
          <w:sz w:val="24"/>
        </w:rPr>
        <w:t>添加沙皂素等除臭剂后</w:t>
      </w:r>
      <w:r>
        <w:rPr>
          <w:color w:val="auto"/>
          <w:spacing w:val="-9"/>
          <w:sz w:val="24"/>
        </w:rPr>
        <w:t>，其粪污中NH</w:t>
      </w:r>
      <w:r>
        <w:rPr>
          <w:color w:val="auto"/>
          <w:spacing w:val="-9"/>
          <w:sz w:val="24"/>
          <w:vertAlign w:val="subscript"/>
        </w:rPr>
        <w:t>3</w:t>
      </w:r>
      <w:r>
        <w:rPr>
          <w:color w:val="auto"/>
          <w:spacing w:val="-9"/>
          <w:sz w:val="24"/>
        </w:rPr>
        <w:t>、H</w:t>
      </w:r>
      <w:r>
        <w:rPr>
          <w:color w:val="auto"/>
          <w:spacing w:val="-9"/>
          <w:sz w:val="24"/>
          <w:vertAlign w:val="subscript"/>
        </w:rPr>
        <w:t>2</w:t>
      </w:r>
      <w:r>
        <w:rPr>
          <w:color w:val="auto"/>
          <w:spacing w:val="-9"/>
          <w:sz w:val="24"/>
        </w:rPr>
        <w:t>S可减少55%左右。</w:t>
      </w:r>
      <w:r>
        <w:rPr>
          <w:color w:val="auto"/>
          <w:kern w:val="0"/>
          <w:sz w:val="24"/>
        </w:rPr>
        <w:t xml:space="preserve"> </w:t>
      </w:r>
    </w:p>
    <w:p>
      <w:pPr>
        <w:autoSpaceDE w:val="0"/>
        <w:autoSpaceDN w:val="0"/>
        <w:adjustRightInd w:val="0"/>
        <w:snapToGrid w:val="0"/>
        <w:spacing w:line="360" w:lineRule="auto"/>
        <w:ind w:firstLine="480" w:firstLineChars="200"/>
        <w:rPr>
          <w:color w:val="auto"/>
          <w:kern w:val="0"/>
          <w:sz w:val="24"/>
        </w:rPr>
      </w:pPr>
      <w:r>
        <w:rPr>
          <w:rFonts w:hint="eastAsia"/>
          <w:color w:val="auto"/>
          <w:sz w:val="24"/>
        </w:rPr>
        <w:t>②</w:t>
      </w:r>
      <w:r>
        <w:rPr>
          <w:color w:val="auto"/>
          <w:kern w:val="0"/>
          <w:sz w:val="24"/>
        </w:rPr>
        <w:t>喷洒生物除臭剂</w:t>
      </w:r>
    </w:p>
    <w:p>
      <w:pPr>
        <w:autoSpaceDE w:val="0"/>
        <w:autoSpaceDN w:val="0"/>
        <w:adjustRightInd w:val="0"/>
        <w:snapToGrid w:val="0"/>
        <w:spacing w:line="360" w:lineRule="auto"/>
        <w:ind w:firstLine="480" w:firstLineChars="200"/>
        <w:rPr>
          <w:color w:val="auto"/>
          <w:kern w:val="0"/>
          <w:sz w:val="24"/>
        </w:rPr>
      </w:pPr>
      <w:r>
        <w:rPr>
          <w:color w:val="auto"/>
          <w:sz w:val="24"/>
        </w:rPr>
        <w:t>项目采用专门的生物除臭剂对牛舍进行喷洒除臭处理，该类生物除臭剂（如万洁芬）主要由乳酸菌、酵母菌、光合菌等多种有益微生物发酵液组成，能快速抑制腐败菌的生存和繁殖，有效吸收和降解氨氮物、硫化氢、甲基硫醇等具恶臭味的有害物质。该类纯微生物除臭剂对人体及动物无害，对环境不会造成二次污染，消除异味效果显著，根据《自然科学》现代化农业，2011年第6期（总第383期）</w:t>
      </w:r>
      <w:r>
        <w:rPr>
          <w:rFonts w:hint="eastAsia"/>
          <w:color w:val="auto"/>
          <w:sz w:val="24"/>
          <w:lang w:eastAsia="zh-CN"/>
        </w:rPr>
        <w:t>“</w:t>
      </w:r>
      <w:r>
        <w:rPr>
          <w:color w:val="auto"/>
          <w:sz w:val="24"/>
        </w:rPr>
        <w:t>微生物除臭剂研究进展</w:t>
      </w:r>
      <w:r>
        <w:rPr>
          <w:rFonts w:hint="eastAsia"/>
          <w:color w:val="auto"/>
          <w:sz w:val="24"/>
          <w:lang w:eastAsia="zh-CN"/>
        </w:rPr>
        <w:t>”</w:t>
      </w:r>
      <w:r>
        <w:rPr>
          <w:color w:val="auto"/>
          <w:sz w:val="24"/>
        </w:rPr>
        <w:t>（赵晓峰，隋文志）的资料，经国家环境分析测试中心和陕西环境监测中心测试万洁芬对NH</w:t>
      </w:r>
      <w:r>
        <w:rPr>
          <w:color w:val="auto"/>
          <w:sz w:val="24"/>
          <w:vertAlign w:val="subscript"/>
        </w:rPr>
        <w:t>3</w:t>
      </w:r>
      <w:r>
        <w:rPr>
          <w:color w:val="auto"/>
          <w:sz w:val="24"/>
        </w:rPr>
        <w:t>、H</w:t>
      </w:r>
      <w:r>
        <w:rPr>
          <w:color w:val="auto"/>
          <w:sz w:val="24"/>
          <w:vertAlign w:val="subscript"/>
        </w:rPr>
        <w:t>2</w:t>
      </w:r>
      <w:r>
        <w:rPr>
          <w:color w:val="auto"/>
          <w:sz w:val="24"/>
        </w:rPr>
        <w:t>S的去除效率分别为92.6%和89%。</w:t>
      </w:r>
    </w:p>
    <w:p>
      <w:pPr>
        <w:pStyle w:val="46"/>
        <w:adjustRightInd w:val="0"/>
        <w:snapToGrid w:val="0"/>
        <w:spacing w:line="360" w:lineRule="auto"/>
        <w:ind w:firstLine="480" w:firstLineChars="200"/>
        <w:rPr>
          <w:rFonts w:ascii="Times New Roman" w:hAnsi="Times New Roman"/>
          <w:color w:val="auto"/>
          <w:spacing w:val="-9"/>
          <w:sz w:val="24"/>
          <w:szCs w:val="24"/>
        </w:rPr>
      </w:pPr>
      <w:r>
        <w:rPr>
          <w:rFonts w:hint="eastAsia"/>
          <w:color w:val="auto"/>
          <w:sz w:val="24"/>
        </w:rPr>
        <w:t>③</w:t>
      </w:r>
      <w:r>
        <w:rPr>
          <w:rFonts w:ascii="Times New Roman" w:hAnsi="Times New Roman"/>
          <w:color w:val="auto"/>
          <w:spacing w:val="-9"/>
          <w:sz w:val="24"/>
          <w:szCs w:val="24"/>
        </w:rPr>
        <w:t>经过上述综合措施处理后，</w:t>
      </w:r>
      <w:r>
        <w:rPr>
          <w:rFonts w:ascii="Times New Roman" w:hAnsi="Times New Roman"/>
          <w:color w:val="auto"/>
          <w:sz w:val="24"/>
          <w:szCs w:val="24"/>
        </w:rPr>
        <w:t>NH</w:t>
      </w:r>
      <w:r>
        <w:rPr>
          <w:rFonts w:ascii="Times New Roman" w:hAnsi="Times New Roman"/>
          <w:color w:val="auto"/>
          <w:sz w:val="24"/>
          <w:szCs w:val="24"/>
          <w:vertAlign w:val="subscript"/>
        </w:rPr>
        <w:t>3</w:t>
      </w:r>
      <w:r>
        <w:rPr>
          <w:rFonts w:ascii="Times New Roman" w:hAnsi="Times New Roman"/>
          <w:color w:val="auto"/>
          <w:sz w:val="24"/>
          <w:szCs w:val="24"/>
        </w:rPr>
        <w:t>、H</w:t>
      </w:r>
      <w:r>
        <w:rPr>
          <w:rFonts w:ascii="Times New Roman" w:hAnsi="Times New Roman"/>
          <w:color w:val="auto"/>
          <w:sz w:val="24"/>
          <w:szCs w:val="24"/>
          <w:vertAlign w:val="subscript"/>
        </w:rPr>
        <w:t>2</w:t>
      </w:r>
      <w:r>
        <w:rPr>
          <w:rFonts w:ascii="Times New Roman" w:hAnsi="Times New Roman"/>
          <w:color w:val="auto"/>
          <w:sz w:val="24"/>
          <w:szCs w:val="24"/>
        </w:rPr>
        <w:t>S的去除效率分别</w:t>
      </w:r>
      <w:r>
        <w:rPr>
          <w:rFonts w:ascii="Times New Roman" w:hAnsi="Times New Roman"/>
          <w:color w:val="auto"/>
          <w:spacing w:val="-9"/>
          <w:sz w:val="24"/>
          <w:szCs w:val="24"/>
        </w:rPr>
        <w:t>为：</w:t>
      </w:r>
    </w:p>
    <w:p>
      <w:pPr>
        <w:pStyle w:val="46"/>
        <w:adjustRightInd w:val="0"/>
        <w:snapToGrid w:val="0"/>
        <w:spacing w:line="360" w:lineRule="auto"/>
        <w:ind w:firstLine="480" w:firstLineChars="200"/>
        <w:rPr>
          <w:rFonts w:ascii="Times New Roman" w:hAnsi="Times New Roman"/>
          <w:color w:val="auto"/>
          <w:spacing w:val="-9"/>
          <w:sz w:val="24"/>
          <w:szCs w:val="24"/>
          <w:u w:val="single"/>
        </w:rPr>
      </w:pPr>
      <w:r>
        <w:rPr>
          <w:rFonts w:ascii="Times New Roman" w:hAnsi="Times New Roman"/>
          <w:color w:val="auto"/>
          <w:sz w:val="24"/>
          <w:szCs w:val="24"/>
          <w:u w:val="single"/>
        </w:rPr>
        <w:t>NH</w:t>
      </w:r>
      <w:r>
        <w:rPr>
          <w:rFonts w:ascii="Times New Roman" w:hAnsi="Times New Roman"/>
          <w:color w:val="auto"/>
          <w:sz w:val="24"/>
          <w:szCs w:val="24"/>
          <w:u w:val="single"/>
          <w:vertAlign w:val="subscript"/>
        </w:rPr>
        <w:t>3</w:t>
      </w:r>
      <w:r>
        <w:rPr>
          <w:rFonts w:ascii="Times New Roman" w:hAnsi="Times New Roman"/>
          <w:color w:val="auto"/>
          <w:spacing w:val="-9"/>
          <w:sz w:val="24"/>
          <w:szCs w:val="24"/>
          <w:u w:val="single"/>
        </w:rPr>
        <w:t>：{1-（1×（1-55%）×（1-92.6%））}×100%=</w:t>
      </w:r>
      <w:r>
        <w:rPr>
          <w:rFonts w:hint="eastAsia" w:ascii="Times New Roman" w:hAnsi="Times New Roman"/>
          <w:color w:val="auto"/>
          <w:spacing w:val="-9"/>
          <w:sz w:val="24"/>
          <w:szCs w:val="24"/>
          <w:u w:val="single"/>
        </w:rPr>
        <w:t>96.67</w:t>
      </w:r>
      <w:r>
        <w:rPr>
          <w:rFonts w:ascii="Times New Roman" w:hAnsi="Times New Roman"/>
          <w:color w:val="auto"/>
          <w:spacing w:val="-9"/>
          <w:sz w:val="24"/>
          <w:szCs w:val="24"/>
          <w:u w:val="single"/>
        </w:rPr>
        <w:t>%。</w:t>
      </w:r>
    </w:p>
    <w:p>
      <w:pPr>
        <w:pStyle w:val="46"/>
        <w:adjustRightInd w:val="0"/>
        <w:snapToGrid w:val="0"/>
        <w:spacing w:line="360" w:lineRule="auto"/>
        <w:ind w:firstLine="480" w:firstLineChars="200"/>
        <w:rPr>
          <w:rFonts w:ascii="Times New Roman" w:hAnsi="Times New Roman"/>
          <w:color w:val="auto"/>
          <w:spacing w:val="-9"/>
          <w:sz w:val="24"/>
          <w:szCs w:val="24"/>
          <w:u w:val="single"/>
        </w:rPr>
      </w:pPr>
      <w:r>
        <w:rPr>
          <w:rFonts w:ascii="Times New Roman" w:hAnsi="Times New Roman"/>
          <w:color w:val="auto"/>
          <w:sz w:val="24"/>
          <w:szCs w:val="24"/>
          <w:u w:val="single"/>
        </w:rPr>
        <w:t>H</w:t>
      </w:r>
      <w:r>
        <w:rPr>
          <w:rFonts w:ascii="Times New Roman" w:hAnsi="Times New Roman"/>
          <w:color w:val="auto"/>
          <w:sz w:val="24"/>
          <w:szCs w:val="24"/>
          <w:u w:val="single"/>
          <w:vertAlign w:val="subscript"/>
        </w:rPr>
        <w:t>2</w:t>
      </w:r>
      <w:r>
        <w:rPr>
          <w:rFonts w:ascii="Times New Roman" w:hAnsi="Times New Roman"/>
          <w:color w:val="auto"/>
          <w:sz w:val="24"/>
          <w:szCs w:val="24"/>
          <w:u w:val="single"/>
        </w:rPr>
        <w:t>S：</w:t>
      </w:r>
      <w:r>
        <w:rPr>
          <w:rFonts w:ascii="Times New Roman" w:hAnsi="Times New Roman"/>
          <w:color w:val="auto"/>
          <w:spacing w:val="-9"/>
          <w:sz w:val="24"/>
          <w:szCs w:val="24"/>
          <w:u w:val="single"/>
        </w:rPr>
        <w:t>{1-（1×（1-55%）×（1-89%））}×100%=</w:t>
      </w:r>
      <w:r>
        <w:rPr>
          <w:rFonts w:hint="eastAsia" w:ascii="Times New Roman" w:hAnsi="Times New Roman"/>
          <w:color w:val="auto"/>
          <w:spacing w:val="-9"/>
          <w:sz w:val="24"/>
          <w:szCs w:val="24"/>
          <w:u w:val="single"/>
        </w:rPr>
        <w:t>95.05</w:t>
      </w:r>
      <w:r>
        <w:rPr>
          <w:rFonts w:ascii="Times New Roman" w:hAnsi="Times New Roman"/>
          <w:color w:val="auto"/>
          <w:spacing w:val="-9"/>
          <w:sz w:val="24"/>
          <w:szCs w:val="24"/>
          <w:u w:val="single"/>
        </w:rPr>
        <w:t>%。</w:t>
      </w:r>
    </w:p>
    <w:p>
      <w:pPr>
        <w:autoSpaceDE w:val="0"/>
        <w:autoSpaceDN w:val="0"/>
        <w:adjustRightInd w:val="0"/>
        <w:snapToGrid w:val="0"/>
        <w:spacing w:line="360" w:lineRule="auto"/>
        <w:ind w:firstLine="480" w:firstLineChars="200"/>
        <w:rPr>
          <w:rFonts w:ascii="Times New Roman"/>
          <w:color w:val="auto"/>
          <w:szCs w:val="24"/>
        </w:rPr>
      </w:pPr>
      <w:r>
        <w:rPr>
          <w:color w:val="auto"/>
          <w:kern w:val="0"/>
          <w:sz w:val="24"/>
        </w:rPr>
        <w:t>本次评价对NH</w:t>
      </w:r>
      <w:r>
        <w:rPr>
          <w:color w:val="auto"/>
          <w:kern w:val="0"/>
          <w:sz w:val="24"/>
          <w:vertAlign w:val="subscript"/>
        </w:rPr>
        <w:t>3</w:t>
      </w:r>
      <w:r>
        <w:rPr>
          <w:color w:val="auto"/>
          <w:kern w:val="0"/>
          <w:sz w:val="24"/>
        </w:rPr>
        <w:t>和H</w:t>
      </w:r>
      <w:r>
        <w:rPr>
          <w:color w:val="auto"/>
          <w:kern w:val="0"/>
          <w:sz w:val="24"/>
          <w:vertAlign w:val="subscript"/>
        </w:rPr>
        <w:t>2</w:t>
      </w:r>
      <w:r>
        <w:rPr>
          <w:color w:val="auto"/>
          <w:kern w:val="0"/>
          <w:sz w:val="24"/>
        </w:rPr>
        <w:t>S的去除效率取值</w:t>
      </w:r>
      <w:r>
        <w:rPr>
          <w:rFonts w:hint="eastAsia"/>
          <w:color w:val="auto"/>
          <w:sz w:val="24"/>
          <w:lang w:val="en-US" w:eastAsia="zh-CN"/>
        </w:rPr>
        <w:t>90</w:t>
      </w:r>
      <w:r>
        <w:rPr>
          <w:color w:val="auto"/>
          <w:sz w:val="24"/>
        </w:rPr>
        <w:t>%，</w:t>
      </w:r>
      <w:r>
        <w:rPr>
          <w:color w:val="auto"/>
          <w:kern w:val="0"/>
          <w:sz w:val="24"/>
        </w:rPr>
        <w:t>则项目建设完成后，牛舍</w:t>
      </w:r>
      <w:r>
        <w:rPr>
          <w:color w:val="auto"/>
          <w:sz w:val="24"/>
        </w:rPr>
        <w:t>NH</w:t>
      </w:r>
      <w:r>
        <w:rPr>
          <w:color w:val="auto"/>
          <w:sz w:val="24"/>
          <w:vertAlign w:val="subscript"/>
        </w:rPr>
        <w:t>3</w:t>
      </w:r>
      <w:r>
        <w:rPr>
          <w:color w:val="auto"/>
          <w:sz w:val="24"/>
        </w:rPr>
        <w:t>、H</w:t>
      </w:r>
      <w:r>
        <w:rPr>
          <w:color w:val="auto"/>
          <w:sz w:val="24"/>
          <w:vertAlign w:val="subscript"/>
        </w:rPr>
        <w:t>2</w:t>
      </w:r>
      <w:r>
        <w:rPr>
          <w:color w:val="auto"/>
          <w:sz w:val="24"/>
        </w:rPr>
        <w:t>S的排放量为</w:t>
      </w:r>
      <w:r>
        <w:rPr>
          <w:rFonts w:hint="eastAsia"/>
          <w:color w:val="auto"/>
          <w:sz w:val="24"/>
          <w:lang w:val="en-US" w:eastAsia="zh-CN"/>
        </w:rPr>
        <w:t>0.0284</w:t>
      </w:r>
      <w:r>
        <w:rPr>
          <w:color w:val="auto"/>
          <w:sz w:val="24"/>
        </w:rPr>
        <w:t>kg/</w:t>
      </w:r>
      <w:r>
        <w:rPr>
          <w:rFonts w:hint="eastAsia"/>
          <w:color w:val="auto"/>
          <w:sz w:val="24"/>
          <w:lang w:val="en-US" w:eastAsia="zh-CN"/>
        </w:rPr>
        <w:t>h</w:t>
      </w:r>
      <w:r>
        <w:rPr>
          <w:rFonts w:hint="eastAsia"/>
          <w:color w:val="auto"/>
          <w:sz w:val="24"/>
        </w:rPr>
        <w:t>（</w:t>
      </w:r>
      <w:r>
        <w:rPr>
          <w:rFonts w:hint="eastAsia"/>
          <w:color w:val="auto"/>
          <w:sz w:val="24"/>
          <w:lang w:val="en-US" w:eastAsia="zh-CN"/>
        </w:rPr>
        <w:t>0.249t</w:t>
      </w:r>
      <w:r>
        <w:rPr>
          <w:color w:val="auto"/>
          <w:sz w:val="24"/>
        </w:rPr>
        <w:t>/</w:t>
      </w:r>
      <w:r>
        <w:rPr>
          <w:rFonts w:hint="eastAsia"/>
          <w:color w:val="auto"/>
          <w:sz w:val="24"/>
          <w:lang w:val="en-US" w:eastAsia="zh-CN"/>
        </w:rPr>
        <w:t>a</w:t>
      </w:r>
      <w:r>
        <w:rPr>
          <w:rFonts w:hint="eastAsia"/>
          <w:color w:val="auto"/>
          <w:sz w:val="24"/>
        </w:rPr>
        <w:t>）</w:t>
      </w:r>
      <w:r>
        <w:rPr>
          <w:rFonts w:hint="eastAsia"/>
          <w:color w:val="auto"/>
          <w:sz w:val="24"/>
          <w:lang w:eastAsia="zh-CN"/>
        </w:rPr>
        <w:t>、</w:t>
      </w:r>
      <w:r>
        <w:rPr>
          <w:color w:val="auto"/>
          <w:sz w:val="24"/>
        </w:rPr>
        <w:t>0.0</w:t>
      </w:r>
      <w:r>
        <w:rPr>
          <w:rFonts w:hint="eastAsia"/>
          <w:color w:val="auto"/>
          <w:sz w:val="24"/>
          <w:lang w:val="en-US" w:eastAsia="zh-CN"/>
        </w:rPr>
        <w:t>0162</w:t>
      </w:r>
      <w:r>
        <w:rPr>
          <w:color w:val="auto"/>
          <w:sz w:val="24"/>
        </w:rPr>
        <w:t>kg/</w:t>
      </w:r>
      <w:r>
        <w:rPr>
          <w:rFonts w:hint="eastAsia"/>
          <w:color w:val="auto"/>
          <w:sz w:val="24"/>
          <w:lang w:val="en-US" w:eastAsia="zh-CN"/>
        </w:rPr>
        <w:t>h</w:t>
      </w:r>
      <w:r>
        <w:rPr>
          <w:rFonts w:hint="eastAsia"/>
          <w:color w:val="auto"/>
          <w:sz w:val="24"/>
        </w:rPr>
        <w:t>（</w:t>
      </w:r>
      <w:r>
        <w:rPr>
          <w:color w:val="auto"/>
          <w:sz w:val="24"/>
        </w:rPr>
        <w:t>0.0</w:t>
      </w:r>
      <w:r>
        <w:rPr>
          <w:rFonts w:hint="eastAsia"/>
          <w:color w:val="auto"/>
          <w:sz w:val="24"/>
          <w:lang w:val="en-US" w:eastAsia="zh-CN"/>
        </w:rPr>
        <w:t>142t</w:t>
      </w:r>
      <w:r>
        <w:rPr>
          <w:color w:val="auto"/>
          <w:sz w:val="24"/>
        </w:rPr>
        <w:t>/</w:t>
      </w:r>
      <w:r>
        <w:rPr>
          <w:rFonts w:hint="eastAsia"/>
          <w:color w:val="auto"/>
          <w:sz w:val="24"/>
          <w:lang w:val="en-US" w:eastAsia="zh-CN"/>
        </w:rPr>
        <w:t>a）</w:t>
      </w:r>
      <w:r>
        <w:rPr>
          <w:rFonts w:hint="eastAsia"/>
          <w:color w:val="auto"/>
          <w:sz w:val="24"/>
          <w:lang w:eastAsia="zh-CN"/>
        </w:rPr>
        <w:t>，</w:t>
      </w:r>
      <w:r>
        <w:rPr>
          <w:rFonts w:ascii="Times New Roman"/>
          <w:color w:val="auto"/>
          <w:sz w:val="24"/>
          <w:szCs w:val="32"/>
        </w:rPr>
        <w:t>无组织排放的NH</w:t>
      </w:r>
      <w:r>
        <w:rPr>
          <w:rFonts w:ascii="Times New Roman"/>
          <w:color w:val="auto"/>
          <w:sz w:val="24"/>
          <w:szCs w:val="32"/>
          <w:vertAlign w:val="subscript"/>
        </w:rPr>
        <w:t>3</w:t>
      </w:r>
      <w:r>
        <w:rPr>
          <w:rFonts w:ascii="Times New Roman"/>
          <w:color w:val="auto"/>
          <w:sz w:val="24"/>
          <w:szCs w:val="32"/>
        </w:rPr>
        <w:t>、H</w:t>
      </w:r>
      <w:r>
        <w:rPr>
          <w:rFonts w:ascii="Times New Roman"/>
          <w:color w:val="auto"/>
          <w:sz w:val="24"/>
          <w:szCs w:val="32"/>
          <w:vertAlign w:val="subscript"/>
        </w:rPr>
        <w:t>2</w:t>
      </w:r>
      <w:r>
        <w:rPr>
          <w:rFonts w:ascii="Times New Roman"/>
          <w:color w:val="auto"/>
          <w:sz w:val="24"/>
          <w:szCs w:val="32"/>
        </w:rPr>
        <w:t>S能够满足《恶臭污染物排放标准》（GB14554-93）二级排放标准。</w:t>
      </w:r>
    </w:p>
    <w:p>
      <w:pPr>
        <w:tabs>
          <w:tab w:val="left" w:pos="1220"/>
        </w:tabs>
        <w:spacing w:line="360" w:lineRule="auto"/>
        <w:ind w:firstLine="477" w:firstLineChars="198"/>
        <w:outlineLvl w:val="4"/>
        <w:rPr>
          <w:rFonts w:hint="eastAsia"/>
          <w:b/>
          <w:bCs w:val="0"/>
          <w:i w:val="0"/>
          <w:iCs w:val="0"/>
          <w:color w:val="auto"/>
          <w:sz w:val="24"/>
          <w:lang w:val="en-US" w:eastAsia="zh-CN"/>
        </w:rPr>
      </w:pPr>
      <w:r>
        <w:rPr>
          <w:rFonts w:hint="eastAsia"/>
          <w:b/>
          <w:bCs w:val="0"/>
          <w:i w:val="0"/>
          <w:iCs w:val="0"/>
          <w:color w:val="auto"/>
          <w:sz w:val="24"/>
          <w:lang w:val="en-US" w:eastAsia="zh-CN"/>
        </w:rPr>
        <w:t>（2）发酵床恶臭产排情况分析</w:t>
      </w:r>
    </w:p>
    <w:p>
      <w:pPr>
        <w:tabs>
          <w:tab w:val="left" w:pos="1220"/>
        </w:tabs>
        <w:spacing w:line="360" w:lineRule="auto"/>
        <w:ind w:firstLine="477" w:firstLineChars="198"/>
        <w:rPr>
          <w:rFonts w:ascii="Times New Roman" w:hAnsi="Times New Roman" w:cs="Times New Roman"/>
          <w:b/>
          <w:bCs/>
          <w:color w:val="auto"/>
          <w:sz w:val="24"/>
          <w:szCs w:val="24"/>
        </w:rPr>
      </w:pPr>
      <w:r>
        <w:rPr>
          <w:rFonts w:hint="eastAsia" w:cs="Times New Roman"/>
          <w:b/>
          <w:bCs/>
          <w:color w:val="auto"/>
          <w:sz w:val="24"/>
          <w:szCs w:val="24"/>
          <w:lang w:val="en-US" w:eastAsia="zh-CN"/>
        </w:rPr>
        <w:t>①</w:t>
      </w:r>
      <w:r>
        <w:rPr>
          <w:rFonts w:ascii="Times New Roman" w:hAnsi="Times New Roman" w:cs="Times New Roman"/>
          <w:b/>
          <w:bCs/>
          <w:color w:val="auto"/>
          <w:sz w:val="24"/>
          <w:szCs w:val="24"/>
        </w:rPr>
        <w:t>、废气产生量</w:t>
      </w:r>
    </w:p>
    <w:p>
      <w:pPr>
        <w:tabs>
          <w:tab w:val="left" w:pos="1220"/>
        </w:tabs>
        <w:spacing w:line="360" w:lineRule="auto"/>
        <w:ind w:firstLine="475" w:firstLineChars="198"/>
        <w:rPr>
          <w:rFonts w:hint="eastAsia" w:ascii="Times New Roman" w:hAnsi="Times New Roman" w:cs="Times New Roman"/>
          <w:bCs/>
          <w:color w:val="auto"/>
          <w:sz w:val="24"/>
          <w:szCs w:val="24"/>
        </w:rPr>
      </w:pPr>
      <w:r>
        <w:rPr>
          <w:rFonts w:hint="eastAsia" w:ascii="Times New Roman" w:hAnsi="Times New Roman" w:cs="Times New Roman"/>
          <w:bCs/>
          <w:color w:val="auto"/>
          <w:sz w:val="24"/>
          <w:szCs w:val="24"/>
        </w:rPr>
        <w:t>本项目发酵床用于处理运营期</w:t>
      </w:r>
      <w:r>
        <w:rPr>
          <w:rFonts w:hint="eastAsia" w:cs="Times New Roman"/>
          <w:bCs/>
          <w:color w:val="auto"/>
          <w:sz w:val="24"/>
          <w:szCs w:val="24"/>
          <w:lang w:val="en-US" w:eastAsia="zh-CN"/>
        </w:rPr>
        <w:t>牛</w:t>
      </w:r>
      <w:r>
        <w:rPr>
          <w:rFonts w:hint="eastAsia" w:ascii="Times New Roman" w:hAnsi="Times New Roman" w:cs="Times New Roman"/>
          <w:bCs/>
          <w:color w:val="auto"/>
          <w:sz w:val="24"/>
          <w:szCs w:val="24"/>
        </w:rPr>
        <w:t>粪尿。根据《牛粪发酵过程中的碳、氮、磷转化研究》（单德鑫，东北农业大学博士论文，2006）资料，</w:t>
      </w:r>
      <w:r>
        <w:rPr>
          <w:rFonts w:hint="eastAsia" w:ascii="Times New Roman" w:hAnsi="Times New Roman" w:cs="Times New Roman"/>
          <w:bCs/>
          <w:color w:val="auto"/>
          <w:sz w:val="24"/>
          <w:szCs w:val="24"/>
          <w:lang w:val="en-US" w:eastAsia="zh-CN"/>
        </w:rPr>
        <w:t>及</w:t>
      </w:r>
      <w:r>
        <w:rPr>
          <w:rFonts w:hint="eastAsia" w:ascii="Times New Roman" w:hAnsi="Times New Roman" w:cs="Times New Roman"/>
          <w:bCs/>
          <w:color w:val="auto"/>
          <w:sz w:val="24"/>
          <w:szCs w:val="24"/>
        </w:rPr>
        <w:t>《中国猪和奶牛粪尿氨挥发的评价研究》可知，堆放过程中每1000t粪</w:t>
      </w:r>
      <w:r>
        <w:rPr>
          <w:rFonts w:hint="eastAsia" w:ascii="Times New Roman" w:hAnsi="Times New Roman" w:cs="Times New Roman"/>
          <w:bCs/>
          <w:color w:val="auto"/>
          <w:sz w:val="24"/>
          <w:szCs w:val="24"/>
          <w:lang w:val="en-US" w:eastAsia="zh-CN"/>
        </w:rPr>
        <w:t>尿</w:t>
      </w:r>
      <w:r>
        <w:rPr>
          <w:rFonts w:hint="eastAsia" w:ascii="Times New Roman" w:hAnsi="Times New Roman" w:cs="Times New Roman"/>
          <w:bCs/>
          <w:color w:val="auto"/>
          <w:sz w:val="24"/>
          <w:szCs w:val="24"/>
        </w:rPr>
        <w:t>产生NH</w:t>
      </w:r>
      <w:r>
        <w:rPr>
          <w:rFonts w:hint="eastAsia" w:ascii="Times New Roman" w:hAnsi="Times New Roman" w:cs="Times New Roman"/>
          <w:bCs/>
          <w:color w:val="auto"/>
          <w:sz w:val="24"/>
          <w:szCs w:val="24"/>
          <w:vertAlign w:val="subscript"/>
        </w:rPr>
        <w:t>3</w:t>
      </w:r>
      <w:r>
        <w:rPr>
          <w:rFonts w:hint="eastAsia" w:ascii="Times New Roman" w:hAnsi="Times New Roman" w:cs="Times New Roman"/>
          <w:bCs/>
          <w:color w:val="auto"/>
          <w:sz w:val="24"/>
          <w:szCs w:val="24"/>
        </w:rPr>
        <w:t>按0.5kg计，产生H</w:t>
      </w:r>
      <w:r>
        <w:rPr>
          <w:rFonts w:hint="eastAsia" w:ascii="Times New Roman" w:hAnsi="Times New Roman" w:cs="Times New Roman"/>
          <w:bCs/>
          <w:color w:val="auto"/>
          <w:sz w:val="24"/>
          <w:szCs w:val="24"/>
          <w:vertAlign w:val="subscript"/>
        </w:rPr>
        <w:t>2</w:t>
      </w:r>
      <w:r>
        <w:rPr>
          <w:rFonts w:hint="eastAsia" w:ascii="Times New Roman" w:hAnsi="Times New Roman" w:cs="Times New Roman"/>
          <w:bCs/>
          <w:color w:val="auto"/>
          <w:sz w:val="24"/>
          <w:szCs w:val="24"/>
        </w:rPr>
        <w:t>S按0.1kg计，本项目</w:t>
      </w:r>
      <w:r>
        <w:rPr>
          <w:rFonts w:hint="eastAsia" w:ascii="Times New Roman" w:hAnsi="Times New Roman" w:cs="Times New Roman"/>
          <w:bCs/>
          <w:color w:val="auto"/>
          <w:sz w:val="24"/>
          <w:szCs w:val="24"/>
          <w:lang w:val="en-US" w:eastAsia="zh-CN"/>
        </w:rPr>
        <w:t>牛</w:t>
      </w:r>
      <w:r>
        <w:rPr>
          <w:rFonts w:hint="eastAsia" w:ascii="Times New Roman" w:hAnsi="Times New Roman" w:cs="Times New Roman"/>
          <w:bCs/>
          <w:color w:val="auto"/>
          <w:sz w:val="24"/>
          <w:szCs w:val="24"/>
        </w:rPr>
        <w:t>粪尿产生量为共计</w:t>
      </w:r>
      <w:r>
        <w:rPr>
          <w:rFonts w:hint="eastAsia" w:ascii="Times New Roman" w:hAnsi="Times New Roman" w:cs="Times New Roman"/>
          <w:bCs/>
          <w:color w:val="auto"/>
          <w:sz w:val="24"/>
          <w:szCs w:val="24"/>
          <w:lang w:val="en-US" w:eastAsia="zh-CN"/>
        </w:rPr>
        <w:t>203.25t/d（74186.25</w:t>
      </w:r>
      <w:r>
        <w:rPr>
          <w:rFonts w:hint="eastAsia" w:ascii="Times New Roman" w:hAnsi="Times New Roman" w:cs="Times New Roman"/>
          <w:bCs/>
          <w:color w:val="auto"/>
          <w:sz w:val="24"/>
          <w:szCs w:val="24"/>
        </w:rPr>
        <w:t>t/a</w:t>
      </w:r>
      <w:r>
        <w:rPr>
          <w:rFonts w:hint="eastAsia" w:ascii="Times New Roman" w:hAnsi="Times New Roman" w:cs="Times New Roman"/>
          <w:bCs/>
          <w:color w:val="auto"/>
          <w:sz w:val="24"/>
          <w:szCs w:val="24"/>
          <w:lang w:val="en-US" w:eastAsia="zh-CN"/>
        </w:rPr>
        <w:t>）</w:t>
      </w: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rPr>
        <w:t>因此</w:t>
      </w:r>
      <w:r>
        <w:rPr>
          <w:rFonts w:hint="eastAsia" w:ascii="Times New Roman" w:hAnsi="Times New Roman" w:cs="Times New Roman"/>
          <w:bCs/>
          <w:color w:val="auto"/>
          <w:sz w:val="24"/>
          <w:szCs w:val="24"/>
          <w:lang w:val="en-US" w:eastAsia="zh-CN"/>
        </w:rPr>
        <w:t>发酵床</w:t>
      </w:r>
      <w:r>
        <w:rPr>
          <w:rFonts w:hint="eastAsia" w:ascii="Times New Roman" w:hAnsi="Times New Roman" w:cs="Times New Roman"/>
          <w:bCs/>
          <w:color w:val="auto"/>
          <w:sz w:val="24"/>
          <w:szCs w:val="24"/>
        </w:rPr>
        <w:t>NH</w:t>
      </w:r>
      <w:r>
        <w:rPr>
          <w:rFonts w:hint="eastAsia" w:ascii="Times New Roman" w:hAnsi="Times New Roman" w:cs="Times New Roman"/>
          <w:bCs/>
          <w:color w:val="auto"/>
          <w:sz w:val="24"/>
          <w:szCs w:val="24"/>
          <w:vertAlign w:val="subscript"/>
        </w:rPr>
        <w:t>3</w:t>
      </w:r>
      <w:r>
        <w:rPr>
          <w:rFonts w:hint="eastAsia" w:ascii="Times New Roman" w:hAnsi="Times New Roman" w:cs="Times New Roman"/>
          <w:bCs/>
          <w:color w:val="auto"/>
          <w:sz w:val="24"/>
          <w:szCs w:val="24"/>
        </w:rPr>
        <w:t>产生量为0.0</w:t>
      </w:r>
      <w:r>
        <w:rPr>
          <w:rFonts w:hint="eastAsia" w:cs="Times New Roman"/>
          <w:bCs/>
          <w:color w:val="auto"/>
          <w:sz w:val="24"/>
          <w:szCs w:val="24"/>
          <w:lang w:val="en-US" w:eastAsia="zh-CN"/>
        </w:rPr>
        <w:t>37</w:t>
      </w:r>
      <w:r>
        <w:rPr>
          <w:rFonts w:hint="eastAsia" w:ascii="Times New Roman" w:hAnsi="Times New Roman" w:cs="Times New Roman"/>
          <w:bCs/>
          <w:color w:val="auto"/>
          <w:sz w:val="24"/>
          <w:szCs w:val="24"/>
        </w:rPr>
        <w:t>t/a，H</w:t>
      </w:r>
      <w:r>
        <w:rPr>
          <w:rFonts w:hint="eastAsia" w:ascii="Times New Roman" w:hAnsi="Times New Roman" w:cs="Times New Roman"/>
          <w:bCs/>
          <w:color w:val="auto"/>
          <w:sz w:val="24"/>
          <w:szCs w:val="24"/>
          <w:vertAlign w:val="subscript"/>
        </w:rPr>
        <w:t>2</w:t>
      </w:r>
      <w:r>
        <w:rPr>
          <w:rFonts w:hint="eastAsia" w:ascii="Times New Roman" w:hAnsi="Times New Roman" w:cs="Times New Roman"/>
          <w:bCs/>
          <w:color w:val="auto"/>
          <w:sz w:val="24"/>
          <w:szCs w:val="24"/>
        </w:rPr>
        <w:t>S产生量为0.00</w:t>
      </w:r>
      <w:r>
        <w:rPr>
          <w:rFonts w:hint="eastAsia" w:cs="Times New Roman"/>
          <w:bCs/>
          <w:color w:val="auto"/>
          <w:sz w:val="24"/>
          <w:szCs w:val="24"/>
          <w:lang w:val="en-US" w:eastAsia="zh-CN"/>
        </w:rPr>
        <w:t>74</w:t>
      </w:r>
      <w:r>
        <w:rPr>
          <w:rFonts w:hint="eastAsia" w:ascii="Times New Roman" w:hAnsi="Times New Roman" w:cs="Times New Roman"/>
          <w:bCs/>
          <w:color w:val="auto"/>
          <w:sz w:val="24"/>
          <w:szCs w:val="24"/>
        </w:rPr>
        <w:t>t/a。</w:t>
      </w:r>
    </w:p>
    <w:p>
      <w:pPr>
        <w:tabs>
          <w:tab w:val="left" w:pos="1220"/>
        </w:tabs>
        <w:spacing w:line="360" w:lineRule="auto"/>
        <w:ind w:firstLine="475" w:firstLineChars="198"/>
        <w:rPr>
          <w:rFonts w:ascii="Times New Roman" w:hAnsi="Times New Roman" w:cs="Times New Roman"/>
          <w:bCs/>
          <w:color w:val="auto"/>
          <w:sz w:val="24"/>
          <w:szCs w:val="24"/>
        </w:rPr>
      </w:pPr>
      <w:r>
        <w:rPr>
          <w:rFonts w:hint="eastAsia" w:ascii="Times New Roman" w:hAnsi="Times New Roman" w:cs="Times New Roman"/>
          <w:bCs/>
          <w:color w:val="auto"/>
          <w:sz w:val="24"/>
          <w:szCs w:val="24"/>
        </w:rPr>
        <w:t>本次，定时喷洒除臭剂，去除率按90%计。发酵床恶臭气体产排情况见下表</w:t>
      </w:r>
      <w:r>
        <w:rPr>
          <w:rFonts w:ascii="Times New Roman" w:hAnsi="Times New Roman" w:cs="Times New Roman"/>
          <w:bCs/>
          <w:color w:val="auto"/>
          <w:sz w:val="24"/>
          <w:szCs w:val="24"/>
        </w:rPr>
        <w:t>。</w:t>
      </w:r>
    </w:p>
    <w:p>
      <w:pPr>
        <w:tabs>
          <w:tab w:val="left" w:pos="1220"/>
        </w:tabs>
        <w:spacing w:line="360" w:lineRule="auto"/>
        <w:ind w:firstLine="477" w:firstLineChars="198"/>
        <w:rPr>
          <w:rFonts w:ascii="Times New Roman" w:hAnsi="Times New Roman" w:eastAsia="宋体" w:cs="Times New Roman"/>
          <w:b/>
          <w:color w:val="auto"/>
          <w:sz w:val="24"/>
        </w:rPr>
      </w:pPr>
      <w:r>
        <w:rPr>
          <w:rFonts w:hint="eastAsia" w:cs="Times New Roman"/>
          <w:b/>
          <w:color w:val="auto"/>
          <w:sz w:val="24"/>
          <w:lang w:val="en-US" w:eastAsia="zh-CN"/>
        </w:rPr>
        <w:t>②</w:t>
      </w:r>
      <w:r>
        <w:rPr>
          <w:rFonts w:ascii="Times New Roman" w:hAnsi="Times New Roman" w:eastAsia="宋体" w:cs="Times New Roman"/>
          <w:b/>
          <w:color w:val="auto"/>
          <w:sz w:val="24"/>
        </w:rPr>
        <w:t>、治理措施</w:t>
      </w:r>
    </w:p>
    <w:p>
      <w:pPr>
        <w:tabs>
          <w:tab w:val="left" w:pos="1220"/>
        </w:tabs>
        <w:spacing w:line="360" w:lineRule="auto"/>
        <w:ind w:firstLine="475" w:firstLineChars="198"/>
        <w:rPr>
          <w:rFonts w:hint="eastAsia" w:eastAsia="宋体" w:cs="Times New Roman"/>
          <w:b/>
          <w:color w:val="auto"/>
          <w:sz w:val="24"/>
          <w:lang w:val="en-US" w:eastAsia="zh-CN"/>
        </w:rPr>
      </w:pPr>
      <w:r>
        <w:rPr>
          <w:rFonts w:hint="eastAsia" w:ascii="Times New Roman" w:hAnsi="Times New Roman" w:cs="Times New Roman"/>
          <w:bCs/>
          <w:color w:val="auto"/>
          <w:sz w:val="24"/>
          <w:szCs w:val="24"/>
        </w:rPr>
        <w:t>本次发酵床</w:t>
      </w:r>
      <w:r>
        <w:rPr>
          <w:rFonts w:hint="eastAsia" w:ascii="Times New Roman" w:hAnsi="Times New Roman" w:cs="Times New Roman"/>
          <w:bCs/>
          <w:color w:val="auto"/>
          <w:sz w:val="24"/>
          <w:szCs w:val="24"/>
          <w:lang w:val="en-US" w:eastAsia="zh-CN"/>
        </w:rPr>
        <w:t>周边</w:t>
      </w:r>
      <w:r>
        <w:rPr>
          <w:rFonts w:hint="eastAsia" w:ascii="Times New Roman" w:hAnsi="Times New Roman" w:cs="Times New Roman"/>
          <w:bCs/>
          <w:color w:val="auto"/>
          <w:sz w:val="24"/>
          <w:szCs w:val="24"/>
        </w:rPr>
        <w:t>定时喷洒除臭剂，同时加强周边绿化，去除率按90%计。发酵床恶臭气体产排情况见下表</w:t>
      </w:r>
      <w:r>
        <w:rPr>
          <w:rFonts w:hint="eastAsia" w:ascii="Times New Roman" w:hAnsi="Times New Roman" w:cs="Times New Roman"/>
          <w:bCs/>
          <w:color w:val="auto"/>
          <w:sz w:val="24"/>
          <w:szCs w:val="24"/>
          <w:lang w:eastAsia="zh-CN"/>
        </w:rPr>
        <w:t>。</w:t>
      </w:r>
    </w:p>
    <w:p>
      <w:pPr>
        <w:ind w:firstLine="420" w:firstLineChars="200"/>
        <w:jc w:val="center"/>
        <w:rPr>
          <w:rFonts w:eastAsia="黑体"/>
          <w:color w:val="auto"/>
        </w:rPr>
      </w:pPr>
      <w:r>
        <w:rPr>
          <w:rFonts w:hint="eastAsia" w:eastAsia="黑体"/>
          <w:color w:val="auto"/>
          <w:lang w:val="en-US" w:eastAsia="zh-CN"/>
        </w:rPr>
        <w:t>表3.5-2  发酵床</w:t>
      </w:r>
      <w:r>
        <w:rPr>
          <w:rFonts w:eastAsia="黑体"/>
          <w:color w:val="auto"/>
        </w:rPr>
        <w:t>恶臭气体排放情况一览表</w:t>
      </w:r>
    </w:p>
    <w:tbl>
      <w:tblPr>
        <w:tblStyle w:val="89"/>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83"/>
        <w:gridCol w:w="770"/>
        <w:gridCol w:w="1120"/>
        <w:gridCol w:w="1163"/>
        <w:gridCol w:w="1952"/>
        <w:gridCol w:w="1149"/>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 w:hRule="atLeast"/>
        </w:trPr>
        <w:tc>
          <w:tcPr>
            <w:tcW w:w="1283" w:type="dxa"/>
            <w:vMerge w:val="restart"/>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污染源</w:t>
            </w:r>
          </w:p>
        </w:tc>
        <w:tc>
          <w:tcPr>
            <w:tcW w:w="770" w:type="dxa"/>
            <w:vMerge w:val="restar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污染物</w:t>
            </w:r>
          </w:p>
        </w:tc>
        <w:tc>
          <w:tcPr>
            <w:tcW w:w="2283" w:type="dxa"/>
            <w:gridSpan w:val="2"/>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产生情况</w:t>
            </w:r>
          </w:p>
        </w:tc>
        <w:tc>
          <w:tcPr>
            <w:tcW w:w="1952" w:type="dxa"/>
            <w:vMerge w:val="restart"/>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处理措施</w:t>
            </w:r>
          </w:p>
        </w:tc>
        <w:tc>
          <w:tcPr>
            <w:tcW w:w="2350" w:type="dxa"/>
            <w:gridSpan w:val="2"/>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eastAsia" w:cs="Times New Roman"/>
                <w:b/>
                <w:color w:val="auto"/>
                <w:kern w:val="0"/>
                <w:lang w:val="en-US" w:eastAsia="zh-CN"/>
              </w:rPr>
              <w:t>无组织</w:t>
            </w:r>
            <w:r>
              <w:rPr>
                <w:rFonts w:hint="default" w:ascii="Times New Roman" w:hAnsi="Times New Roman" w:eastAsia="宋体" w:cs="Times New Roman"/>
                <w:b/>
                <w:color w:val="auto"/>
                <w:kern w:val="0"/>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trPr>
        <w:tc>
          <w:tcPr>
            <w:tcW w:w="1283" w:type="dxa"/>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p>
        </w:tc>
        <w:tc>
          <w:tcPr>
            <w:tcW w:w="770" w:type="dxa"/>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p>
        </w:tc>
        <w:tc>
          <w:tcPr>
            <w:tcW w:w="112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产生量</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t/a</w:t>
            </w:r>
          </w:p>
        </w:tc>
        <w:tc>
          <w:tcPr>
            <w:tcW w:w="1163"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产生速率</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kg/h</w:t>
            </w:r>
          </w:p>
        </w:tc>
        <w:tc>
          <w:tcPr>
            <w:tcW w:w="1952" w:type="dxa"/>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p>
        </w:tc>
        <w:tc>
          <w:tcPr>
            <w:tcW w:w="114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排放量t/a</w:t>
            </w:r>
          </w:p>
        </w:tc>
        <w:tc>
          <w:tcPr>
            <w:tcW w:w="1201"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 w:hRule="atLeast"/>
        </w:trPr>
        <w:tc>
          <w:tcPr>
            <w:tcW w:w="1283" w:type="dxa"/>
            <w:vMerge w:val="restart"/>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发酵床</w:t>
            </w:r>
          </w:p>
        </w:tc>
        <w:tc>
          <w:tcPr>
            <w:tcW w:w="7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1120"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0.037</w:t>
            </w:r>
          </w:p>
        </w:tc>
        <w:tc>
          <w:tcPr>
            <w:tcW w:w="1163"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0.0042</w:t>
            </w:r>
          </w:p>
        </w:tc>
        <w:tc>
          <w:tcPr>
            <w:tcW w:w="1952" w:type="dxa"/>
            <w:vMerge w:val="restart"/>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bCs/>
                <w:color w:val="auto"/>
                <w:sz w:val="21"/>
                <w:szCs w:val="21"/>
              </w:rPr>
              <w:t>发酵床</w:t>
            </w:r>
            <w:r>
              <w:rPr>
                <w:rFonts w:hint="eastAsia" w:ascii="Times New Roman" w:hAnsi="Times New Roman" w:cs="Times New Roman"/>
                <w:bCs/>
                <w:color w:val="auto"/>
                <w:sz w:val="21"/>
                <w:szCs w:val="21"/>
                <w:lang w:val="en-US" w:eastAsia="zh-CN"/>
              </w:rPr>
              <w:t>周边</w:t>
            </w:r>
            <w:r>
              <w:rPr>
                <w:rFonts w:hint="eastAsia" w:ascii="Times New Roman" w:hAnsi="Times New Roman" w:cs="Times New Roman"/>
                <w:bCs/>
                <w:color w:val="auto"/>
                <w:sz w:val="21"/>
                <w:szCs w:val="21"/>
              </w:rPr>
              <w:t>定时喷洒除臭剂，同时加强周边绿化，去除率按90%计</w:t>
            </w:r>
          </w:p>
        </w:tc>
        <w:tc>
          <w:tcPr>
            <w:tcW w:w="1149"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w:t>
            </w:r>
            <w:r>
              <w:rPr>
                <w:rFonts w:hint="eastAsia" w:cs="Times New Roman"/>
                <w:color w:val="auto"/>
                <w:lang w:val="en-US" w:eastAsia="zh-CN"/>
              </w:rPr>
              <w:t>037</w:t>
            </w:r>
          </w:p>
        </w:tc>
        <w:tc>
          <w:tcPr>
            <w:tcW w:w="1201"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0.00</w:t>
            </w:r>
            <w:r>
              <w:rPr>
                <w:rFonts w:hint="eastAsia" w:cs="Times New Roman"/>
                <w:color w:val="auto"/>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0" w:hRule="atLeast"/>
        </w:trPr>
        <w:tc>
          <w:tcPr>
            <w:tcW w:w="1283" w:type="dxa"/>
            <w:vMerge w:val="continue"/>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77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1120"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0.00</w:t>
            </w:r>
            <w:r>
              <w:rPr>
                <w:rFonts w:hint="eastAsia" w:cs="Times New Roman"/>
                <w:color w:val="auto"/>
                <w:lang w:val="en-US" w:eastAsia="zh-CN"/>
              </w:rPr>
              <w:t>74</w:t>
            </w:r>
          </w:p>
        </w:tc>
        <w:tc>
          <w:tcPr>
            <w:tcW w:w="1163"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0.0008</w:t>
            </w:r>
          </w:p>
        </w:tc>
        <w:tc>
          <w:tcPr>
            <w:tcW w:w="1952" w:type="dxa"/>
            <w:vMerge w:val="continue"/>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149" w:type="dxa"/>
            <w:shd w:val="clear" w:color="auto" w:fill="auto"/>
            <w:noWrap/>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0.0</w:t>
            </w:r>
            <w:r>
              <w:rPr>
                <w:rFonts w:hint="eastAsia" w:ascii="Times New Roman" w:hAnsi="Times New Roman" w:cs="Times New Roman"/>
                <w:color w:val="auto"/>
                <w:lang w:val="en-US" w:eastAsia="zh-CN"/>
              </w:rPr>
              <w:t>0</w:t>
            </w:r>
            <w:r>
              <w:rPr>
                <w:rFonts w:hint="eastAsia" w:cs="Times New Roman"/>
                <w:color w:val="auto"/>
                <w:lang w:val="en-US" w:eastAsia="zh-CN"/>
              </w:rPr>
              <w:t>074</w:t>
            </w:r>
          </w:p>
        </w:tc>
        <w:tc>
          <w:tcPr>
            <w:tcW w:w="1201" w:type="dxa"/>
            <w:shd w:val="clear" w:color="auto" w:fill="auto"/>
            <w:noWrap/>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0.0</w:t>
            </w:r>
            <w:r>
              <w:rPr>
                <w:rFonts w:hint="eastAsia" w:ascii="Times New Roman" w:hAnsi="Times New Roman" w:cs="Times New Roman"/>
                <w:color w:val="auto"/>
                <w:lang w:val="en-US" w:eastAsia="zh-CN"/>
              </w:rPr>
              <w:t>0</w:t>
            </w:r>
            <w:r>
              <w:rPr>
                <w:rFonts w:hint="eastAsia" w:cs="Times New Roman"/>
                <w:color w:val="auto"/>
                <w:lang w:val="en-US" w:eastAsia="zh-CN"/>
              </w:rPr>
              <w:t>0</w:t>
            </w:r>
            <w:r>
              <w:rPr>
                <w:rFonts w:hint="eastAsia" w:ascii="Times New Roman" w:hAnsi="Times New Roman" w:cs="Times New Roman"/>
                <w:color w:val="auto"/>
                <w:lang w:val="en-US" w:eastAsia="zh-CN"/>
              </w:rPr>
              <w:t>0</w:t>
            </w:r>
            <w:r>
              <w:rPr>
                <w:rFonts w:hint="eastAsia" w:cs="Times New Roman"/>
                <w:color w:val="auto"/>
                <w:lang w:val="en-US" w:eastAsia="zh-CN"/>
              </w:rPr>
              <w:t>8</w:t>
            </w:r>
          </w:p>
        </w:tc>
      </w:tr>
    </w:tbl>
    <w:p>
      <w:pPr>
        <w:spacing w:line="360" w:lineRule="auto"/>
        <w:ind w:firstLine="482" w:firstLineChars="200"/>
        <w:outlineLvl w:val="4"/>
        <w:rPr>
          <w:b/>
          <w:bCs/>
          <w:color w:val="auto"/>
          <w:sz w:val="24"/>
        </w:rPr>
      </w:pPr>
      <w:r>
        <w:rPr>
          <w:rFonts w:hint="eastAsia"/>
          <w:b/>
          <w:bCs/>
          <w:color w:val="auto"/>
          <w:sz w:val="24"/>
          <w:lang w:eastAsia="zh-CN"/>
        </w:rPr>
        <w:t>（</w:t>
      </w:r>
      <w:r>
        <w:rPr>
          <w:rFonts w:hint="eastAsia"/>
          <w:b/>
          <w:bCs/>
          <w:color w:val="auto"/>
          <w:sz w:val="24"/>
          <w:lang w:val="en-US" w:eastAsia="zh-CN"/>
        </w:rPr>
        <w:t>3</w:t>
      </w:r>
      <w:r>
        <w:rPr>
          <w:rFonts w:hint="eastAsia"/>
          <w:b/>
          <w:bCs/>
          <w:color w:val="auto"/>
          <w:sz w:val="24"/>
          <w:lang w:eastAsia="zh-CN"/>
        </w:rPr>
        <w:t>）</w:t>
      </w:r>
      <w:r>
        <w:rPr>
          <w:rFonts w:hint="eastAsia"/>
          <w:b/>
          <w:bCs/>
          <w:color w:val="auto"/>
          <w:sz w:val="24"/>
        </w:rPr>
        <w:t>食堂油烟</w:t>
      </w:r>
    </w:p>
    <w:p>
      <w:pPr>
        <w:pStyle w:val="1255"/>
        <w:tabs>
          <w:tab w:val="left" w:pos="2127"/>
        </w:tabs>
        <w:spacing w:line="360" w:lineRule="auto"/>
        <w:ind w:firstLine="480"/>
        <w:rPr>
          <w:rFonts w:hint="eastAsia"/>
          <w:color w:val="auto"/>
        </w:rPr>
      </w:pPr>
      <w:r>
        <w:rPr>
          <w:rFonts w:hint="eastAsia"/>
          <w:color w:val="auto"/>
        </w:rPr>
        <w:t>本项目食堂提供职工一日三餐，高峰期就餐人数最大为</w:t>
      </w:r>
      <w:r>
        <w:rPr>
          <w:rFonts w:hint="eastAsia"/>
          <w:color w:val="auto"/>
          <w:lang w:val="en-US" w:eastAsia="zh-CN"/>
        </w:rPr>
        <w:t>20</w:t>
      </w:r>
      <w:r>
        <w:rPr>
          <w:rFonts w:hint="eastAsia"/>
          <w:color w:val="auto"/>
        </w:rPr>
        <w:t>人。</w:t>
      </w:r>
    </w:p>
    <w:p>
      <w:pPr>
        <w:pStyle w:val="28"/>
        <w:spacing w:before="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本项目设置食堂就餐人数</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人，食堂运行时间6h/d，食堂采用天然气，营运后将有油烟废气产生。一般食堂的食用油耗油系数为</w:t>
      </w:r>
      <w:r>
        <w:rPr>
          <w:rFonts w:hint="eastAsia"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rPr>
        <w:t>g/人·d，根据该食堂规模可计算出其一天的食用油的用量约为</w:t>
      </w:r>
      <w:r>
        <w:rPr>
          <w:rFonts w:hint="eastAsia" w:ascii="Times New Roman" w:hAnsi="Times New Roman" w:eastAsia="宋体" w:cs="Times New Roman"/>
          <w:color w:val="auto"/>
          <w:sz w:val="24"/>
          <w:lang w:val="en-US" w:eastAsia="zh-CN"/>
        </w:rPr>
        <w:t>0.5</w:t>
      </w:r>
      <w:r>
        <w:rPr>
          <w:rFonts w:hint="default" w:ascii="Times New Roman" w:hAnsi="Times New Roman" w:eastAsia="宋体" w:cs="Times New Roman"/>
          <w:color w:val="auto"/>
          <w:sz w:val="24"/>
        </w:rPr>
        <w:t>kg/d（</w:t>
      </w:r>
      <w:r>
        <w:rPr>
          <w:rFonts w:hint="eastAsia" w:ascii="Times New Roman" w:hAnsi="Times New Roman" w:eastAsia="宋体" w:cs="Times New Roman"/>
          <w:color w:val="auto"/>
          <w:sz w:val="24"/>
          <w:lang w:val="en-US" w:eastAsia="zh-CN"/>
        </w:rPr>
        <w:t>182.5</w:t>
      </w:r>
      <w:r>
        <w:rPr>
          <w:rFonts w:hint="default" w:ascii="Times New Roman" w:hAnsi="Times New Roman" w:eastAsia="宋体" w:cs="Times New Roman"/>
          <w:color w:val="auto"/>
          <w:sz w:val="24"/>
        </w:rPr>
        <w:t>kg/a），一般油烟和油的挥发量占总耗油量的2％～4％之间，取其均值3％，则油烟的产生量约为0.</w:t>
      </w:r>
      <w:r>
        <w:rPr>
          <w:rFonts w:hint="eastAsia" w:ascii="Times New Roman" w:hAnsi="Times New Roman" w:eastAsia="宋体" w:cs="Times New Roman"/>
          <w:color w:val="auto"/>
          <w:sz w:val="24"/>
          <w:lang w:val="en-US" w:eastAsia="zh-CN"/>
        </w:rPr>
        <w:t>015</w:t>
      </w:r>
      <w:r>
        <w:rPr>
          <w:rFonts w:hint="default" w:ascii="Times New Roman" w:hAnsi="Times New Roman" w:eastAsia="宋体" w:cs="Times New Roman"/>
          <w:color w:val="auto"/>
          <w:sz w:val="24"/>
        </w:rPr>
        <w:t>kg/d。</w:t>
      </w:r>
    </w:p>
    <w:p>
      <w:pPr>
        <w:pStyle w:val="28"/>
        <w:spacing w:before="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环评要求项目产生的油烟需采用经国家环保部认证名录认可的油烟净化装置进行处理，处理效率一般可达80%以上，本次环评取最低值80%。本项目食堂设置</w:t>
      </w:r>
      <w:r>
        <w:rPr>
          <w:rStyle w:val="146"/>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sz w:val="24"/>
        </w:rPr>
        <w:t>个油烟净化器</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实际有效处理风量为</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/h，则排放浓度约为</w:t>
      </w:r>
      <w:r>
        <w:rPr>
          <w:rFonts w:hint="eastAsia" w:ascii="Times New Roman" w:hAnsi="Times New Roman" w:eastAsia="宋体" w:cs="Times New Roman"/>
          <w:color w:val="auto"/>
          <w:sz w:val="24"/>
          <w:lang w:val="en-US" w:eastAsia="zh-CN"/>
        </w:rPr>
        <w:t>0.33</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rPr>
        <w:t>处理后油烟排放的浓度能达到《饮食业油烟排放标准》(GB18483-2001) 小型规模标准。</w:t>
      </w:r>
    </w:p>
    <w:p>
      <w:pPr>
        <w:spacing w:line="360" w:lineRule="auto"/>
        <w:ind w:firstLine="482" w:firstLineChars="200"/>
        <w:outlineLvl w:val="4"/>
        <w:rPr>
          <w:b/>
          <w:bCs/>
          <w:color w:val="auto"/>
          <w:sz w:val="24"/>
        </w:rPr>
      </w:pPr>
      <w:r>
        <w:rPr>
          <w:rFonts w:hint="eastAsia"/>
          <w:b/>
          <w:bCs/>
          <w:color w:val="auto"/>
          <w:sz w:val="24"/>
          <w:lang w:val="en-US" w:eastAsia="zh-CN"/>
        </w:rPr>
        <w:t>（4）</w:t>
      </w:r>
      <w:r>
        <w:rPr>
          <w:rFonts w:hint="eastAsia"/>
          <w:b/>
          <w:bCs/>
          <w:color w:val="auto"/>
          <w:sz w:val="24"/>
        </w:rPr>
        <w:t>发电机废气</w:t>
      </w:r>
    </w:p>
    <w:p>
      <w:pPr>
        <w:pStyle w:val="1255"/>
        <w:tabs>
          <w:tab w:val="left" w:pos="2127"/>
        </w:tabs>
        <w:spacing w:line="360" w:lineRule="auto"/>
        <w:ind w:firstLine="480"/>
        <w:rPr>
          <w:color w:val="auto"/>
        </w:rPr>
      </w:pPr>
      <w:r>
        <w:rPr>
          <w:rFonts w:hint="eastAsia"/>
          <w:color w:val="auto"/>
        </w:rPr>
        <w:t>本项目拟设置</w:t>
      </w:r>
      <w:r>
        <w:rPr>
          <w:color w:val="auto"/>
        </w:rPr>
        <w:t>1</w:t>
      </w:r>
      <w:r>
        <w:rPr>
          <w:rFonts w:hint="eastAsia"/>
          <w:color w:val="auto"/>
        </w:rPr>
        <w:t>台应急柴油发电机，用于整个</w:t>
      </w:r>
      <w:r>
        <w:rPr>
          <w:rFonts w:hint="eastAsia"/>
          <w:color w:val="auto"/>
          <w:lang w:eastAsia="zh-CN"/>
        </w:rPr>
        <w:t>牛</w:t>
      </w:r>
      <w:r>
        <w:rPr>
          <w:rFonts w:hint="eastAsia"/>
          <w:color w:val="auto"/>
        </w:rPr>
        <w:t>场发电，</w:t>
      </w:r>
      <w:r>
        <w:rPr>
          <w:color w:val="auto"/>
        </w:rPr>
        <w:t>320kw</w:t>
      </w:r>
      <w:r>
        <w:rPr>
          <w:rFonts w:hint="eastAsia"/>
          <w:color w:val="auto"/>
        </w:rPr>
        <w:t>，位于配电室旁，并设置于专用机房内，市电停电时</w:t>
      </w:r>
      <w:r>
        <w:rPr>
          <w:color w:val="auto"/>
        </w:rPr>
        <w:t>15</w:t>
      </w:r>
      <w:r>
        <w:rPr>
          <w:rFonts w:hint="eastAsia"/>
          <w:color w:val="auto"/>
        </w:rPr>
        <w:t>秒内自动启动。柴油发电机组使用的柴油置于专门的储存用房，储存量为</w:t>
      </w:r>
      <w:r>
        <w:rPr>
          <w:rFonts w:hint="eastAsia"/>
          <w:color w:val="auto"/>
          <w:lang w:val="en-US" w:eastAsia="zh-CN"/>
        </w:rPr>
        <w:t>0.2t</w:t>
      </w:r>
      <w:r>
        <w:rPr>
          <w:rFonts w:hint="eastAsia"/>
          <w:color w:val="auto"/>
        </w:rPr>
        <w:t>。储油间应采用防火墙与发电机间隔开；当必须在防火墙上开门时，应设置能自行关闭的甲级防火门｡</w:t>
      </w:r>
    </w:p>
    <w:p>
      <w:pPr>
        <w:pStyle w:val="1255"/>
        <w:tabs>
          <w:tab w:val="left" w:pos="2127"/>
        </w:tabs>
        <w:spacing w:line="360" w:lineRule="auto"/>
        <w:ind w:firstLine="480"/>
        <w:rPr>
          <w:rFonts w:hint="eastAsia"/>
          <w:color w:val="auto"/>
        </w:rPr>
      </w:pPr>
      <w:r>
        <w:rPr>
          <w:rFonts w:hint="eastAsia"/>
          <w:color w:val="auto"/>
        </w:rPr>
        <w:t>柴油发电机在使用过程中会产生发电机烟气，与汽车尾气相似，其主要成分为</w:t>
      </w:r>
      <w:r>
        <w:rPr>
          <w:color w:val="auto"/>
        </w:rPr>
        <w:t>CO</w:t>
      </w:r>
      <w:r>
        <w:rPr>
          <w:rFonts w:hint="eastAsia"/>
          <w:color w:val="auto"/>
        </w:rPr>
        <w:t>、</w:t>
      </w:r>
      <w:r>
        <w:rPr>
          <w:color w:val="auto"/>
        </w:rPr>
        <w:t>HC</w:t>
      </w:r>
      <w:r>
        <w:rPr>
          <w:rFonts w:hint="eastAsia"/>
          <w:color w:val="auto"/>
        </w:rPr>
        <w:t>、</w:t>
      </w:r>
      <w:r>
        <w:rPr>
          <w:color w:val="auto"/>
        </w:rPr>
        <w:t>NO</w:t>
      </w:r>
      <w:r>
        <w:rPr>
          <w:color w:val="auto"/>
          <w:vertAlign w:val="subscript"/>
        </w:rPr>
        <w:t>2</w:t>
      </w:r>
      <w:r>
        <w:rPr>
          <w:rFonts w:hint="eastAsia"/>
          <w:color w:val="auto"/>
        </w:rPr>
        <w:t>，发电机房采用机械送、排风的形式，发电机房内保持着良好的通风性，柴油发电机产生的废气先由自身携带的废气净化装置处理，处理后经抽排风系统抽至机房顶排放，排风口应朝向绿地，避开</w:t>
      </w:r>
      <w:r>
        <w:rPr>
          <w:rFonts w:hint="eastAsia"/>
          <w:color w:val="auto"/>
          <w:lang w:eastAsia="zh-CN"/>
        </w:rPr>
        <w:t>牛</w:t>
      </w:r>
      <w:r>
        <w:rPr>
          <w:rFonts w:hint="eastAsia"/>
          <w:color w:val="auto"/>
        </w:rPr>
        <w:t>舍及生活区。由于应急柴油发电机只有在停电时使用，使用的频率很小、排放量少、排放间断性强，采用上述措施后完全能够做到达标排放，对周围环境影响很小。同时，环评建议项目使用</w:t>
      </w:r>
      <w:r>
        <w:rPr>
          <w:color w:val="auto"/>
        </w:rPr>
        <w:t>0</w:t>
      </w:r>
      <w:r>
        <w:rPr>
          <w:rFonts w:hint="eastAsia"/>
          <w:color w:val="auto"/>
        </w:rPr>
        <w:t>＃号柴油，</w:t>
      </w:r>
      <w:r>
        <w:rPr>
          <w:color w:val="auto"/>
        </w:rPr>
        <w:t>0</w:t>
      </w:r>
      <w:r>
        <w:rPr>
          <w:rFonts w:hint="eastAsia"/>
          <w:color w:val="auto"/>
        </w:rPr>
        <w:t>＃柴油属于清洁能源，其燃烧产生的废气污染物较少，可进一步降低对外环境的不良影响</w:t>
      </w:r>
    </w:p>
    <w:p>
      <w:pPr>
        <w:pStyle w:val="4"/>
        <w:spacing w:line="360" w:lineRule="auto"/>
        <w:ind w:firstLine="602" w:firstLineChars="250"/>
        <w:outlineLvl w:val="4"/>
        <w:rPr>
          <w:rFonts w:hint="eastAsia" w:ascii="Times New Roman"/>
          <w:b/>
          <w:color w:val="auto"/>
        </w:rPr>
      </w:pPr>
      <w:bookmarkStart w:id="266" w:name="_Toc369359680"/>
      <w:bookmarkStart w:id="267" w:name="_Toc369334813"/>
      <w:bookmarkStart w:id="268" w:name="_Toc369334633"/>
      <w:bookmarkStart w:id="269" w:name="_Toc369197795"/>
      <w:bookmarkStart w:id="270" w:name="_Toc369191630"/>
      <w:r>
        <w:rPr>
          <w:rFonts w:hint="eastAsia" w:ascii="Times New Roman"/>
          <w:b/>
          <w:color w:val="auto"/>
          <w:lang w:eastAsia="zh-CN"/>
        </w:rPr>
        <w:t>（</w:t>
      </w:r>
      <w:r>
        <w:rPr>
          <w:rFonts w:hint="eastAsia" w:ascii="Times New Roman"/>
          <w:b/>
          <w:color w:val="auto"/>
          <w:lang w:val="en-US" w:eastAsia="zh-CN"/>
        </w:rPr>
        <w:t>5</w:t>
      </w:r>
      <w:r>
        <w:rPr>
          <w:rFonts w:hint="eastAsia" w:ascii="Times New Roman"/>
          <w:b/>
          <w:color w:val="auto"/>
          <w:lang w:eastAsia="zh-CN"/>
        </w:rPr>
        <w:t>）</w:t>
      </w:r>
      <w:r>
        <w:rPr>
          <w:rFonts w:hint="eastAsia" w:ascii="Times New Roman"/>
          <w:b/>
          <w:color w:val="auto"/>
        </w:rPr>
        <w:t>饲料加工粉尘</w:t>
      </w:r>
    </w:p>
    <w:p>
      <w:pPr>
        <w:pStyle w:val="4"/>
        <w:spacing w:line="360" w:lineRule="auto"/>
        <w:ind w:firstLine="600" w:firstLineChars="250"/>
        <w:outlineLvl w:val="9"/>
        <w:rPr>
          <w:rFonts w:hint="eastAsia" w:ascii="Times New Roman"/>
          <w:b w:val="0"/>
          <w:bCs/>
          <w:color w:val="auto"/>
        </w:rPr>
      </w:pPr>
      <w:r>
        <w:rPr>
          <w:rFonts w:hint="eastAsia" w:ascii="Times New Roman"/>
          <w:b w:val="0"/>
          <w:bCs/>
          <w:color w:val="auto"/>
        </w:rPr>
        <w:t>本项目所需精饲料为外购全价料，场区内不进行精饲料的加工。采用TMR加料法喂养，将干草、青贮料与外购的成品全价料在饲料喂养车内充分混合得到“全价日粮”，运到牛舍分发。在TMR饲料制取设备混料箱内，通过绞龙和刀片的作用对饲料切碎、揉搓、软化及搓细，实现饲料的搅拌与混合，过程中会产生少量粉尘。</w:t>
      </w:r>
    </w:p>
    <w:p>
      <w:pPr>
        <w:tabs>
          <w:tab w:val="left" w:pos="1220"/>
        </w:tabs>
        <w:spacing w:line="360" w:lineRule="auto"/>
        <w:ind w:firstLine="477" w:firstLineChars="198"/>
        <w:rPr>
          <w:rFonts w:ascii="Times New Roman" w:hAnsi="Times New Roman" w:cs="Times New Roman"/>
          <w:b/>
          <w:bCs/>
          <w:color w:val="auto"/>
          <w:sz w:val="24"/>
          <w:szCs w:val="24"/>
        </w:rPr>
      </w:pPr>
      <w:r>
        <w:rPr>
          <w:rFonts w:hint="eastAsia" w:cs="Times New Roman"/>
          <w:b/>
          <w:bCs/>
          <w:color w:val="auto"/>
          <w:sz w:val="24"/>
          <w:szCs w:val="24"/>
          <w:lang w:val="en-US" w:eastAsia="zh-CN"/>
        </w:rPr>
        <w:t>①</w:t>
      </w:r>
      <w:r>
        <w:rPr>
          <w:rFonts w:ascii="Times New Roman" w:hAnsi="Times New Roman" w:cs="Times New Roman"/>
          <w:b/>
          <w:bCs/>
          <w:color w:val="auto"/>
          <w:sz w:val="24"/>
          <w:szCs w:val="24"/>
        </w:rPr>
        <w:t>、废气产生量</w:t>
      </w:r>
    </w:p>
    <w:p>
      <w:pPr>
        <w:pStyle w:val="4"/>
        <w:spacing w:line="360" w:lineRule="auto"/>
        <w:ind w:firstLine="600" w:firstLineChars="250"/>
        <w:outlineLvl w:val="9"/>
        <w:rPr>
          <w:rFonts w:hint="eastAsia" w:ascii="Times New Roman"/>
          <w:b w:val="0"/>
          <w:bCs/>
          <w:color w:val="auto"/>
        </w:rPr>
      </w:pPr>
      <w:r>
        <w:rPr>
          <w:rFonts w:hint="eastAsia" w:ascii="Times New Roman"/>
          <w:b w:val="0"/>
          <w:bCs/>
          <w:color w:val="auto"/>
          <w:lang w:val="en-US" w:eastAsia="zh-CN"/>
        </w:rPr>
        <w:t>根据</w:t>
      </w:r>
      <w:r>
        <w:rPr>
          <w:rFonts w:hint="eastAsia"/>
          <w:color w:val="auto"/>
        </w:rPr>
        <w:t>《第</w:t>
      </w:r>
      <w:r>
        <w:rPr>
          <w:rFonts w:hint="default" w:ascii="Times New Roman" w:hAnsi="Times New Roman" w:cs="Times New Roman"/>
          <w:color w:val="auto"/>
        </w:rPr>
        <w:t xml:space="preserve">二次全国污染源普查 </w:t>
      </w:r>
      <w:r>
        <w:rPr>
          <w:rFonts w:hint="eastAsia" w:ascii="Times New Roman" w:hAnsi="Times New Roman" w:cs="Times New Roman"/>
          <w:color w:val="auto"/>
          <w:lang w:val="en-US" w:eastAsia="zh-CN"/>
        </w:rPr>
        <w:t>132</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饲料加工行业系数手册</w:t>
      </w:r>
      <w:r>
        <w:rPr>
          <w:rFonts w:hint="default" w:ascii="Times New Roman" w:hAnsi="Times New Roman" w:cs="Times New Roman"/>
          <w:color w:val="auto"/>
        </w:rPr>
        <w:t>》生产“配合饲料”，</w:t>
      </w:r>
      <w:r>
        <w:rPr>
          <w:rFonts w:hint="default" w:ascii="Times New Roman" w:hAnsi="Times New Roman" w:cs="Times New Roman"/>
          <w:color w:val="auto"/>
          <w:lang w:val="en-US" w:eastAsia="zh-CN"/>
        </w:rPr>
        <w:t>颗粒物产生量为0.043</w:t>
      </w:r>
      <w:r>
        <w:rPr>
          <w:rFonts w:hint="default" w:ascii="Times New Roman" w:hAnsi="Times New Roman" w:cs="Times New Roman"/>
          <w:color w:val="auto"/>
        </w:rPr>
        <w:t>千克/吨-产品，本项目</w:t>
      </w:r>
      <w:r>
        <w:rPr>
          <w:rFonts w:hint="default" w:ascii="Times New Roman" w:hAnsi="Times New Roman" w:cs="Times New Roman"/>
          <w:color w:val="auto"/>
          <w:lang w:val="en-US" w:eastAsia="zh-CN"/>
        </w:rPr>
        <w:t>饲料量</w:t>
      </w:r>
      <w:r>
        <w:rPr>
          <w:rFonts w:hint="default" w:ascii="Times New Roman" w:hAnsi="Times New Roman" w:cs="Times New Roman"/>
          <w:color w:val="auto"/>
        </w:rPr>
        <w:t>约为</w:t>
      </w:r>
      <w:r>
        <w:rPr>
          <w:rFonts w:hint="eastAsia" w:ascii="Times New Roman" w:cs="Times New Roman"/>
          <w:color w:val="auto"/>
          <w:lang w:val="en-US" w:eastAsia="zh-CN"/>
        </w:rPr>
        <w:t>42000</w:t>
      </w:r>
      <w:r>
        <w:rPr>
          <w:rFonts w:hint="default" w:ascii="Times New Roman" w:hAnsi="Times New Roman" w:cs="Times New Roman"/>
          <w:color w:val="auto"/>
        </w:rPr>
        <w:t>t/年，则</w:t>
      </w:r>
      <w:r>
        <w:rPr>
          <w:rFonts w:hint="default" w:ascii="Times New Roman" w:hAnsi="Times New Roman" w:cs="Times New Roman"/>
          <w:color w:val="auto"/>
          <w:lang w:val="en-US" w:eastAsia="zh-CN"/>
        </w:rPr>
        <w:t>颗粒物</w:t>
      </w:r>
      <w:r>
        <w:rPr>
          <w:rFonts w:hint="eastAsia" w:ascii="Times New Roman" w:hAnsi="Times New Roman" w:cs="Times New Roman"/>
          <w:color w:val="auto"/>
          <w:lang w:val="en-US" w:eastAsia="zh-CN"/>
        </w:rPr>
        <w:t>产生量</w:t>
      </w:r>
      <w:r>
        <w:rPr>
          <w:rFonts w:hint="default" w:ascii="Times New Roman" w:hAnsi="Times New Roman" w:cs="Times New Roman"/>
          <w:color w:val="auto"/>
        </w:rPr>
        <w:t>为</w:t>
      </w:r>
      <w:r>
        <w:rPr>
          <w:rFonts w:hint="eastAsia" w:ascii="Times New Roman" w:cs="Times New Roman"/>
          <w:color w:val="auto"/>
          <w:lang w:val="en-US" w:eastAsia="zh-CN"/>
        </w:rPr>
        <w:t>1.806</w:t>
      </w:r>
      <w:r>
        <w:rPr>
          <w:rFonts w:hint="default" w:ascii="Times New Roman" w:hAnsi="Times New Roman" w:cs="Times New Roman"/>
          <w:color w:val="auto"/>
        </w:rPr>
        <w:t>t/a</w:t>
      </w:r>
      <w:r>
        <w:rPr>
          <w:rFonts w:hint="default" w:ascii="Times New Roman" w:hAnsi="Times New Roman" w:cs="Times New Roman"/>
          <w:b w:val="0"/>
          <w:bCs/>
          <w:color w:val="auto"/>
        </w:rPr>
        <w:t>。</w:t>
      </w:r>
    </w:p>
    <w:p>
      <w:pPr>
        <w:tabs>
          <w:tab w:val="left" w:pos="1220"/>
        </w:tabs>
        <w:spacing w:line="360" w:lineRule="auto"/>
        <w:ind w:firstLine="477" w:firstLineChars="198"/>
        <w:rPr>
          <w:rFonts w:ascii="Times New Roman" w:hAnsi="Times New Roman" w:eastAsia="宋体" w:cs="Times New Roman"/>
          <w:b/>
          <w:color w:val="auto"/>
          <w:sz w:val="24"/>
        </w:rPr>
      </w:pPr>
      <w:r>
        <w:rPr>
          <w:rFonts w:hint="eastAsia" w:cs="Times New Roman"/>
          <w:b/>
          <w:color w:val="auto"/>
          <w:sz w:val="24"/>
          <w:lang w:val="en-US" w:eastAsia="zh-CN"/>
        </w:rPr>
        <w:t>②</w:t>
      </w:r>
      <w:r>
        <w:rPr>
          <w:rFonts w:ascii="Times New Roman" w:hAnsi="Times New Roman" w:eastAsia="宋体" w:cs="Times New Roman"/>
          <w:b/>
          <w:color w:val="auto"/>
          <w:sz w:val="24"/>
        </w:rPr>
        <w:t>、治理措施</w:t>
      </w:r>
    </w:p>
    <w:p>
      <w:pPr>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在</w:t>
      </w:r>
      <w:r>
        <w:rPr>
          <w:rFonts w:hint="eastAsia" w:ascii="Times New Roman" w:hAnsi="Times New Roman" w:cs="Times New Roman"/>
          <w:bCs/>
          <w:color w:val="auto"/>
          <w:sz w:val="24"/>
          <w:szCs w:val="24"/>
          <w:lang w:val="en-US" w:eastAsia="zh-CN"/>
        </w:rPr>
        <w:t>饲料搅拌车上方设置集气罩</w:t>
      </w:r>
      <w:r>
        <w:rPr>
          <w:rFonts w:hint="eastAsia" w:ascii="Times New Roman" w:hAnsi="Times New Roman" w:eastAsia="宋体" w:cs="Times New Roman"/>
          <w:bCs/>
          <w:color w:val="auto"/>
          <w:sz w:val="24"/>
          <w:szCs w:val="24"/>
          <w:lang w:val="en-US" w:eastAsia="zh-CN"/>
        </w:rPr>
        <w:t>，废气经收集后进入</w:t>
      </w:r>
      <w:r>
        <w:rPr>
          <w:rFonts w:eastAsia="宋体" w:cs="Times New Roman"/>
          <w:color w:val="auto"/>
          <w:sz w:val="24"/>
          <w:szCs w:val="32"/>
        </w:rPr>
        <w:t>末端设置的</w:t>
      </w:r>
      <w:r>
        <w:rPr>
          <w:rFonts w:hint="eastAsia" w:eastAsia="宋体" w:cs="Times New Roman"/>
          <w:color w:val="auto"/>
          <w:sz w:val="24"/>
          <w:szCs w:val="32"/>
          <w:lang w:val="en-US" w:eastAsia="zh-CN"/>
        </w:rPr>
        <w:t>一套</w:t>
      </w:r>
      <w:r>
        <w:rPr>
          <w:rFonts w:hint="eastAsia" w:ascii="Times New Roman" w:hAnsi="Times New Roman" w:eastAsia="宋体" w:cs="Times New Roman"/>
          <w:bCs/>
          <w:color w:val="auto"/>
          <w:sz w:val="24"/>
          <w:szCs w:val="24"/>
          <w:lang w:val="en-US" w:eastAsia="zh-CN"/>
        </w:rPr>
        <w:t>布袋除尘器</w:t>
      </w:r>
      <w:r>
        <w:rPr>
          <w:rFonts w:eastAsia="宋体" w:cs="Times New Roman"/>
          <w:color w:val="auto"/>
          <w:sz w:val="24"/>
          <w:szCs w:val="32"/>
        </w:rPr>
        <w:t>（风量</w:t>
      </w:r>
      <w:r>
        <w:rPr>
          <w:rFonts w:hint="eastAsia" w:eastAsia="宋体" w:cs="Times New Roman"/>
          <w:color w:val="auto"/>
          <w:sz w:val="24"/>
          <w:szCs w:val="32"/>
          <w:lang w:val="en-US" w:eastAsia="zh-CN"/>
        </w:rPr>
        <w:t>3</w:t>
      </w:r>
      <w:r>
        <w:rPr>
          <w:rFonts w:eastAsia="宋体" w:cs="Times New Roman"/>
          <w:color w:val="auto"/>
          <w:sz w:val="24"/>
          <w:szCs w:val="32"/>
        </w:rPr>
        <w:t>000m</w:t>
      </w:r>
      <w:r>
        <w:rPr>
          <w:rFonts w:eastAsia="宋体" w:cs="Times New Roman"/>
          <w:color w:val="auto"/>
          <w:sz w:val="24"/>
          <w:szCs w:val="32"/>
          <w:vertAlign w:val="superscript"/>
        </w:rPr>
        <w:t>3</w:t>
      </w:r>
      <w:r>
        <w:rPr>
          <w:rFonts w:eastAsia="宋体" w:cs="Times New Roman"/>
          <w:color w:val="auto"/>
          <w:sz w:val="24"/>
          <w:szCs w:val="32"/>
        </w:rPr>
        <w:t>/h</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收集效率取90%，处理效率取99%</w:t>
      </w:r>
      <w:r>
        <w:rPr>
          <w:rFonts w:eastAsia="宋体" w:cs="Times New Roman"/>
          <w:color w:val="auto"/>
          <w:sz w:val="24"/>
          <w:szCs w:val="32"/>
        </w:rPr>
        <w:t>）</w:t>
      </w:r>
      <w:r>
        <w:rPr>
          <w:rFonts w:hint="eastAsia" w:ascii="Times New Roman" w:hAnsi="Times New Roman" w:eastAsia="宋体" w:cs="Times New Roman"/>
          <w:bCs/>
          <w:color w:val="auto"/>
          <w:sz w:val="24"/>
          <w:szCs w:val="24"/>
          <w:lang w:val="en-US" w:eastAsia="zh-CN"/>
        </w:rPr>
        <w:t>进行处理</w:t>
      </w:r>
      <w:r>
        <w:rPr>
          <w:rFonts w:eastAsia="宋体" w:cs="Times New Roman"/>
          <w:color w:val="auto"/>
          <w:sz w:val="24"/>
          <w:szCs w:val="32"/>
        </w:rPr>
        <w:t>后由15m高排气筒</w:t>
      </w:r>
      <w:r>
        <w:rPr>
          <w:rFonts w:hint="eastAsia" w:eastAsia="宋体" w:cs="Times New Roman"/>
          <w:color w:val="auto"/>
          <w:sz w:val="24"/>
          <w:szCs w:val="32"/>
          <w:lang w:val="en-US" w:eastAsia="zh-CN"/>
        </w:rPr>
        <w:t>DA00</w:t>
      </w:r>
      <w:r>
        <w:rPr>
          <w:rFonts w:hint="eastAsia" w:cs="Times New Roman"/>
          <w:color w:val="auto"/>
          <w:sz w:val="24"/>
          <w:szCs w:val="32"/>
          <w:lang w:val="en-US" w:eastAsia="zh-CN"/>
        </w:rPr>
        <w:t>1</w:t>
      </w:r>
      <w:r>
        <w:rPr>
          <w:rFonts w:eastAsia="宋体" w:cs="Times New Roman"/>
          <w:color w:val="auto"/>
          <w:sz w:val="24"/>
          <w:szCs w:val="32"/>
        </w:rPr>
        <w:t>排放</w:t>
      </w:r>
      <w:r>
        <w:rPr>
          <w:rFonts w:hint="eastAsia" w:ascii="Times New Roman" w:hAnsi="Times New Roman" w:eastAsia="宋体" w:cs="Times New Roman"/>
          <w:bCs/>
          <w:color w:val="auto"/>
          <w:sz w:val="24"/>
          <w:szCs w:val="24"/>
          <w:lang w:val="en-US" w:eastAsia="zh-CN"/>
        </w:rPr>
        <w:t>。</w:t>
      </w:r>
    </w:p>
    <w:p>
      <w:pPr>
        <w:ind w:firstLine="420" w:firstLineChars="200"/>
        <w:jc w:val="center"/>
        <w:rPr>
          <w:rFonts w:eastAsia="黑体"/>
          <w:color w:val="auto"/>
        </w:rPr>
      </w:pPr>
      <w:r>
        <w:rPr>
          <w:rFonts w:hint="eastAsia" w:eastAsia="黑体"/>
          <w:color w:val="auto"/>
          <w:lang w:val="en-US" w:eastAsia="zh-CN"/>
        </w:rPr>
        <w:t>表3.5-3  饲料加工粉尘</w:t>
      </w:r>
      <w:r>
        <w:rPr>
          <w:rFonts w:eastAsia="黑体"/>
          <w:color w:val="auto"/>
        </w:rPr>
        <w:t>排放情况一览表</w:t>
      </w:r>
    </w:p>
    <w:tbl>
      <w:tblPr>
        <w:tblStyle w:val="89"/>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76"/>
        <w:gridCol w:w="646"/>
        <w:gridCol w:w="940"/>
        <w:gridCol w:w="975"/>
        <w:gridCol w:w="1637"/>
        <w:gridCol w:w="964"/>
        <w:gridCol w:w="1007"/>
        <w:gridCol w:w="934"/>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5" w:hRule="atLeast"/>
        </w:trPr>
        <w:tc>
          <w:tcPr>
            <w:tcW w:w="1076" w:type="dxa"/>
            <w:vMerge w:val="restart"/>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污染源</w:t>
            </w:r>
          </w:p>
        </w:tc>
        <w:tc>
          <w:tcPr>
            <w:tcW w:w="646" w:type="dxa"/>
            <w:vMerge w:val="restar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污染物</w:t>
            </w:r>
          </w:p>
        </w:tc>
        <w:tc>
          <w:tcPr>
            <w:tcW w:w="1915" w:type="dxa"/>
            <w:gridSpan w:val="2"/>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产生情况</w:t>
            </w:r>
          </w:p>
        </w:tc>
        <w:tc>
          <w:tcPr>
            <w:tcW w:w="1637" w:type="dxa"/>
            <w:vMerge w:val="restart"/>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处理措施</w:t>
            </w:r>
          </w:p>
        </w:tc>
        <w:tc>
          <w:tcPr>
            <w:tcW w:w="1971" w:type="dxa"/>
            <w:gridSpan w:val="2"/>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eastAsia" w:cs="Times New Roman"/>
                <w:b/>
                <w:color w:val="auto"/>
                <w:kern w:val="0"/>
                <w:lang w:val="en-US" w:eastAsia="zh-CN"/>
              </w:rPr>
              <w:t>有组织</w:t>
            </w:r>
            <w:r>
              <w:rPr>
                <w:rFonts w:hint="default" w:ascii="Times New Roman" w:hAnsi="Times New Roman" w:eastAsia="宋体" w:cs="Times New Roman"/>
                <w:b/>
                <w:color w:val="auto"/>
                <w:kern w:val="0"/>
              </w:rPr>
              <w:t>排放情况</w:t>
            </w:r>
          </w:p>
        </w:tc>
        <w:tc>
          <w:tcPr>
            <w:tcW w:w="1971" w:type="dxa"/>
            <w:gridSpan w:val="2"/>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lang w:val="en-US" w:eastAsia="zh-CN"/>
              </w:rPr>
            </w:pPr>
            <w:r>
              <w:rPr>
                <w:rFonts w:hint="eastAsia" w:cs="Times New Roman"/>
                <w:b/>
                <w:color w:val="auto"/>
                <w:kern w:val="0"/>
                <w:lang w:val="en-US" w:eastAsia="zh-CN"/>
              </w:rPr>
              <w:t>无组织排放情况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1" w:hRule="atLeast"/>
        </w:trPr>
        <w:tc>
          <w:tcPr>
            <w:tcW w:w="1076" w:type="dxa"/>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p>
        </w:tc>
        <w:tc>
          <w:tcPr>
            <w:tcW w:w="646" w:type="dxa"/>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p>
        </w:tc>
        <w:tc>
          <w:tcPr>
            <w:tcW w:w="94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产生量</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t/a</w:t>
            </w:r>
          </w:p>
        </w:tc>
        <w:tc>
          <w:tcPr>
            <w:tcW w:w="97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产生速率</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kg/h</w:t>
            </w:r>
          </w:p>
        </w:tc>
        <w:tc>
          <w:tcPr>
            <w:tcW w:w="1637" w:type="dxa"/>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p>
        </w:tc>
        <w:tc>
          <w:tcPr>
            <w:tcW w:w="9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排放量t/a</w:t>
            </w:r>
          </w:p>
        </w:tc>
        <w:tc>
          <w:tcPr>
            <w:tcW w:w="100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排放速率kg/h</w:t>
            </w:r>
          </w:p>
        </w:tc>
        <w:tc>
          <w:tcPr>
            <w:tcW w:w="934" w:type="dxa"/>
            <w:shd w:val="clear" w:color="auto" w:fill="auto"/>
            <w:noWrap/>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color w:val="auto"/>
                <w:kern w:val="0"/>
                <w:sz w:val="21"/>
                <w:szCs w:val="24"/>
                <w:lang w:val="en-US" w:eastAsia="zh-CN" w:bidi="ar-SA"/>
              </w:rPr>
            </w:pPr>
            <w:r>
              <w:rPr>
                <w:rFonts w:hint="default" w:ascii="Times New Roman" w:hAnsi="Times New Roman" w:eastAsia="宋体" w:cs="Times New Roman"/>
                <w:b/>
                <w:color w:val="auto"/>
                <w:kern w:val="0"/>
              </w:rPr>
              <w:t>排放量t/a</w:t>
            </w:r>
          </w:p>
        </w:tc>
        <w:tc>
          <w:tcPr>
            <w:tcW w:w="1037" w:type="dxa"/>
            <w:shd w:val="clear" w:color="auto" w:fill="auto"/>
            <w:noWrap/>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color w:val="auto"/>
                <w:kern w:val="0"/>
                <w:sz w:val="21"/>
                <w:szCs w:val="24"/>
                <w:lang w:val="en-US" w:eastAsia="zh-CN" w:bidi="ar-SA"/>
              </w:rPr>
            </w:pPr>
            <w:r>
              <w:rPr>
                <w:rFonts w:hint="default" w:ascii="Times New Roman" w:hAnsi="Times New Roman" w:eastAsia="宋体" w:cs="Times New Roman"/>
                <w:b/>
                <w:color w:val="auto"/>
                <w:kern w:val="0"/>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5" w:hRule="atLeast"/>
        </w:trPr>
        <w:tc>
          <w:tcPr>
            <w:tcW w:w="1076"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饲料加工粉尘</w:t>
            </w:r>
          </w:p>
        </w:tc>
        <w:tc>
          <w:tcPr>
            <w:tcW w:w="646"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颗粒物</w:t>
            </w:r>
          </w:p>
        </w:tc>
        <w:tc>
          <w:tcPr>
            <w:tcW w:w="940"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1.806</w:t>
            </w:r>
          </w:p>
        </w:tc>
        <w:tc>
          <w:tcPr>
            <w:tcW w:w="97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1.24</w:t>
            </w:r>
          </w:p>
        </w:tc>
        <w:tc>
          <w:tcPr>
            <w:tcW w:w="1637"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布袋除尘器+15m高排气筒（</w:t>
            </w:r>
            <w:r>
              <w:rPr>
                <w:rFonts w:hint="default" w:ascii="Times New Roman" w:hAnsi="Times New Roman" w:eastAsia="宋体" w:cs="Times New Roman"/>
                <w:color w:val="auto"/>
                <w:sz w:val="21"/>
                <w:szCs w:val="21"/>
                <w:lang w:eastAsia="zh-CN"/>
              </w:rPr>
              <w:t>风量</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00m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收集效率取90%，处理效率取99%</w:t>
            </w:r>
            <w:r>
              <w:rPr>
                <w:rFonts w:hint="eastAsia" w:cs="Times New Roman"/>
                <w:color w:val="auto"/>
                <w:sz w:val="21"/>
                <w:szCs w:val="21"/>
                <w:lang w:eastAsia="zh-CN"/>
              </w:rPr>
              <w:t>，</w:t>
            </w:r>
            <w:r>
              <w:rPr>
                <w:rFonts w:hint="eastAsia" w:cs="Times New Roman"/>
                <w:color w:val="auto"/>
                <w:lang w:val="en-US" w:eastAsia="zh-CN"/>
              </w:rPr>
              <w:t>DA001）</w:t>
            </w:r>
          </w:p>
        </w:tc>
        <w:tc>
          <w:tcPr>
            <w:tcW w:w="964"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w:t>
            </w:r>
            <w:r>
              <w:rPr>
                <w:rFonts w:hint="eastAsia" w:cs="Times New Roman"/>
                <w:color w:val="auto"/>
                <w:lang w:val="en-US" w:eastAsia="zh-CN"/>
              </w:rPr>
              <w:t>163</w:t>
            </w:r>
          </w:p>
        </w:tc>
        <w:tc>
          <w:tcPr>
            <w:tcW w:w="1007"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0.0</w:t>
            </w:r>
            <w:r>
              <w:rPr>
                <w:rFonts w:hint="eastAsia" w:cs="Times New Roman"/>
                <w:color w:val="auto"/>
                <w:lang w:val="en-US" w:eastAsia="zh-CN"/>
              </w:rPr>
              <w:t>11</w:t>
            </w:r>
          </w:p>
        </w:tc>
        <w:tc>
          <w:tcPr>
            <w:tcW w:w="934"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0.181</w:t>
            </w:r>
          </w:p>
        </w:tc>
        <w:tc>
          <w:tcPr>
            <w:tcW w:w="1037"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0.124</w:t>
            </w:r>
          </w:p>
        </w:tc>
      </w:tr>
    </w:tbl>
    <w:p>
      <w:pPr>
        <w:pStyle w:val="4"/>
        <w:spacing w:line="360" w:lineRule="auto"/>
        <w:ind w:firstLine="602" w:firstLineChars="250"/>
        <w:outlineLvl w:val="3"/>
        <w:rPr>
          <w:rFonts w:ascii="Times New Roman"/>
          <w:b/>
          <w:color w:val="auto"/>
        </w:rPr>
      </w:pPr>
      <w:r>
        <w:rPr>
          <w:rFonts w:ascii="Times New Roman"/>
          <w:b/>
          <w:color w:val="auto"/>
        </w:rPr>
        <w:t>4、固体废物的产生及处置情况</w:t>
      </w:r>
      <w:bookmarkEnd w:id="266"/>
      <w:bookmarkEnd w:id="267"/>
      <w:bookmarkEnd w:id="268"/>
      <w:bookmarkEnd w:id="269"/>
      <w:bookmarkEnd w:id="270"/>
    </w:p>
    <w:p>
      <w:pPr>
        <w:snapToGrid w:val="0"/>
        <w:spacing w:line="360" w:lineRule="auto"/>
        <w:ind w:firstLine="480" w:firstLineChars="200"/>
        <w:rPr>
          <w:rFonts w:hint="eastAsia" w:eastAsia="宋体"/>
          <w:color w:val="auto"/>
          <w:sz w:val="24"/>
          <w:lang w:eastAsia="zh-CN"/>
        </w:rPr>
      </w:pPr>
      <w:r>
        <w:rPr>
          <w:color w:val="auto"/>
          <w:sz w:val="24"/>
        </w:rPr>
        <w:t>养殖场固体废物主要为</w:t>
      </w:r>
      <w:r>
        <w:rPr>
          <w:rFonts w:hint="eastAsia"/>
          <w:color w:val="auto"/>
          <w:sz w:val="24"/>
        </w:rPr>
        <w:t>职工生活垃圾、隔油池</w:t>
      </w:r>
      <w:r>
        <w:rPr>
          <w:rFonts w:hint="eastAsia"/>
          <w:color w:val="auto"/>
          <w:sz w:val="24"/>
          <w:lang w:val="en-US" w:eastAsia="zh-CN"/>
        </w:rPr>
        <w:t>浮油</w:t>
      </w:r>
      <w:r>
        <w:rPr>
          <w:rFonts w:hint="eastAsia"/>
          <w:color w:val="auto"/>
          <w:sz w:val="24"/>
        </w:rPr>
        <w:t>、</w:t>
      </w:r>
      <w:r>
        <w:rPr>
          <w:rFonts w:hint="eastAsia"/>
          <w:color w:val="auto"/>
          <w:sz w:val="24"/>
          <w:lang w:eastAsia="zh-CN"/>
        </w:rPr>
        <w:t>预处理池</w:t>
      </w:r>
      <w:r>
        <w:rPr>
          <w:rFonts w:hint="eastAsia"/>
          <w:color w:val="auto"/>
          <w:sz w:val="24"/>
        </w:rPr>
        <w:t>污泥、牛粪、</w:t>
      </w:r>
      <w:r>
        <w:rPr>
          <w:color w:val="auto"/>
          <w:sz w:val="24"/>
        </w:rPr>
        <w:t>废包装材料</w:t>
      </w:r>
      <w:r>
        <w:rPr>
          <w:rFonts w:hint="eastAsia"/>
          <w:color w:val="auto"/>
          <w:sz w:val="24"/>
        </w:rPr>
        <w:t>、病死牛、废包装材料</w:t>
      </w:r>
      <w:r>
        <w:rPr>
          <w:rFonts w:hint="eastAsia"/>
          <w:color w:val="auto"/>
          <w:sz w:val="24"/>
          <w:lang w:eastAsia="zh-CN"/>
        </w:rPr>
        <w:t>、</w:t>
      </w:r>
      <w:r>
        <w:rPr>
          <w:rFonts w:hint="eastAsia"/>
          <w:color w:val="auto"/>
          <w:sz w:val="24"/>
          <w:lang w:val="en-US" w:eastAsia="zh-CN"/>
        </w:rPr>
        <w:t>布袋除尘器收集的粉尘</w:t>
      </w:r>
      <w:r>
        <w:rPr>
          <w:rFonts w:hint="eastAsia"/>
          <w:color w:val="auto"/>
          <w:sz w:val="24"/>
        </w:rPr>
        <w:t>；危险废物为卫生防疫产生的畜禽医疗废物</w:t>
      </w:r>
      <w:r>
        <w:rPr>
          <w:rFonts w:hint="eastAsia"/>
          <w:color w:val="auto"/>
          <w:sz w:val="24"/>
          <w:lang w:eastAsia="zh-CN"/>
        </w:rPr>
        <w:t>。</w:t>
      </w:r>
    </w:p>
    <w:p>
      <w:pPr>
        <w:snapToGrid w:val="0"/>
        <w:spacing w:line="360" w:lineRule="auto"/>
        <w:ind w:firstLine="482" w:firstLineChars="200"/>
        <w:rPr>
          <w:b/>
          <w:bCs/>
          <w:color w:val="auto"/>
          <w:sz w:val="24"/>
        </w:rPr>
      </w:pPr>
      <w:r>
        <w:rPr>
          <w:rFonts w:hint="eastAsia"/>
          <w:b/>
          <w:bCs/>
          <w:color w:val="auto"/>
          <w:sz w:val="24"/>
        </w:rPr>
        <w:t>（1）</w:t>
      </w:r>
      <w:r>
        <w:rPr>
          <w:rFonts w:hint="eastAsia"/>
          <w:b/>
          <w:bCs/>
          <w:color w:val="auto"/>
          <w:sz w:val="24"/>
          <w:lang w:val="en-US" w:eastAsia="zh-CN"/>
        </w:rPr>
        <w:t>牛</w:t>
      </w:r>
      <w:r>
        <w:rPr>
          <w:rFonts w:hint="eastAsia"/>
          <w:b/>
          <w:bCs/>
          <w:color w:val="auto"/>
          <w:sz w:val="24"/>
        </w:rPr>
        <w:t>粪</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auto"/>
          <w:sz w:val="24"/>
          <w:u w:val="single"/>
          <w:lang w:val="en-US" w:eastAsia="zh-CN"/>
        </w:rPr>
      </w:pPr>
      <w:r>
        <w:rPr>
          <w:rFonts w:hint="default" w:ascii="Times New Roman" w:hAnsi="Times New Roman" w:cs="Times New Roman"/>
          <w:color w:val="auto"/>
          <w:sz w:val="24"/>
        </w:rPr>
        <w:t>本项目</w:t>
      </w:r>
      <w:r>
        <w:rPr>
          <w:rFonts w:hint="eastAsia" w:cs="Times New Roman"/>
          <w:color w:val="auto"/>
          <w:sz w:val="24"/>
          <w:lang w:val="en-US" w:eastAsia="zh-CN"/>
        </w:rPr>
        <w:t>肉牛</w:t>
      </w:r>
      <w:r>
        <w:rPr>
          <w:rFonts w:hint="default" w:ascii="Times New Roman" w:hAnsi="Times New Roman" w:cs="Times New Roman"/>
          <w:color w:val="auto"/>
          <w:sz w:val="24"/>
        </w:rPr>
        <w:t>存栏量</w:t>
      </w:r>
      <w:r>
        <w:rPr>
          <w:rFonts w:hint="eastAsia" w:cs="Times New Roman"/>
          <w:color w:val="auto"/>
          <w:sz w:val="24"/>
          <w:lang w:val="en-US" w:eastAsia="zh-CN"/>
        </w:rPr>
        <w:t>9734</w:t>
      </w:r>
      <w:r>
        <w:rPr>
          <w:rFonts w:hint="default" w:ascii="Times New Roman" w:hAnsi="Times New Roman" w:cs="Times New Roman"/>
          <w:color w:val="auto"/>
          <w:sz w:val="24"/>
        </w:rPr>
        <w:t>头，</w:t>
      </w:r>
      <w:r>
        <w:rPr>
          <w:rFonts w:hint="eastAsia"/>
          <w:color w:val="auto"/>
          <w:sz w:val="24"/>
        </w:rPr>
        <w:t>根据《排污许可证申请与核发技术规范 畜禽养殖行业》（HJ1029-2019）</w:t>
      </w:r>
      <w:r>
        <w:rPr>
          <w:rFonts w:hint="eastAsia"/>
          <w:color w:val="auto"/>
          <w:sz w:val="24"/>
          <w:u w:val="single"/>
        </w:rPr>
        <w:t>表9中肉牛的粪年排泄量为10.88kg/（只·d），本项目牛粪产生量</w:t>
      </w:r>
      <w:r>
        <w:rPr>
          <w:rFonts w:hint="eastAsia"/>
          <w:color w:val="auto"/>
          <w:sz w:val="24"/>
          <w:u w:val="single"/>
          <w:lang w:val="en-US" w:eastAsia="zh-CN"/>
        </w:rPr>
        <w:t>=9734</w:t>
      </w:r>
      <w:r>
        <w:rPr>
          <w:rFonts w:hint="eastAsia" w:ascii="Times New Roman" w:hAnsi="Times New Roman" w:cs="Times New Roman"/>
          <w:color w:val="auto"/>
          <w:sz w:val="24"/>
          <w:lang w:val="en-US" w:eastAsia="zh-CN"/>
        </w:rPr>
        <w:t>×</w:t>
      </w:r>
      <w:r>
        <w:rPr>
          <w:rFonts w:hint="eastAsia"/>
          <w:color w:val="auto"/>
          <w:sz w:val="24"/>
          <w:u w:val="single"/>
          <w:lang w:val="en-US" w:eastAsia="zh-CN"/>
        </w:rPr>
        <w:t>10.88=105.91t/d（38657.15t/a）。</w:t>
      </w:r>
    </w:p>
    <w:p>
      <w:pPr>
        <w:pStyle w:val="4"/>
        <w:spacing w:line="360" w:lineRule="auto"/>
        <w:ind w:firstLine="508"/>
        <w:jc w:val="both"/>
        <w:rPr>
          <w:rFonts w:hint="eastAsia"/>
          <w:b/>
          <w:bCs/>
          <w:snapToGrid w:val="0"/>
          <w:color w:val="auto"/>
          <w:szCs w:val="21"/>
          <w:lang w:val="en-US" w:eastAsia="zh-CN"/>
        </w:rPr>
      </w:pPr>
      <w:r>
        <w:rPr>
          <w:rFonts w:hint="eastAsia"/>
          <w:color w:val="auto"/>
        </w:rPr>
        <w:t>干清粪工艺收集粪便：粪便则停留在斜坡上，一经产生便通过机械刮粪机排至地埋式排粪沟内，由管道输送</w:t>
      </w:r>
      <w:r>
        <w:rPr>
          <w:rFonts w:hint="eastAsia"/>
          <w:color w:val="auto"/>
          <w:lang w:val="en-US" w:eastAsia="zh-CN"/>
        </w:rPr>
        <w:t>至发酵床进行发酵，发酵处理后外售有机肥厂</w:t>
      </w:r>
      <w:r>
        <w:rPr>
          <w:rFonts w:hint="eastAsia"/>
          <w:snapToGrid w:val="0"/>
          <w:color w:val="auto"/>
          <w:szCs w:val="21"/>
          <w:lang w:val="en-US" w:eastAsia="zh-CN"/>
        </w:rPr>
        <w:t>。</w:t>
      </w:r>
      <w:r>
        <w:rPr>
          <w:rFonts w:hint="eastAsia"/>
          <w:b/>
          <w:bCs/>
          <w:snapToGrid w:val="0"/>
          <w:color w:val="auto"/>
          <w:szCs w:val="21"/>
          <w:lang w:val="en-US" w:eastAsia="zh-CN"/>
        </w:rPr>
        <w:t>本项目不进行有机肥加工。</w:t>
      </w:r>
    </w:p>
    <w:p>
      <w:pPr>
        <w:pStyle w:val="4"/>
        <w:spacing w:line="360" w:lineRule="auto"/>
        <w:ind w:firstLine="508"/>
        <w:jc w:val="both"/>
        <w:rPr>
          <w:rFonts w:hint="default"/>
          <w:b/>
          <w:bCs/>
          <w:snapToGrid w:val="0"/>
          <w:color w:val="auto"/>
          <w:szCs w:val="21"/>
          <w:lang w:val="en-US" w:eastAsia="zh-CN"/>
        </w:rPr>
      </w:pPr>
      <w:r>
        <w:rPr>
          <w:rFonts w:hint="eastAsia"/>
          <w:b/>
          <w:bCs/>
          <w:snapToGrid w:val="0"/>
          <w:color w:val="auto"/>
          <w:szCs w:val="21"/>
          <w:lang w:val="en-US" w:eastAsia="zh-CN"/>
        </w:rPr>
        <w:t>综上本项目的粪污处理是可行的。</w:t>
      </w:r>
    </w:p>
    <w:p>
      <w:pPr>
        <w:adjustRightInd w:val="0"/>
        <w:snapToGrid w:val="0"/>
        <w:spacing w:line="360" w:lineRule="auto"/>
        <w:ind w:firstLine="482" w:firstLineChars="200"/>
        <w:rPr>
          <w:rFonts w:hint="eastAsia"/>
          <w:b/>
          <w:bCs/>
          <w:color w:val="auto"/>
          <w:sz w:val="24"/>
        </w:rPr>
      </w:pPr>
      <w:r>
        <w:rPr>
          <w:rFonts w:hint="eastAsia"/>
          <w:b/>
          <w:bCs/>
          <w:color w:val="auto"/>
          <w:sz w:val="24"/>
        </w:rPr>
        <w:t>（</w:t>
      </w:r>
      <w:r>
        <w:rPr>
          <w:rFonts w:hint="eastAsia"/>
          <w:b/>
          <w:bCs/>
          <w:color w:val="auto"/>
          <w:sz w:val="24"/>
          <w:lang w:val="en-US" w:eastAsia="zh-CN"/>
        </w:rPr>
        <w:t>2</w:t>
      </w:r>
      <w:r>
        <w:rPr>
          <w:rFonts w:hint="eastAsia"/>
          <w:b/>
          <w:bCs/>
          <w:color w:val="auto"/>
          <w:sz w:val="24"/>
        </w:rPr>
        <w:t xml:space="preserve">）病死牛及分娩废物 </w:t>
      </w:r>
    </w:p>
    <w:p>
      <w:pPr>
        <w:adjustRightInd w:val="0"/>
        <w:snapToGrid w:val="0"/>
        <w:spacing w:line="360" w:lineRule="auto"/>
        <w:ind w:firstLine="480" w:firstLineChars="200"/>
        <w:rPr>
          <w:rFonts w:hint="default"/>
          <w:color w:val="auto"/>
          <w:sz w:val="24"/>
          <w:lang w:val="en-US"/>
        </w:rPr>
      </w:pPr>
      <w:r>
        <w:rPr>
          <w:rFonts w:hint="eastAsia"/>
          <w:color w:val="auto"/>
          <w:sz w:val="24"/>
        </w:rPr>
        <w:t>养殖过程中牛死亡率和养殖场本身的生产管理水平，疫情灾害发生情况以及防疫水平都有直接关联，由于成年牛抵抗能力较强，因此肉牛养殖场中，病死牛以犊牛为主，根据现有其他工程运行经验，牛的成活率约为98%，病死犊牛平均体重按</w:t>
      </w:r>
      <w:r>
        <w:rPr>
          <w:rFonts w:hint="eastAsia"/>
          <w:color w:val="auto"/>
          <w:sz w:val="24"/>
          <w:lang w:val="en-US" w:eastAsia="zh-CN"/>
        </w:rPr>
        <w:t>200kg/头，病死牛产生量约为23.4t/a.</w:t>
      </w:r>
    </w:p>
    <w:p>
      <w:pPr>
        <w:adjustRightInd w:val="0"/>
        <w:snapToGrid w:val="0"/>
        <w:spacing w:line="360" w:lineRule="auto"/>
        <w:ind w:firstLine="480" w:firstLineChars="200"/>
        <w:rPr>
          <w:rFonts w:hint="eastAsia"/>
          <w:color w:val="auto"/>
          <w:sz w:val="24"/>
        </w:rPr>
      </w:pPr>
      <w:r>
        <w:rPr>
          <w:rFonts w:hint="eastAsia"/>
          <w:color w:val="auto"/>
          <w:sz w:val="24"/>
        </w:rPr>
        <w:t>项目病死牛</w:t>
      </w:r>
      <w:r>
        <w:rPr>
          <w:rFonts w:hint="eastAsia"/>
          <w:color w:val="auto"/>
          <w:sz w:val="24"/>
          <w:u w:val="single"/>
        </w:rPr>
        <w:t>经无害化处理后暂存</w:t>
      </w:r>
      <w:r>
        <w:rPr>
          <w:rFonts w:hint="eastAsia"/>
          <w:color w:val="auto"/>
          <w:sz w:val="24"/>
          <w:u w:val="single"/>
          <w:lang w:eastAsia="zh-CN"/>
        </w:rPr>
        <w:t>，</w:t>
      </w:r>
      <w:r>
        <w:rPr>
          <w:rFonts w:hint="eastAsia"/>
          <w:color w:val="auto"/>
          <w:sz w:val="24"/>
          <w:u w:val="single"/>
        </w:rPr>
        <w:t>作为有机肥原料外售。</w:t>
      </w:r>
    </w:p>
    <w:p>
      <w:pPr>
        <w:adjustRightInd w:val="0"/>
        <w:snapToGrid w:val="0"/>
        <w:spacing w:line="360" w:lineRule="auto"/>
        <w:ind w:firstLine="480" w:firstLineChars="200"/>
        <w:rPr>
          <w:rFonts w:hint="eastAsia"/>
          <w:color w:val="auto"/>
          <w:sz w:val="24"/>
        </w:rPr>
      </w:pPr>
      <w:r>
        <w:rPr>
          <w:rFonts w:hint="eastAsia"/>
          <w:color w:val="auto"/>
          <w:sz w:val="24"/>
        </w:rPr>
        <w:t xml:space="preserve">根据环境保护部关于病害动物无害化处理有关意见的复函：《动物防疫法》明确要求病害动物应当按照国务院兽医主管部门的规定进行无害化处理，不得随意处置。病害动物按照《畜禽养殖业污染治理工程技术规范》（HJ 497-2009）及《畜禽养殖业污染防治技术规范》（HJ/T81-2001）进行无害化处理，不再按照危险废物进行处置。 </w:t>
      </w:r>
    </w:p>
    <w:p>
      <w:pPr>
        <w:adjustRightInd w:val="0"/>
        <w:snapToGrid w:val="0"/>
        <w:spacing w:line="360" w:lineRule="auto"/>
        <w:ind w:firstLine="480" w:firstLineChars="200"/>
        <w:rPr>
          <w:rFonts w:hint="eastAsia"/>
          <w:color w:val="auto"/>
          <w:sz w:val="24"/>
          <w:highlight w:val="yellow"/>
        </w:rPr>
      </w:pPr>
      <w:r>
        <w:rPr>
          <w:rFonts w:hint="eastAsia"/>
          <w:color w:val="auto"/>
          <w:sz w:val="24"/>
        </w:rPr>
        <w:t>本项目拟在场区内采用高温生物降解无害化工艺，对病死牛及分娩废物进行处置。“干化法”属于《病死及病害动物无害化处理技术规范》中载明的病死动物无害化处理技术之一，项目利用“干化法”无害化处理病死牛技术可行。</w:t>
      </w:r>
    </w:p>
    <w:p>
      <w:pPr>
        <w:spacing w:line="360" w:lineRule="auto"/>
        <w:ind w:firstLine="482" w:firstLineChars="200"/>
        <w:outlineLvl w:val="9"/>
        <w:rPr>
          <w:rFonts w:hint="eastAsia" w:eastAsia="宋体"/>
          <w:b/>
          <w:bCs w:val="0"/>
          <w:color w:val="auto"/>
          <w:sz w:val="24"/>
          <w:lang w:eastAsia="zh-CN"/>
        </w:rPr>
      </w:pPr>
      <w:r>
        <w:rPr>
          <w:b/>
          <w:bCs w:val="0"/>
          <w:color w:val="auto"/>
          <w:sz w:val="24"/>
        </w:rPr>
        <w:t>（</w:t>
      </w:r>
      <w:r>
        <w:rPr>
          <w:rFonts w:hint="eastAsia"/>
          <w:b/>
          <w:bCs w:val="0"/>
          <w:color w:val="auto"/>
          <w:sz w:val="24"/>
          <w:lang w:val="en-US" w:eastAsia="zh-CN"/>
        </w:rPr>
        <w:t>3</w:t>
      </w:r>
      <w:r>
        <w:rPr>
          <w:b/>
          <w:bCs w:val="0"/>
          <w:color w:val="auto"/>
          <w:sz w:val="24"/>
        </w:rPr>
        <w:t>）</w:t>
      </w:r>
      <w:r>
        <w:rPr>
          <w:rFonts w:hint="eastAsia"/>
          <w:b/>
          <w:bCs w:val="0"/>
          <w:color w:val="auto"/>
          <w:sz w:val="24"/>
        </w:rPr>
        <w:t>废包装材料</w:t>
      </w:r>
    </w:p>
    <w:p>
      <w:pPr>
        <w:spacing w:line="360" w:lineRule="auto"/>
        <w:ind w:firstLine="480" w:firstLineChars="200"/>
        <w:outlineLvl w:val="9"/>
        <w:rPr>
          <w:rFonts w:hint="eastAsia" w:ascii="宋体" w:hAnsi="宋体"/>
          <w:color w:val="auto"/>
          <w:sz w:val="24"/>
          <w:lang w:eastAsia="zh-CN"/>
        </w:rPr>
      </w:pPr>
      <w:r>
        <w:rPr>
          <w:rFonts w:hint="eastAsia" w:ascii="宋体" w:hAnsi="宋体"/>
          <w:color w:val="auto"/>
          <w:sz w:val="24"/>
        </w:rPr>
        <w:t>本项目营运过程将产生少量废包装材料，产生量</w:t>
      </w:r>
      <w:r>
        <w:rPr>
          <w:rFonts w:hint="eastAsia" w:cs="Times New Roman"/>
          <w:color w:val="auto"/>
          <w:sz w:val="24"/>
          <w:lang w:val="en-US" w:eastAsia="zh-CN"/>
        </w:rPr>
        <w:t>1.2</w:t>
      </w:r>
      <w:r>
        <w:rPr>
          <w:rFonts w:hint="default" w:ascii="Times New Roman" w:hAnsi="Times New Roman" w:cs="Times New Roman"/>
          <w:color w:val="auto"/>
          <w:sz w:val="24"/>
        </w:rPr>
        <w:t>t/a</w:t>
      </w:r>
      <w:r>
        <w:rPr>
          <w:rFonts w:hint="eastAsia" w:ascii="宋体" w:hAnsi="宋体"/>
          <w:color w:val="auto"/>
          <w:sz w:val="24"/>
        </w:rPr>
        <w:t>，由原厂家回收处置</w:t>
      </w:r>
      <w:r>
        <w:rPr>
          <w:rFonts w:hint="eastAsia" w:ascii="宋体" w:hAnsi="宋体"/>
          <w:color w:val="auto"/>
          <w:sz w:val="24"/>
          <w:lang w:eastAsia="zh-CN"/>
        </w:rPr>
        <w:t>。</w:t>
      </w:r>
    </w:p>
    <w:p>
      <w:pPr>
        <w:spacing w:line="360" w:lineRule="auto"/>
        <w:ind w:firstLine="482" w:firstLineChars="200"/>
        <w:outlineLvl w:val="4"/>
        <w:rPr>
          <w:b/>
          <w:bCs w:val="0"/>
          <w:color w:val="auto"/>
          <w:sz w:val="24"/>
        </w:rPr>
      </w:pPr>
      <w:r>
        <w:rPr>
          <w:b/>
          <w:bCs w:val="0"/>
          <w:color w:val="auto"/>
          <w:sz w:val="24"/>
        </w:rPr>
        <w:t>（</w:t>
      </w:r>
      <w:r>
        <w:rPr>
          <w:rFonts w:hint="eastAsia"/>
          <w:b/>
          <w:bCs w:val="0"/>
          <w:color w:val="auto"/>
          <w:sz w:val="24"/>
          <w:lang w:val="en-US" w:eastAsia="zh-CN"/>
        </w:rPr>
        <w:t>4</w:t>
      </w:r>
      <w:r>
        <w:rPr>
          <w:b/>
          <w:bCs w:val="0"/>
          <w:color w:val="auto"/>
          <w:sz w:val="24"/>
        </w:rPr>
        <w:t>）畜禽医疗垃圾</w:t>
      </w:r>
    </w:p>
    <w:p>
      <w:pPr>
        <w:snapToGrid w:val="0"/>
        <w:spacing w:line="360" w:lineRule="auto"/>
        <w:ind w:firstLine="480" w:firstLineChars="200"/>
        <w:rPr>
          <w:rFonts w:ascii="宋体" w:hAnsi="宋体"/>
          <w:color w:val="auto"/>
          <w:sz w:val="24"/>
        </w:rPr>
      </w:pPr>
      <w:r>
        <w:rPr>
          <w:rFonts w:hint="eastAsia" w:ascii="宋体" w:hAnsi="宋体"/>
          <w:color w:val="auto"/>
          <w:sz w:val="24"/>
        </w:rPr>
        <w:t>本项目为规模化养</w:t>
      </w:r>
      <w:r>
        <w:rPr>
          <w:rFonts w:hint="eastAsia" w:ascii="宋体" w:hAnsi="宋体"/>
          <w:color w:val="auto"/>
          <w:sz w:val="24"/>
          <w:lang w:eastAsia="zh-CN"/>
        </w:rPr>
        <w:t>牛</w:t>
      </w:r>
      <w:r>
        <w:rPr>
          <w:rFonts w:hint="eastAsia" w:ascii="宋体" w:hAnsi="宋体"/>
          <w:color w:val="auto"/>
          <w:sz w:val="24"/>
        </w:rPr>
        <w:t>场的建设，</w:t>
      </w:r>
      <w:r>
        <w:rPr>
          <w:rFonts w:hint="eastAsia" w:ascii="宋体" w:hAnsi="宋体"/>
          <w:color w:val="auto"/>
          <w:sz w:val="24"/>
          <w:lang w:eastAsia="zh-CN"/>
        </w:rPr>
        <w:t>牛</w:t>
      </w:r>
      <w:r>
        <w:rPr>
          <w:rFonts w:hint="eastAsia" w:ascii="宋体" w:hAnsi="宋体"/>
          <w:color w:val="auto"/>
          <w:sz w:val="24"/>
        </w:rPr>
        <w:t>场内仅对</w:t>
      </w:r>
      <w:r>
        <w:rPr>
          <w:rFonts w:hint="eastAsia" w:ascii="宋体" w:hAnsi="宋体"/>
          <w:color w:val="auto"/>
          <w:sz w:val="24"/>
          <w:lang w:eastAsia="zh-CN"/>
        </w:rPr>
        <w:t>牛</w:t>
      </w:r>
      <w:r>
        <w:rPr>
          <w:rFonts w:hint="eastAsia" w:ascii="宋体" w:hAnsi="宋体"/>
          <w:color w:val="auto"/>
          <w:sz w:val="24"/>
        </w:rPr>
        <w:t>只进行疫苗注射、健康体检、配制普通口服药等，运营期间会产生医疗废弃物主要包括损伤性废弃物（针头、玻璃器皿、玻璃药剂瓶等）、药物性废弃物（过期药品、疫苗等）、感染性废弃物（一次性注射器、棉球、棉签、纱布、病畜污染物等）、化学性废弃物（消毒剂、化学试剂等）。</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本项目医疗废弃物产生量</w:t>
      </w:r>
      <w:r>
        <w:rPr>
          <w:rFonts w:hint="default" w:ascii="Times New Roman" w:hAnsi="Times New Roman" w:cs="Times New Roman"/>
          <w:color w:val="auto"/>
          <w:sz w:val="24"/>
          <w:lang w:val="en-US" w:eastAsia="zh-CN"/>
        </w:rPr>
        <w:t>0.8</w:t>
      </w:r>
      <w:r>
        <w:rPr>
          <w:rFonts w:hint="default" w:ascii="Times New Roman" w:hAnsi="Times New Roman" w:cs="Times New Roman"/>
          <w:color w:val="auto"/>
          <w:sz w:val="24"/>
        </w:rPr>
        <w:t>t/a，医疗废物属于危险废物，废物类别为HW01，废物代码为：900-001-01。</w:t>
      </w:r>
    </w:p>
    <w:p>
      <w:pPr>
        <w:snapToGrid w:val="0"/>
        <w:spacing w:line="360" w:lineRule="auto"/>
        <w:ind w:firstLine="480" w:firstLineChars="200"/>
        <w:rPr>
          <w:rFonts w:ascii="宋体" w:hAnsi="宋体"/>
          <w:color w:val="auto"/>
          <w:sz w:val="24"/>
        </w:rPr>
      </w:pPr>
      <w:r>
        <w:rPr>
          <w:rFonts w:hint="eastAsia" w:ascii="宋体" w:hAnsi="宋体"/>
          <w:color w:val="auto"/>
          <w:sz w:val="24"/>
        </w:rPr>
        <w:t>环评要求，项目内应设置医疗废物暂存间，运营期间产生的废弃药品、废弃兽药包装袋、过期兽药等医疗废物由暂存间进行暂时存放，定期交由有资质的单位进行处理，严禁与生活垃圾混淆一起处理。</w:t>
      </w:r>
    </w:p>
    <w:p>
      <w:pPr>
        <w:spacing w:line="360" w:lineRule="auto"/>
        <w:ind w:firstLine="482" w:firstLineChars="200"/>
        <w:outlineLvl w:val="4"/>
        <w:rPr>
          <w:b/>
          <w:bCs w:val="0"/>
          <w:color w:val="auto"/>
          <w:sz w:val="24"/>
        </w:rPr>
      </w:pPr>
      <w:r>
        <w:rPr>
          <w:b/>
          <w:bCs w:val="0"/>
          <w:color w:val="auto"/>
          <w:sz w:val="24"/>
        </w:rPr>
        <w:t>（</w:t>
      </w:r>
      <w:r>
        <w:rPr>
          <w:rFonts w:hint="eastAsia"/>
          <w:b/>
          <w:bCs w:val="0"/>
          <w:color w:val="auto"/>
          <w:sz w:val="24"/>
          <w:lang w:val="en-US" w:eastAsia="zh-CN"/>
        </w:rPr>
        <w:t>5</w:t>
      </w:r>
      <w:r>
        <w:rPr>
          <w:b/>
          <w:bCs w:val="0"/>
          <w:color w:val="auto"/>
          <w:sz w:val="24"/>
        </w:rPr>
        <w:t>）</w:t>
      </w:r>
      <w:r>
        <w:rPr>
          <w:rFonts w:hint="eastAsia"/>
          <w:b/>
          <w:bCs w:val="0"/>
          <w:color w:val="auto"/>
          <w:sz w:val="24"/>
        </w:rPr>
        <w:t>生活垃圾</w:t>
      </w:r>
    </w:p>
    <w:p>
      <w:pPr>
        <w:snapToGrid w:val="0"/>
        <w:spacing w:line="360" w:lineRule="auto"/>
        <w:ind w:firstLine="480" w:firstLineChars="200"/>
        <w:rPr>
          <w:color w:val="auto"/>
          <w:sz w:val="24"/>
        </w:rPr>
      </w:pPr>
      <w:r>
        <w:rPr>
          <w:rFonts w:hint="eastAsia"/>
          <w:color w:val="auto"/>
          <w:sz w:val="24"/>
        </w:rPr>
        <w:t>该厂职工共</w:t>
      </w:r>
      <w:r>
        <w:rPr>
          <w:rFonts w:hint="eastAsia"/>
          <w:color w:val="auto"/>
          <w:sz w:val="24"/>
          <w:lang w:val="en-US" w:eastAsia="zh-CN"/>
        </w:rPr>
        <w:t>20</w:t>
      </w:r>
      <w:r>
        <w:rPr>
          <w:rFonts w:hint="eastAsia"/>
          <w:color w:val="auto"/>
          <w:sz w:val="24"/>
        </w:rPr>
        <w:t>人，职工生活垃圾按每人0.5kg/天计，则每天产生生活垃圾</w:t>
      </w:r>
      <w:r>
        <w:rPr>
          <w:rFonts w:hint="eastAsia"/>
          <w:color w:val="auto"/>
          <w:sz w:val="24"/>
          <w:lang w:val="en-US" w:eastAsia="zh-CN"/>
        </w:rPr>
        <w:t>10</w:t>
      </w:r>
      <w:r>
        <w:rPr>
          <w:rFonts w:hint="eastAsia"/>
          <w:color w:val="auto"/>
          <w:sz w:val="24"/>
        </w:rPr>
        <w:t>kg/d。生活垃圾年总产生量约为</w:t>
      </w:r>
      <w:r>
        <w:rPr>
          <w:rFonts w:hint="eastAsia"/>
          <w:color w:val="auto"/>
          <w:sz w:val="24"/>
          <w:lang w:val="en-US" w:eastAsia="zh-CN"/>
        </w:rPr>
        <w:t>3.65</w:t>
      </w:r>
      <w:r>
        <w:rPr>
          <w:rFonts w:hint="eastAsia"/>
          <w:color w:val="auto"/>
          <w:sz w:val="24"/>
        </w:rPr>
        <w:t>t/a。这部分垃圾经袋装存放在项目内垃圾收集点，由环卫部门统一清运。</w:t>
      </w:r>
    </w:p>
    <w:p>
      <w:pPr>
        <w:spacing w:line="360" w:lineRule="auto"/>
        <w:ind w:firstLine="482" w:firstLineChars="200"/>
        <w:outlineLvl w:val="4"/>
        <w:rPr>
          <w:b/>
          <w:bCs w:val="0"/>
          <w:color w:val="auto"/>
          <w:sz w:val="24"/>
        </w:rPr>
      </w:pPr>
      <w:r>
        <w:rPr>
          <w:b/>
          <w:bCs w:val="0"/>
          <w:color w:val="auto"/>
          <w:sz w:val="24"/>
        </w:rPr>
        <w:t>（</w:t>
      </w:r>
      <w:r>
        <w:rPr>
          <w:rFonts w:hint="eastAsia"/>
          <w:b/>
          <w:bCs w:val="0"/>
          <w:color w:val="auto"/>
          <w:sz w:val="24"/>
          <w:lang w:val="en-US" w:eastAsia="zh-CN"/>
        </w:rPr>
        <w:t>6</w:t>
      </w:r>
      <w:r>
        <w:rPr>
          <w:b/>
          <w:bCs w:val="0"/>
          <w:color w:val="auto"/>
          <w:sz w:val="24"/>
        </w:rPr>
        <w:t>）</w:t>
      </w:r>
      <w:r>
        <w:rPr>
          <w:rFonts w:hint="eastAsia"/>
          <w:b/>
          <w:bCs w:val="0"/>
          <w:color w:val="auto"/>
          <w:sz w:val="24"/>
          <w:lang w:eastAsia="zh-CN"/>
        </w:rPr>
        <w:t>预处理池</w:t>
      </w:r>
      <w:r>
        <w:rPr>
          <w:rFonts w:hint="eastAsia"/>
          <w:b/>
          <w:bCs w:val="0"/>
          <w:color w:val="auto"/>
          <w:sz w:val="24"/>
        </w:rPr>
        <w:t>污泥</w:t>
      </w:r>
    </w:p>
    <w:p>
      <w:pPr>
        <w:snapToGrid w:val="0"/>
        <w:spacing w:line="360" w:lineRule="auto"/>
        <w:ind w:firstLine="480" w:firstLineChars="200"/>
        <w:rPr>
          <w:rFonts w:ascii="宋体" w:hAnsi="宋体"/>
          <w:color w:val="auto"/>
          <w:sz w:val="24"/>
        </w:rPr>
      </w:pPr>
      <w:r>
        <w:rPr>
          <w:rFonts w:hint="default" w:ascii="Times New Roman" w:hAnsi="Times New Roman" w:cs="Times New Roman"/>
          <w:color w:val="auto"/>
          <w:sz w:val="24"/>
        </w:rPr>
        <w:t>本项目营运过程将产生少量</w:t>
      </w:r>
      <w:r>
        <w:rPr>
          <w:rFonts w:hint="eastAsia" w:cs="Times New Roman"/>
          <w:color w:val="auto"/>
          <w:sz w:val="24"/>
          <w:lang w:eastAsia="zh-CN"/>
        </w:rPr>
        <w:t>预处理池</w:t>
      </w:r>
      <w:r>
        <w:rPr>
          <w:rFonts w:hint="default" w:ascii="Times New Roman" w:hAnsi="Times New Roman" w:cs="Times New Roman"/>
          <w:color w:val="auto"/>
          <w:sz w:val="24"/>
        </w:rPr>
        <w:t>污泥，产生量</w:t>
      </w:r>
      <w:r>
        <w:rPr>
          <w:rFonts w:hint="default" w:ascii="Times New Roman" w:hAnsi="Times New Roman" w:cs="Times New Roman"/>
          <w:color w:val="auto"/>
          <w:sz w:val="24"/>
          <w:lang w:val="en-US" w:eastAsia="zh-CN"/>
        </w:rPr>
        <w:t>0.1</w:t>
      </w:r>
      <w:r>
        <w:rPr>
          <w:rFonts w:hint="default" w:ascii="Times New Roman" w:hAnsi="Times New Roman" w:cs="Times New Roman"/>
          <w:color w:val="auto"/>
          <w:sz w:val="24"/>
        </w:rPr>
        <w:t>t/a，由环卫</w:t>
      </w:r>
      <w:r>
        <w:rPr>
          <w:rFonts w:hint="eastAsia" w:ascii="宋体" w:hAnsi="宋体"/>
          <w:color w:val="auto"/>
          <w:sz w:val="24"/>
        </w:rPr>
        <w:t>部门清运处理。</w:t>
      </w:r>
    </w:p>
    <w:p>
      <w:pPr>
        <w:spacing w:line="360" w:lineRule="auto"/>
        <w:ind w:firstLine="482" w:firstLineChars="200"/>
        <w:outlineLvl w:val="4"/>
        <w:rPr>
          <w:b/>
          <w:bCs w:val="0"/>
          <w:color w:val="auto"/>
          <w:sz w:val="24"/>
        </w:rPr>
      </w:pPr>
      <w:r>
        <w:rPr>
          <w:b/>
          <w:bCs w:val="0"/>
          <w:color w:val="auto"/>
          <w:sz w:val="24"/>
        </w:rPr>
        <w:t>（</w:t>
      </w:r>
      <w:r>
        <w:rPr>
          <w:rFonts w:hint="eastAsia"/>
          <w:b/>
          <w:bCs w:val="0"/>
          <w:color w:val="auto"/>
          <w:sz w:val="24"/>
          <w:lang w:val="en-US" w:eastAsia="zh-CN"/>
        </w:rPr>
        <w:t>7</w:t>
      </w:r>
      <w:r>
        <w:rPr>
          <w:b/>
          <w:bCs w:val="0"/>
          <w:color w:val="auto"/>
          <w:sz w:val="24"/>
        </w:rPr>
        <w:t>）</w:t>
      </w:r>
      <w:r>
        <w:rPr>
          <w:rFonts w:hint="eastAsia"/>
          <w:b/>
          <w:bCs w:val="0"/>
          <w:color w:val="auto"/>
          <w:sz w:val="24"/>
        </w:rPr>
        <w:t>隔油池浮油</w:t>
      </w:r>
    </w:p>
    <w:p>
      <w:pPr>
        <w:snapToGrid w:val="0"/>
        <w:spacing w:line="360" w:lineRule="auto"/>
        <w:ind w:firstLine="480" w:firstLineChars="200"/>
        <w:rPr>
          <w:rFonts w:hint="default" w:ascii="Times New Roman" w:hAnsi="Times New Roman" w:cs="Times New Roman"/>
          <w:color w:val="auto"/>
          <w:sz w:val="24"/>
        </w:rPr>
      </w:pPr>
      <w:r>
        <w:rPr>
          <w:rFonts w:hint="eastAsia" w:ascii="宋体" w:hAnsi="宋体"/>
          <w:color w:val="auto"/>
          <w:sz w:val="24"/>
        </w:rPr>
        <w:t>本项目营运过程将产生少量隔</w:t>
      </w:r>
      <w:r>
        <w:rPr>
          <w:rFonts w:hint="default" w:ascii="Times New Roman" w:hAnsi="Times New Roman" w:cs="Times New Roman"/>
          <w:color w:val="auto"/>
          <w:sz w:val="24"/>
        </w:rPr>
        <w:t>油池废油，产生量0.0</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t/a，定期送三方资质单位处理。</w:t>
      </w:r>
    </w:p>
    <w:p>
      <w:pPr>
        <w:spacing w:line="360" w:lineRule="auto"/>
        <w:ind w:firstLine="482" w:firstLineChars="200"/>
        <w:outlineLvl w:val="4"/>
        <w:rPr>
          <w:rFonts w:ascii="Times New Roman" w:hAnsi="Times New Roman" w:cs="Times New Roman"/>
          <w:b/>
          <w:color w:val="auto"/>
          <w:sz w:val="24"/>
          <w:szCs w:val="24"/>
          <w:lang w:eastAsia="zh-CN"/>
        </w:rPr>
      </w:pPr>
      <w:r>
        <w:rPr>
          <w:rFonts w:hint="eastAsia" w:ascii="Times New Roman" w:hAnsi="Times New Roman" w:cs="Times New Roman"/>
          <w:b/>
          <w:color w:val="auto"/>
          <w:sz w:val="24"/>
          <w:szCs w:val="24"/>
          <w:lang w:eastAsia="zh-CN"/>
        </w:rPr>
        <w:t>（</w:t>
      </w:r>
      <w:r>
        <w:rPr>
          <w:rFonts w:hint="eastAsia" w:cs="Times New Roman"/>
          <w:b/>
          <w:color w:val="auto"/>
          <w:sz w:val="24"/>
          <w:szCs w:val="24"/>
          <w:lang w:val="en-US" w:eastAsia="zh-CN"/>
        </w:rPr>
        <w:t>8</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布袋除尘器收集的粉尘</w:t>
      </w:r>
    </w:p>
    <w:p>
      <w:pPr>
        <w:spacing w:line="360" w:lineRule="auto"/>
        <w:ind w:firstLine="480" w:firstLineChars="20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项目</w:t>
      </w:r>
      <w:r>
        <w:rPr>
          <w:rFonts w:hint="eastAsia" w:ascii="Times New Roman" w:hAnsi="Times New Roman" w:cs="Times New Roman"/>
          <w:color w:val="auto"/>
          <w:sz w:val="24"/>
          <w:szCs w:val="24"/>
          <w:lang w:val="en-US" w:eastAsia="zh-CN"/>
        </w:rPr>
        <w:t>布袋除尘器收集的粉尘</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产生量约为</w:t>
      </w:r>
      <w:r>
        <w:rPr>
          <w:rFonts w:hint="eastAsia" w:cs="Times New Roman"/>
          <w:color w:val="auto"/>
          <w:sz w:val="24"/>
          <w:szCs w:val="24"/>
          <w:lang w:val="en-US" w:eastAsia="zh-CN"/>
        </w:rPr>
        <w:t>1.61</w:t>
      </w:r>
      <w:r>
        <w:rPr>
          <w:rFonts w:hint="eastAsia" w:ascii="Times New Roman" w:hAnsi="Times New Roman" w:cs="Times New Roman"/>
          <w:color w:val="auto"/>
          <w:sz w:val="24"/>
          <w:szCs w:val="24"/>
          <w:lang w:val="en-US" w:eastAsia="zh-CN"/>
        </w:rPr>
        <w:t>t</w:t>
      </w:r>
      <w:r>
        <w:rPr>
          <w:rFonts w:ascii="Times New Roman" w:hAnsi="Times New Roman" w:cs="Times New Roman"/>
          <w:color w:val="auto"/>
          <w:sz w:val="24"/>
          <w:szCs w:val="24"/>
          <w:lang w:eastAsia="zh-CN"/>
        </w:rPr>
        <w:t>，暂存于场区一般固废暂存间，</w:t>
      </w:r>
      <w:r>
        <w:rPr>
          <w:rFonts w:hint="eastAsia" w:ascii="Times New Roman" w:hAnsi="Times New Roman" w:cs="Times New Roman"/>
          <w:color w:val="auto"/>
          <w:sz w:val="24"/>
          <w:szCs w:val="24"/>
          <w:lang w:val="en-US" w:eastAsia="zh-CN"/>
        </w:rPr>
        <w:t>外售有机肥厂</w:t>
      </w:r>
      <w:r>
        <w:rPr>
          <w:rFonts w:ascii="Times New Roman" w:hAnsi="Times New Roman" w:cs="Times New Roman"/>
          <w:color w:val="auto"/>
          <w:sz w:val="24"/>
          <w:szCs w:val="24"/>
          <w:lang w:eastAsia="zh-CN"/>
        </w:rPr>
        <w:t>。</w:t>
      </w:r>
    </w:p>
    <w:p>
      <w:pPr>
        <w:snapToGrid w:val="0"/>
        <w:spacing w:line="360" w:lineRule="auto"/>
        <w:ind w:firstLine="480" w:firstLineChars="200"/>
        <w:rPr>
          <w:color w:val="auto"/>
          <w:sz w:val="24"/>
        </w:rPr>
      </w:pPr>
      <w:r>
        <w:rPr>
          <w:color w:val="auto"/>
          <w:sz w:val="24"/>
        </w:rPr>
        <w:t>本项目固废产生及处理情况见表</w:t>
      </w:r>
      <w:r>
        <w:rPr>
          <w:rFonts w:hint="eastAsia"/>
          <w:color w:val="auto"/>
          <w:sz w:val="24"/>
          <w:lang w:val="en-US" w:eastAsia="zh-CN"/>
        </w:rPr>
        <w:t>3</w:t>
      </w:r>
      <w:r>
        <w:rPr>
          <w:rFonts w:hint="eastAsia"/>
          <w:color w:val="auto"/>
          <w:sz w:val="24"/>
        </w:rPr>
        <w:t>.5</w:t>
      </w:r>
      <w:r>
        <w:rPr>
          <w:color w:val="auto"/>
          <w:sz w:val="24"/>
        </w:rPr>
        <w:t>-</w:t>
      </w:r>
      <w:r>
        <w:rPr>
          <w:rFonts w:hint="eastAsia"/>
          <w:color w:val="auto"/>
          <w:sz w:val="24"/>
          <w:lang w:val="en-US" w:eastAsia="zh-CN"/>
        </w:rPr>
        <w:t>4</w:t>
      </w:r>
      <w:r>
        <w:rPr>
          <w:color w:val="auto"/>
          <w:sz w:val="24"/>
        </w:rPr>
        <w:t>。</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3</w:t>
      </w:r>
      <w:r>
        <w:rPr>
          <w:rFonts w:hint="eastAsia" w:eastAsia="黑体"/>
          <w:color w:val="auto"/>
        </w:rPr>
        <w:t>.5</w:t>
      </w:r>
      <w:r>
        <w:rPr>
          <w:rFonts w:eastAsia="黑体"/>
          <w:color w:val="auto"/>
        </w:rPr>
        <w:t>-</w:t>
      </w:r>
      <w:r>
        <w:rPr>
          <w:rFonts w:hint="eastAsia" w:eastAsia="黑体"/>
          <w:color w:val="auto"/>
          <w:lang w:val="en-US" w:eastAsia="zh-CN"/>
        </w:rPr>
        <w:t>4</w:t>
      </w:r>
      <w:r>
        <w:rPr>
          <w:rFonts w:hint="eastAsia" w:eastAsia="黑体"/>
          <w:color w:val="auto"/>
        </w:rPr>
        <w:t xml:space="preserve">  </w:t>
      </w:r>
      <w:r>
        <w:rPr>
          <w:rFonts w:eastAsia="黑体"/>
          <w:color w:val="auto"/>
        </w:rPr>
        <w:t>本项目固体废物产生及处置情况</w:t>
      </w:r>
    </w:p>
    <w:tbl>
      <w:tblPr>
        <w:tblStyle w:val="89"/>
        <w:tblW w:w="878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5"/>
        <w:gridCol w:w="333"/>
        <w:gridCol w:w="2050"/>
        <w:gridCol w:w="920"/>
        <w:gridCol w:w="1110"/>
        <w:gridCol w:w="1002"/>
        <w:gridCol w:w="278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585"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类别</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序号</w:t>
            </w:r>
          </w:p>
        </w:tc>
        <w:tc>
          <w:tcPr>
            <w:tcW w:w="205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废弃物名称</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产生量</w:t>
            </w:r>
          </w:p>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（t/a）</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来源</w:t>
            </w:r>
          </w:p>
        </w:tc>
        <w:tc>
          <w:tcPr>
            <w:tcW w:w="1002"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毒性鉴别</w:t>
            </w:r>
          </w:p>
        </w:tc>
        <w:tc>
          <w:tcPr>
            <w:tcW w:w="2788"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处理方法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4" w:hRule="atLeast"/>
          <w:jc w:val="center"/>
        </w:trPr>
        <w:tc>
          <w:tcPr>
            <w:tcW w:w="585" w:type="dxa"/>
            <w:vMerge w:val="restart"/>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w:t>
            </w:r>
          </w:p>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szCs w:val="21"/>
              </w:rPr>
            </w:pPr>
            <w:r>
              <w:rPr>
                <w:rFonts w:hint="default"/>
                <w:color w:val="auto"/>
                <w:kern w:val="0"/>
                <w:szCs w:val="21"/>
              </w:rPr>
              <w:t>废物</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1</w:t>
            </w:r>
          </w:p>
        </w:tc>
        <w:tc>
          <w:tcPr>
            <w:tcW w:w="205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lang w:val="en-US" w:eastAsia="zh-CN"/>
              </w:rPr>
            </w:pPr>
            <w:r>
              <w:rPr>
                <w:rFonts w:hint="eastAsia"/>
                <w:color w:val="auto"/>
                <w:kern w:val="0"/>
                <w:szCs w:val="21"/>
                <w:lang w:val="en-US" w:eastAsia="zh-CN"/>
              </w:rPr>
              <w:t>牛粪</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eastAsia"/>
                <w:color w:val="auto"/>
                <w:kern w:val="0"/>
                <w:szCs w:val="21"/>
                <w:lang w:val="en-US" w:eastAsia="zh-CN"/>
              </w:rPr>
              <w:t>38657.15</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val="en-US" w:eastAsia="zh-CN"/>
              </w:rPr>
              <w:t>牛舍</w:t>
            </w:r>
          </w:p>
        </w:tc>
        <w:tc>
          <w:tcPr>
            <w:tcW w:w="1002"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一般废物</w:t>
            </w:r>
          </w:p>
        </w:tc>
        <w:tc>
          <w:tcPr>
            <w:tcW w:w="2788"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经发酵床处理后，外售做有机肥原料。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w:t>
            </w:r>
          </w:p>
        </w:tc>
        <w:tc>
          <w:tcPr>
            <w:tcW w:w="2050" w:type="dxa"/>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default"/>
                <w:color w:val="auto"/>
                <w:kern w:val="0"/>
                <w:szCs w:val="21"/>
              </w:rPr>
              <w:t>病死牛及分娩废物</w:t>
            </w:r>
          </w:p>
        </w:tc>
        <w:tc>
          <w:tcPr>
            <w:tcW w:w="920"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23.4</w:t>
            </w:r>
          </w:p>
        </w:tc>
        <w:tc>
          <w:tcPr>
            <w:tcW w:w="1110"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牛</w:t>
            </w:r>
            <w:r>
              <w:rPr>
                <w:rFonts w:hint="eastAsia"/>
                <w:color w:val="auto"/>
                <w:kern w:val="0"/>
                <w:szCs w:val="21"/>
              </w:rPr>
              <w:t>舍</w:t>
            </w:r>
          </w:p>
        </w:tc>
        <w:tc>
          <w:tcPr>
            <w:tcW w:w="1002"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lang w:val="en-US" w:eastAsia="zh-CN"/>
              </w:rPr>
            </w:pPr>
            <w:r>
              <w:rPr>
                <w:rFonts w:hint="eastAsia"/>
                <w:color w:val="auto"/>
                <w:kern w:val="0"/>
                <w:szCs w:val="21"/>
              </w:rPr>
              <w:t>一般废物</w:t>
            </w:r>
          </w:p>
        </w:tc>
        <w:tc>
          <w:tcPr>
            <w:tcW w:w="2788"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经高温无害化处理后交由有机肥厂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3</w:t>
            </w:r>
          </w:p>
        </w:tc>
        <w:tc>
          <w:tcPr>
            <w:tcW w:w="205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废包装材料</w:t>
            </w:r>
          </w:p>
        </w:tc>
        <w:tc>
          <w:tcPr>
            <w:tcW w:w="92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1.2</w:t>
            </w:r>
          </w:p>
        </w:tc>
        <w:tc>
          <w:tcPr>
            <w:tcW w:w="111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原辅料</w:t>
            </w:r>
          </w:p>
        </w:tc>
        <w:tc>
          <w:tcPr>
            <w:tcW w:w="1002"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lang w:val="en-US" w:eastAsia="zh-CN"/>
              </w:rPr>
              <w:t>暂存于一般固废间</w:t>
            </w:r>
            <w:r>
              <w:rPr>
                <w:rFonts w:hint="eastAsia"/>
                <w:color w:val="auto"/>
                <w:kern w:val="0"/>
                <w:szCs w:val="21"/>
                <w:lang w:eastAsia="zh-CN"/>
              </w:rPr>
              <w:t>，</w:t>
            </w:r>
            <w:r>
              <w:rPr>
                <w:rFonts w:hint="default"/>
                <w:color w:val="auto"/>
                <w:kern w:val="0"/>
                <w:szCs w:val="21"/>
              </w:rPr>
              <w:t>由厂家回收处置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1"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4</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布袋除尘器收集的粉尘</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1.61</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cs="Times New Roman"/>
                <w:color w:val="auto"/>
                <w:kern w:val="0"/>
                <w:sz w:val="21"/>
                <w:szCs w:val="21"/>
                <w:lang w:val="en-US" w:eastAsia="zh-CN" w:bidi="ar-SA"/>
              </w:rPr>
            </w:pPr>
            <w:r>
              <w:rPr>
                <w:rFonts w:hint="eastAsia"/>
                <w:color w:val="auto"/>
                <w:kern w:val="0"/>
                <w:szCs w:val="21"/>
                <w:lang w:val="en-US" w:eastAsia="zh-CN"/>
              </w:rPr>
              <w:t>布袋除尘器</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default"/>
                <w:color w:val="auto"/>
                <w:kern w:val="0"/>
                <w:szCs w:val="21"/>
                <w:lang w:val="en-US" w:eastAsia="zh-CN"/>
              </w:rPr>
            </w:pPr>
            <w:r>
              <w:rPr>
                <w:rFonts w:hint="eastAsia"/>
                <w:color w:val="auto"/>
                <w:kern w:val="0"/>
                <w:szCs w:val="21"/>
                <w:lang w:val="en-US" w:eastAsia="zh-CN"/>
              </w:rPr>
              <w:t>暂存于一般固废间</w:t>
            </w:r>
            <w:r>
              <w:rPr>
                <w:rFonts w:hint="eastAsia"/>
                <w:color w:val="auto"/>
                <w:kern w:val="0"/>
                <w:szCs w:val="21"/>
                <w:lang w:eastAsia="zh-CN"/>
              </w:rPr>
              <w:t>，</w:t>
            </w:r>
            <w:r>
              <w:rPr>
                <w:rFonts w:hint="eastAsia"/>
                <w:color w:val="auto"/>
                <w:kern w:val="0"/>
                <w:szCs w:val="21"/>
                <w:lang w:val="en-US" w:eastAsia="zh-CN"/>
              </w:rPr>
              <w:t>外售有机肥厂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8" w:hRule="atLeast"/>
          <w:jc w:val="center"/>
        </w:trPr>
        <w:tc>
          <w:tcPr>
            <w:tcW w:w="585"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w:t>
            </w:r>
          </w:p>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szCs w:val="21"/>
              </w:rPr>
              <w:t>废物</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w:t>
            </w:r>
          </w:p>
        </w:tc>
        <w:tc>
          <w:tcPr>
            <w:tcW w:w="205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畜禽医疗垃圾</w:t>
            </w:r>
          </w:p>
        </w:tc>
        <w:tc>
          <w:tcPr>
            <w:tcW w:w="92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0.8</w:t>
            </w:r>
          </w:p>
        </w:tc>
        <w:tc>
          <w:tcPr>
            <w:tcW w:w="111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疫苗注射、健康体检等</w:t>
            </w:r>
          </w:p>
        </w:tc>
        <w:tc>
          <w:tcPr>
            <w:tcW w:w="1002"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危险废物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rPr>
            </w:pPr>
            <w:r>
              <w:rPr>
                <w:rFonts w:hint="default"/>
                <w:color w:val="auto"/>
              </w:rPr>
              <w:t>交有资质单位处理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585" w:type="dxa"/>
            <w:vMerge w:val="restart"/>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生活</w:t>
            </w:r>
          </w:p>
        </w:tc>
        <w:tc>
          <w:tcPr>
            <w:tcW w:w="333"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6</w:t>
            </w:r>
          </w:p>
        </w:tc>
        <w:tc>
          <w:tcPr>
            <w:tcW w:w="205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办公生活垃圾</w:t>
            </w:r>
          </w:p>
        </w:tc>
        <w:tc>
          <w:tcPr>
            <w:tcW w:w="92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eastAsia"/>
                <w:color w:val="auto"/>
                <w:kern w:val="0"/>
                <w:szCs w:val="21"/>
                <w:lang w:val="en-US" w:eastAsia="zh-CN"/>
              </w:rPr>
              <w:t>3.65</w:t>
            </w:r>
          </w:p>
        </w:tc>
        <w:tc>
          <w:tcPr>
            <w:tcW w:w="111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定期交由环卫部门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585" w:type="dxa"/>
            <w:vMerge w:val="continue"/>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7</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eastAsia="zh-CN"/>
              </w:rPr>
              <w:t>预处理池</w:t>
            </w:r>
            <w:r>
              <w:rPr>
                <w:rFonts w:hint="default"/>
                <w:color w:val="auto"/>
                <w:kern w:val="0"/>
                <w:szCs w:val="21"/>
              </w:rPr>
              <w:t>污泥</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eastAsia="宋体"/>
                <w:color w:val="auto"/>
                <w:kern w:val="0"/>
                <w:szCs w:val="21"/>
                <w:lang w:val="en-US" w:eastAsia="zh-CN"/>
              </w:rPr>
            </w:pPr>
            <w:r>
              <w:rPr>
                <w:rFonts w:hint="eastAsia"/>
                <w:color w:val="auto"/>
                <w:kern w:val="0"/>
                <w:szCs w:val="21"/>
                <w:lang w:val="en-US" w:eastAsia="zh-CN"/>
              </w:rPr>
              <w:t>0.1</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定期交由环卫部门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85" w:type="dxa"/>
            <w:vMerge w:val="continue"/>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8</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隔油池浮油</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default"/>
                <w:color w:val="auto"/>
                <w:kern w:val="0"/>
                <w:szCs w:val="21"/>
              </w:rPr>
              <w:t>0.0</w:t>
            </w:r>
            <w:r>
              <w:rPr>
                <w:rFonts w:hint="eastAsia"/>
                <w:color w:val="auto"/>
                <w:kern w:val="0"/>
                <w:szCs w:val="21"/>
                <w:lang w:val="en-US" w:eastAsia="zh-CN"/>
              </w:rPr>
              <w:t>2</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送三方资质单位处理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2968" w:type="dxa"/>
            <w:gridSpan w:val="3"/>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合计</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38687.93</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ascii="Times New Roman" w:hAnsi="Times New Roman" w:eastAsia="宋体" w:cs="Times New Roman"/>
                <w:color w:val="auto"/>
                <w:kern w:val="0"/>
                <w:szCs w:val="21"/>
              </w:rPr>
            </w:pPr>
          </w:p>
        </w:tc>
        <w:tc>
          <w:tcPr>
            <w:tcW w:w="100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2788"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r>
    </w:tbl>
    <w:p>
      <w:pPr>
        <w:jc w:val="center"/>
        <w:rPr>
          <w:rFonts w:eastAsia="黑体"/>
          <w:color w:val="auto"/>
        </w:rPr>
      </w:pPr>
      <w:r>
        <w:rPr>
          <w:rFonts w:eastAsia="黑体"/>
          <w:color w:val="auto"/>
        </w:rPr>
        <w:t>表</w:t>
      </w:r>
      <w:r>
        <w:rPr>
          <w:rFonts w:hint="eastAsia" w:eastAsia="黑体"/>
          <w:color w:val="auto"/>
          <w:lang w:val="en-US" w:eastAsia="zh-CN"/>
        </w:rPr>
        <w:t>3.5</w:t>
      </w:r>
      <w:r>
        <w:rPr>
          <w:rFonts w:eastAsia="黑体"/>
          <w:color w:val="auto"/>
        </w:rPr>
        <w:t>-</w:t>
      </w:r>
      <w:r>
        <w:rPr>
          <w:rFonts w:hint="eastAsia" w:eastAsia="黑体"/>
          <w:color w:val="auto"/>
          <w:lang w:val="en-US" w:eastAsia="zh-CN"/>
        </w:rPr>
        <w:t xml:space="preserve">5 </w:t>
      </w:r>
      <w:r>
        <w:rPr>
          <w:rFonts w:eastAsia="黑体"/>
          <w:color w:val="auto"/>
        </w:rPr>
        <w:t xml:space="preserve"> 危险废物汇总表</w:t>
      </w: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073"/>
        <w:gridCol w:w="1099"/>
        <w:gridCol w:w="892"/>
        <w:gridCol w:w="954"/>
        <w:gridCol w:w="832"/>
        <w:gridCol w:w="464"/>
        <w:gridCol w:w="814"/>
        <w:gridCol w:w="488"/>
        <w:gridCol w:w="649"/>
        <w:gridCol w:w="567"/>
        <w:gridCol w:w="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8"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序号</w:t>
            </w:r>
          </w:p>
        </w:tc>
        <w:tc>
          <w:tcPr>
            <w:tcW w:w="59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危险废物名称</w:t>
            </w:r>
          </w:p>
        </w:tc>
        <w:tc>
          <w:tcPr>
            <w:tcW w:w="614"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危险废物类别</w:t>
            </w:r>
          </w:p>
        </w:tc>
        <w:tc>
          <w:tcPr>
            <w:tcW w:w="498"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危险废物代码</w:t>
            </w:r>
          </w:p>
        </w:tc>
        <w:tc>
          <w:tcPr>
            <w:tcW w:w="533"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产生量（吨/年）</w:t>
            </w:r>
          </w:p>
        </w:tc>
        <w:tc>
          <w:tcPr>
            <w:tcW w:w="464"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产生工序及装置</w:t>
            </w:r>
          </w:p>
        </w:tc>
        <w:tc>
          <w:tcPr>
            <w:tcW w:w="25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形态</w:t>
            </w:r>
          </w:p>
        </w:tc>
        <w:tc>
          <w:tcPr>
            <w:tcW w:w="454"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主要成分</w:t>
            </w:r>
          </w:p>
        </w:tc>
        <w:tc>
          <w:tcPr>
            <w:tcW w:w="272"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有害成分</w:t>
            </w:r>
          </w:p>
        </w:tc>
        <w:tc>
          <w:tcPr>
            <w:tcW w:w="362"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产废周期</w:t>
            </w:r>
          </w:p>
        </w:tc>
        <w:tc>
          <w:tcPr>
            <w:tcW w:w="316"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危险</w:t>
            </w:r>
          </w:p>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特性</w:t>
            </w:r>
          </w:p>
        </w:tc>
        <w:tc>
          <w:tcPr>
            <w:tcW w:w="365"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污染防治措施</w:t>
            </w:r>
            <w:r>
              <w:rPr>
                <w:rFonts w:hint="default" w:ascii="Times New Roman" w:hAnsi="Times New Roman"/>
                <w:bCs/>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default" w:ascii="Times New Roman" w:hAnsi="Times New Roman"/>
                <w:bCs/>
                <w:color w:val="auto"/>
                <w:sz w:val="21"/>
                <w:szCs w:val="21"/>
              </w:rPr>
              <w:t>1</w:t>
            </w:r>
          </w:p>
        </w:tc>
        <w:tc>
          <w:tcPr>
            <w:tcW w:w="599" w:type="pct"/>
            <w:vAlign w:val="center"/>
          </w:tcPr>
          <w:p>
            <w:pPr>
              <w:keepNext w:val="0"/>
              <w:keepLines w:val="0"/>
              <w:suppressLineNumbers w:val="0"/>
              <w:tabs>
                <w:tab w:val="left" w:pos="1134"/>
              </w:tabs>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hAnsi="宋体"/>
                <w:color w:val="auto"/>
                <w:szCs w:val="21"/>
              </w:rPr>
              <w:t>畜禽医疗垃圾</w:t>
            </w:r>
          </w:p>
        </w:tc>
        <w:tc>
          <w:tcPr>
            <w:tcW w:w="614" w:type="pct"/>
            <w:vAlign w:val="center"/>
          </w:tcPr>
          <w:p>
            <w:pPr>
              <w:keepNext w:val="0"/>
              <w:keepLines w:val="0"/>
              <w:suppressLineNumbers w:val="0"/>
              <w:tabs>
                <w:tab w:val="left" w:pos="1134"/>
              </w:tabs>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hAnsi="宋体"/>
                <w:color w:val="auto"/>
                <w:szCs w:val="21"/>
              </w:rPr>
              <w:t>医疗废物</w:t>
            </w:r>
            <w:r>
              <w:rPr>
                <w:rFonts w:hint="default"/>
                <w:color w:val="auto"/>
                <w:szCs w:val="21"/>
              </w:rPr>
              <w:t>HW01</w:t>
            </w:r>
          </w:p>
        </w:tc>
        <w:tc>
          <w:tcPr>
            <w:tcW w:w="498" w:type="pct"/>
            <w:vAlign w:val="center"/>
          </w:tcPr>
          <w:p>
            <w:pPr>
              <w:pStyle w:val="1261"/>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bCs/>
                <w:color w:val="auto"/>
                <w:sz w:val="21"/>
                <w:szCs w:val="21"/>
              </w:rPr>
            </w:pPr>
            <w:r>
              <w:rPr>
                <w:rFonts w:hint="default"/>
                <w:color w:val="auto"/>
                <w:szCs w:val="21"/>
              </w:rPr>
              <w:t>900-001-01</w:t>
            </w:r>
          </w:p>
        </w:tc>
        <w:tc>
          <w:tcPr>
            <w:tcW w:w="533"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lang w:val="en-US"/>
              </w:rPr>
            </w:pPr>
            <w:r>
              <w:rPr>
                <w:rFonts w:hint="default" w:ascii="Times New Roman" w:hAnsi="Times New Roman"/>
                <w:bCs/>
                <w:color w:val="auto"/>
                <w:sz w:val="21"/>
                <w:szCs w:val="21"/>
              </w:rPr>
              <w:t>0.</w:t>
            </w:r>
            <w:r>
              <w:rPr>
                <w:rFonts w:hint="eastAsia" w:ascii="Times New Roman" w:hAnsi="Times New Roman"/>
                <w:bCs/>
                <w:color w:val="auto"/>
                <w:sz w:val="21"/>
                <w:szCs w:val="21"/>
                <w:lang w:val="en-US" w:eastAsia="zh-CN"/>
              </w:rPr>
              <w:t>8</w:t>
            </w:r>
          </w:p>
        </w:tc>
        <w:tc>
          <w:tcPr>
            <w:tcW w:w="464"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lang w:val="en-US"/>
              </w:rPr>
            </w:pPr>
            <w:r>
              <w:rPr>
                <w:rFonts w:hint="eastAsia"/>
                <w:color w:val="auto"/>
                <w:kern w:val="0"/>
                <w:szCs w:val="21"/>
              </w:rPr>
              <w:t>畜禽医疗</w:t>
            </w:r>
          </w:p>
        </w:tc>
        <w:tc>
          <w:tcPr>
            <w:tcW w:w="25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default"/>
                <w:color w:val="auto"/>
                <w:szCs w:val="21"/>
              </w:rPr>
              <w:t>固态</w:t>
            </w:r>
          </w:p>
        </w:tc>
        <w:tc>
          <w:tcPr>
            <w:tcW w:w="454"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eastAsia"/>
                <w:color w:val="auto"/>
                <w:kern w:val="0"/>
                <w:szCs w:val="21"/>
              </w:rPr>
              <w:t>塑料、金属、药品</w:t>
            </w:r>
          </w:p>
        </w:tc>
        <w:tc>
          <w:tcPr>
            <w:tcW w:w="272"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eastAsia"/>
                <w:color w:val="auto"/>
                <w:kern w:val="0"/>
                <w:szCs w:val="21"/>
              </w:rPr>
              <w:t>药品</w:t>
            </w:r>
          </w:p>
        </w:tc>
        <w:tc>
          <w:tcPr>
            <w:tcW w:w="362" w:type="pct"/>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bCs/>
                <w:color w:val="auto"/>
                <w:sz w:val="21"/>
                <w:szCs w:val="21"/>
                <w:lang w:eastAsia="zh-CN"/>
              </w:rPr>
            </w:pPr>
            <w:r>
              <w:rPr>
                <w:rFonts w:hint="default"/>
                <w:color w:val="auto"/>
                <w:kern w:val="0"/>
                <w:szCs w:val="21"/>
              </w:rPr>
              <w:t>间断</w:t>
            </w:r>
          </w:p>
        </w:tc>
        <w:tc>
          <w:tcPr>
            <w:tcW w:w="316"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default"/>
                <w:color w:val="auto"/>
                <w:szCs w:val="21"/>
              </w:rPr>
              <w:t>I</w:t>
            </w:r>
            <w:r>
              <w:rPr>
                <w:rFonts w:hint="eastAsia"/>
                <w:color w:val="auto"/>
                <w:szCs w:val="21"/>
              </w:rPr>
              <w:t>m</w:t>
            </w:r>
          </w:p>
        </w:tc>
        <w:tc>
          <w:tcPr>
            <w:tcW w:w="365"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eastAsia" w:ascii="Times New Roman" w:hAnsi="Times New Roman"/>
                <w:bCs/>
                <w:color w:val="auto"/>
                <w:sz w:val="21"/>
                <w:szCs w:val="21"/>
                <w:lang w:val="en-US" w:eastAsia="zh-CN"/>
              </w:rPr>
              <w:t>送</w:t>
            </w:r>
            <w:r>
              <w:rPr>
                <w:rFonts w:hint="default" w:ascii="Times New Roman" w:hAnsi="Times New Roman"/>
                <w:bCs/>
                <w:color w:val="auto"/>
                <w:sz w:val="21"/>
                <w:szCs w:val="21"/>
              </w:rPr>
              <w:t>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2"/>
            <w:vAlign w:val="center"/>
          </w:tcPr>
          <w:p>
            <w:pPr>
              <w:keepNext w:val="0"/>
              <w:keepLines w:val="0"/>
              <w:suppressLineNumbers w:val="0"/>
              <w:spacing w:before="0" w:beforeAutospacing="0" w:after="0" w:afterAutospacing="0" w:line="280" w:lineRule="exact"/>
              <w:ind w:left="0" w:right="0"/>
              <w:rPr>
                <w:rFonts w:hint="default" w:ascii="Times New Roman" w:hAnsi="Times New Roman"/>
                <w:bCs/>
                <w:color w:val="auto"/>
                <w:sz w:val="21"/>
                <w:szCs w:val="21"/>
              </w:rPr>
            </w:pPr>
            <w:r>
              <w:rPr>
                <w:rFonts w:hint="default" w:ascii="Times New Roman" w:hAnsi="Times New Roman"/>
                <w:bCs/>
                <w:color w:val="auto"/>
                <w:sz w:val="21"/>
                <w:szCs w:val="21"/>
              </w:rPr>
              <w:t>*危险特性是指腐蚀性（Corrosivity，C）、毒性（Toxicity，T）、易燃性（Ignitability，I）、反应性（Ractivity，R）和感染性（Infectivity，In）</w:t>
            </w:r>
          </w:p>
        </w:tc>
      </w:tr>
    </w:tbl>
    <w:p>
      <w:pPr>
        <w:spacing w:line="240" w:lineRule="auto"/>
        <w:ind w:firstLine="420" w:firstLineChars="200"/>
        <w:jc w:val="center"/>
        <w:rPr>
          <w:rFonts w:ascii="Times New Roman" w:hAnsi="Times New Roman"/>
          <w:b/>
          <w:color w:val="auto"/>
          <w:sz w:val="21"/>
          <w:szCs w:val="21"/>
        </w:rPr>
      </w:pPr>
      <w:r>
        <w:rPr>
          <w:rFonts w:eastAsia="黑体"/>
          <w:color w:val="auto"/>
        </w:rPr>
        <w:t>表</w:t>
      </w:r>
      <w:r>
        <w:rPr>
          <w:rFonts w:hint="eastAsia" w:eastAsia="黑体"/>
          <w:color w:val="auto"/>
          <w:lang w:val="en-US" w:eastAsia="zh-CN"/>
        </w:rPr>
        <w:t>3.5</w:t>
      </w:r>
      <w:r>
        <w:rPr>
          <w:rFonts w:eastAsia="黑体"/>
          <w:color w:val="auto"/>
        </w:rPr>
        <w:t>-</w:t>
      </w:r>
      <w:r>
        <w:rPr>
          <w:rFonts w:hint="eastAsia" w:eastAsia="黑体"/>
          <w:color w:val="auto"/>
          <w:lang w:val="en-US" w:eastAsia="zh-CN"/>
        </w:rPr>
        <w:t xml:space="preserve">6 </w:t>
      </w:r>
      <w:r>
        <w:rPr>
          <w:rFonts w:eastAsia="黑体"/>
          <w:color w:val="auto"/>
        </w:rPr>
        <w:t xml:space="preserve"> 建设项目危险废物贮存场所（设施）</w:t>
      </w:r>
      <w:r>
        <w:rPr>
          <w:rFonts w:ascii="Times New Roman" w:hAnsi="Times New Roman"/>
          <w:b/>
          <w:color w:val="auto"/>
          <w:sz w:val="21"/>
          <w:szCs w:val="21"/>
        </w:rPr>
        <w:t>基本情况表</w:t>
      </w:r>
    </w:p>
    <w:tbl>
      <w:tblPr>
        <w:tblStyle w:val="89"/>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149"/>
        <w:gridCol w:w="1290"/>
        <w:gridCol w:w="952"/>
        <w:gridCol w:w="1211"/>
        <w:gridCol w:w="751"/>
        <w:gridCol w:w="721"/>
        <w:gridCol w:w="893"/>
        <w:gridCol w:w="803"/>
        <w:gridCol w:w="6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6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序号</w:t>
            </w:r>
          </w:p>
        </w:tc>
        <w:tc>
          <w:tcPr>
            <w:tcW w:w="642" w:type="pct"/>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贮存场所（设施）</w:t>
            </w:r>
          </w:p>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名称</w:t>
            </w:r>
          </w:p>
        </w:tc>
        <w:tc>
          <w:tcPr>
            <w:tcW w:w="720"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危险废物名称</w:t>
            </w:r>
          </w:p>
        </w:tc>
        <w:tc>
          <w:tcPr>
            <w:tcW w:w="532" w:type="pct"/>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危险废物类别</w:t>
            </w:r>
          </w:p>
        </w:tc>
        <w:tc>
          <w:tcPr>
            <w:tcW w:w="676" w:type="pct"/>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危险废物代码</w:t>
            </w:r>
          </w:p>
        </w:tc>
        <w:tc>
          <w:tcPr>
            <w:tcW w:w="41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位置</w:t>
            </w:r>
          </w:p>
        </w:tc>
        <w:tc>
          <w:tcPr>
            <w:tcW w:w="402"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占地面积</w:t>
            </w:r>
          </w:p>
        </w:tc>
        <w:tc>
          <w:tcPr>
            <w:tcW w:w="49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贮存方式</w:t>
            </w:r>
          </w:p>
        </w:tc>
        <w:tc>
          <w:tcPr>
            <w:tcW w:w="448"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贮存</w:t>
            </w:r>
          </w:p>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能力</w:t>
            </w:r>
          </w:p>
        </w:tc>
        <w:tc>
          <w:tcPr>
            <w:tcW w:w="387"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贮存</w:t>
            </w:r>
          </w:p>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21"/>
                <w:szCs w:val="21"/>
              </w:rPr>
            </w:pPr>
            <w:r>
              <w:rPr>
                <w:rFonts w:hint="eastAsia" w:ascii="Times New Roman" w:hAnsi="Times New Roman"/>
                <w:b/>
                <w:color w:val="auto"/>
                <w:sz w:val="21"/>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6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default" w:ascii="Times New Roman" w:hAnsi="Times New Roman"/>
                <w:bCs/>
                <w:color w:val="auto"/>
                <w:sz w:val="21"/>
                <w:szCs w:val="21"/>
              </w:rPr>
              <w:t>1</w:t>
            </w:r>
          </w:p>
        </w:tc>
        <w:tc>
          <w:tcPr>
            <w:tcW w:w="642"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eastAsia"/>
                <w:bCs/>
                <w:color w:val="auto"/>
                <w:sz w:val="21"/>
                <w:szCs w:val="21"/>
                <w:lang w:val="en-US" w:eastAsia="zh-CN"/>
              </w:rPr>
              <w:t>医疗废物</w:t>
            </w:r>
            <w:r>
              <w:rPr>
                <w:rFonts w:hint="default" w:ascii="Times New Roman" w:hAnsi="Times New Roman"/>
                <w:bCs/>
                <w:color w:val="auto"/>
                <w:sz w:val="21"/>
                <w:szCs w:val="21"/>
              </w:rPr>
              <w:t>暂存间</w:t>
            </w:r>
          </w:p>
        </w:tc>
        <w:tc>
          <w:tcPr>
            <w:tcW w:w="720" w:type="pct"/>
            <w:vAlign w:val="center"/>
          </w:tcPr>
          <w:p>
            <w:pPr>
              <w:keepNext w:val="0"/>
              <w:keepLines w:val="0"/>
              <w:suppressLineNumbers w:val="0"/>
              <w:tabs>
                <w:tab w:val="left" w:pos="1134"/>
              </w:tabs>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hAnsi="宋体"/>
                <w:color w:val="auto"/>
                <w:szCs w:val="21"/>
              </w:rPr>
              <w:t>畜禽医疗垃圾</w:t>
            </w:r>
          </w:p>
        </w:tc>
        <w:tc>
          <w:tcPr>
            <w:tcW w:w="532" w:type="pct"/>
            <w:vAlign w:val="center"/>
          </w:tcPr>
          <w:p>
            <w:pPr>
              <w:keepNext w:val="0"/>
              <w:keepLines w:val="0"/>
              <w:suppressLineNumbers w:val="0"/>
              <w:tabs>
                <w:tab w:val="left" w:pos="1134"/>
              </w:tabs>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hAnsi="宋体"/>
                <w:color w:val="auto"/>
                <w:szCs w:val="21"/>
              </w:rPr>
              <w:t>医疗废物</w:t>
            </w:r>
            <w:r>
              <w:rPr>
                <w:rFonts w:hint="default"/>
                <w:color w:val="auto"/>
                <w:szCs w:val="21"/>
              </w:rPr>
              <w:t>HW01</w:t>
            </w:r>
          </w:p>
        </w:tc>
        <w:tc>
          <w:tcPr>
            <w:tcW w:w="676" w:type="pct"/>
            <w:vAlign w:val="center"/>
          </w:tcPr>
          <w:p>
            <w:pPr>
              <w:pStyle w:val="1261"/>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color w:val="auto"/>
                <w:szCs w:val="21"/>
              </w:rPr>
              <w:t>900-001-01</w:t>
            </w:r>
          </w:p>
        </w:tc>
        <w:tc>
          <w:tcPr>
            <w:tcW w:w="41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lang w:val="en-US"/>
              </w:rPr>
            </w:pPr>
            <w:r>
              <w:rPr>
                <w:rFonts w:hint="default" w:ascii="Times New Roman" w:hAnsi="Times New Roman"/>
                <w:bCs/>
                <w:color w:val="auto"/>
                <w:sz w:val="21"/>
                <w:szCs w:val="21"/>
              </w:rPr>
              <w:t>厂房</w:t>
            </w:r>
            <w:r>
              <w:rPr>
                <w:rFonts w:hint="eastAsia" w:ascii="Times New Roman" w:hAnsi="Times New Roman"/>
                <w:bCs/>
                <w:color w:val="auto"/>
                <w:sz w:val="21"/>
                <w:szCs w:val="21"/>
                <w:lang w:val="en-US" w:eastAsia="zh-CN"/>
              </w:rPr>
              <w:t>西</w:t>
            </w:r>
          </w:p>
        </w:tc>
        <w:tc>
          <w:tcPr>
            <w:tcW w:w="402"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eastAsia"/>
                <w:bCs/>
                <w:color w:val="auto"/>
                <w:sz w:val="21"/>
                <w:szCs w:val="21"/>
                <w:lang w:val="en-US" w:eastAsia="zh-CN"/>
              </w:rPr>
              <w:t>3</w:t>
            </w:r>
            <w:r>
              <w:rPr>
                <w:rFonts w:hint="default" w:ascii="Times New Roman" w:hAnsi="Times New Roman"/>
                <w:bCs/>
                <w:color w:val="auto"/>
                <w:sz w:val="21"/>
                <w:szCs w:val="21"/>
              </w:rPr>
              <w:t>m</w:t>
            </w:r>
            <w:r>
              <w:rPr>
                <w:rFonts w:hint="default" w:ascii="Times New Roman" w:hAnsi="Times New Roman"/>
                <w:bCs/>
                <w:color w:val="auto"/>
                <w:sz w:val="21"/>
                <w:szCs w:val="21"/>
                <w:vertAlign w:val="superscript"/>
              </w:rPr>
              <w:t>2</w:t>
            </w:r>
          </w:p>
        </w:tc>
        <w:tc>
          <w:tcPr>
            <w:tcW w:w="499"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default" w:ascii="Times New Roman" w:hAnsi="Times New Roman"/>
                <w:bCs/>
                <w:color w:val="auto"/>
                <w:sz w:val="21"/>
                <w:szCs w:val="21"/>
              </w:rPr>
              <w:t>桶装，正立堆放</w:t>
            </w:r>
          </w:p>
        </w:tc>
        <w:tc>
          <w:tcPr>
            <w:tcW w:w="448"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bCs/>
                <w:color w:val="auto"/>
                <w:sz w:val="21"/>
                <w:szCs w:val="21"/>
                <w:lang w:val="en-US" w:eastAsia="zh-CN"/>
              </w:rPr>
            </w:pPr>
            <w:r>
              <w:rPr>
                <w:rFonts w:hint="eastAsia" w:ascii="Times New Roman" w:hAnsi="Times New Roman"/>
                <w:bCs/>
                <w:color w:val="auto"/>
                <w:sz w:val="21"/>
                <w:szCs w:val="21"/>
                <w:lang w:val="en-US" w:eastAsia="zh-CN"/>
              </w:rPr>
              <w:t>1t/a</w:t>
            </w:r>
          </w:p>
        </w:tc>
        <w:tc>
          <w:tcPr>
            <w:tcW w:w="387" w:type="pc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Cs/>
                <w:color w:val="auto"/>
                <w:sz w:val="21"/>
                <w:szCs w:val="21"/>
              </w:rPr>
            </w:pPr>
            <w:r>
              <w:rPr>
                <w:rFonts w:hint="eastAsia" w:ascii="Times New Roman" w:hAnsi="Times New Roman"/>
                <w:bCs/>
                <w:color w:val="auto"/>
                <w:sz w:val="21"/>
                <w:szCs w:val="21"/>
              </w:rPr>
              <w:t>1年</w:t>
            </w:r>
          </w:p>
        </w:tc>
      </w:tr>
    </w:tbl>
    <w:p>
      <w:pPr>
        <w:spacing w:line="480" w:lineRule="exact"/>
        <w:ind w:firstLine="482" w:firstLineChars="200"/>
        <w:rPr>
          <w:rFonts w:ascii="Times New Roman" w:hAnsi="Times New Roman"/>
          <w:b/>
          <w:bCs/>
          <w:color w:val="auto"/>
          <w:sz w:val="24"/>
          <w:szCs w:val="32"/>
        </w:rPr>
      </w:pPr>
      <w:r>
        <w:rPr>
          <w:rFonts w:ascii="Times New Roman" w:hAnsi="Times New Roman"/>
          <w:b/>
          <w:bCs/>
          <w:color w:val="auto"/>
          <w:sz w:val="24"/>
          <w:szCs w:val="32"/>
        </w:rPr>
        <w:t>综上所述，在采取了上述固废处理措施后，项目产生的固体废物去向明确，不会造成二次污染</w:t>
      </w:r>
    </w:p>
    <w:p>
      <w:pPr>
        <w:pStyle w:val="4"/>
        <w:spacing w:line="360" w:lineRule="auto"/>
        <w:ind w:firstLine="482" w:firstLineChars="200"/>
        <w:rPr>
          <w:rFonts w:ascii="Times New Roman"/>
          <w:b/>
          <w:color w:val="auto"/>
        </w:rPr>
      </w:pPr>
      <w:bookmarkStart w:id="271" w:name="_Toc369359681"/>
      <w:bookmarkStart w:id="272" w:name="_Toc369197796"/>
      <w:bookmarkStart w:id="273" w:name="_Toc369334814"/>
      <w:bookmarkStart w:id="274" w:name="_Toc369334634"/>
      <w:bookmarkStart w:id="275" w:name="_Toc369191631"/>
      <w:r>
        <w:rPr>
          <w:rFonts w:ascii="Times New Roman"/>
          <w:b/>
          <w:color w:val="auto"/>
        </w:rPr>
        <w:t>5、噪声</w:t>
      </w:r>
      <w:bookmarkEnd w:id="271"/>
      <w:bookmarkEnd w:id="272"/>
      <w:bookmarkEnd w:id="273"/>
      <w:bookmarkEnd w:id="274"/>
      <w:bookmarkEnd w:id="275"/>
    </w:p>
    <w:p>
      <w:pPr>
        <w:pStyle w:val="4"/>
        <w:spacing w:line="360" w:lineRule="auto"/>
        <w:ind w:firstLine="508"/>
        <w:rPr>
          <w:rFonts w:ascii="Times New Roman"/>
          <w:color w:val="auto"/>
          <w:szCs w:val="24"/>
        </w:rPr>
      </w:pPr>
      <w:r>
        <w:rPr>
          <w:rFonts w:ascii="Times New Roman"/>
          <w:color w:val="auto"/>
          <w:szCs w:val="24"/>
        </w:rPr>
        <w:t>本项目产噪设备主要为为</w:t>
      </w:r>
      <w:r>
        <w:rPr>
          <w:rFonts w:hint="eastAsia"/>
          <w:color w:val="auto"/>
          <w:kern w:val="0"/>
          <w:szCs w:val="21"/>
          <w:lang w:val="en-US" w:eastAsia="zh-CN"/>
        </w:rPr>
        <w:t>牛</w:t>
      </w:r>
      <w:r>
        <w:rPr>
          <w:rFonts w:ascii="Times New Roman"/>
          <w:color w:val="auto"/>
          <w:szCs w:val="24"/>
        </w:rPr>
        <w:t>叫声、</w:t>
      </w:r>
      <w:r>
        <w:rPr>
          <w:rFonts w:hint="eastAsia"/>
          <w:color w:val="auto"/>
          <w:kern w:val="0"/>
          <w:szCs w:val="21"/>
          <w:lang w:val="en-US" w:eastAsia="zh-CN"/>
        </w:rPr>
        <w:t>牛</w:t>
      </w:r>
      <w:r>
        <w:rPr>
          <w:rFonts w:ascii="Times New Roman"/>
          <w:color w:val="auto"/>
          <w:szCs w:val="24"/>
        </w:rPr>
        <w:t>舍排气扇、备用发电机、水泵和各类风机，噪声源值约70～90dB（A）。本项目主要产噪设备情况见表</w:t>
      </w:r>
      <w:r>
        <w:rPr>
          <w:rFonts w:hint="eastAsia" w:ascii="Times New Roman"/>
          <w:color w:val="auto"/>
          <w:szCs w:val="24"/>
          <w:lang w:val="en-US" w:eastAsia="zh-CN"/>
        </w:rPr>
        <w:t>3</w:t>
      </w:r>
      <w:r>
        <w:rPr>
          <w:rFonts w:hint="eastAsia" w:ascii="Times New Roman"/>
          <w:color w:val="auto"/>
          <w:szCs w:val="24"/>
        </w:rPr>
        <w:t>.5</w:t>
      </w:r>
      <w:r>
        <w:rPr>
          <w:rFonts w:ascii="Times New Roman"/>
          <w:color w:val="auto"/>
          <w:szCs w:val="24"/>
        </w:rPr>
        <w:t>-</w:t>
      </w:r>
      <w:r>
        <w:rPr>
          <w:rFonts w:hint="eastAsia" w:ascii="Times New Roman"/>
          <w:color w:val="auto"/>
          <w:szCs w:val="24"/>
          <w:lang w:val="en-US" w:eastAsia="zh-CN"/>
        </w:rPr>
        <w:t>7</w:t>
      </w:r>
      <w:r>
        <w:rPr>
          <w:rFonts w:ascii="Times New Roman"/>
          <w:color w:val="auto"/>
          <w:szCs w:val="24"/>
        </w:rPr>
        <w:t>所示。</w:t>
      </w:r>
    </w:p>
    <w:p>
      <w:pPr>
        <w:ind w:firstLine="840" w:firstLineChars="400"/>
        <w:jc w:val="center"/>
        <w:rPr>
          <w:b/>
          <w:color w:val="auto"/>
        </w:rPr>
      </w:pPr>
      <w:r>
        <w:rPr>
          <w:rFonts w:eastAsia="黑体"/>
          <w:color w:val="auto"/>
        </w:rPr>
        <w:t>表</w:t>
      </w:r>
      <w:r>
        <w:rPr>
          <w:rFonts w:hint="eastAsia" w:eastAsia="黑体"/>
          <w:color w:val="auto"/>
          <w:lang w:val="en-US" w:eastAsia="zh-CN"/>
        </w:rPr>
        <w:t>3</w:t>
      </w:r>
      <w:r>
        <w:rPr>
          <w:rFonts w:hint="eastAsia" w:eastAsia="黑体"/>
          <w:color w:val="auto"/>
        </w:rPr>
        <w:t>.5</w:t>
      </w:r>
      <w:r>
        <w:rPr>
          <w:rFonts w:eastAsia="黑体"/>
          <w:color w:val="auto"/>
        </w:rPr>
        <w:t>-</w:t>
      </w:r>
      <w:r>
        <w:rPr>
          <w:rFonts w:hint="eastAsia" w:eastAsia="黑体"/>
          <w:color w:val="auto"/>
          <w:lang w:val="en-US" w:eastAsia="zh-CN"/>
        </w:rPr>
        <w:t>7</w:t>
      </w:r>
      <w:r>
        <w:rPr>
          <w:rFonts w:hint="eastAsia" w:eastAsia="黑体"/>
          <w:color w:val="auto"/>
        </w:rPr>
        <w:t xml:space="preserve">  </w:t>
      </w:r>
      <w:r>
        <w:rPr>
          <w:rFonts w:eastAsia="黑体"/>
          <w:color w:val="auto"/>
        </w:rPr>
        <w:t>本项目主要产噪设备统计表</w:t>
      </w:r>
    </w:p>
    <w:tbl>
      <w:tblPr>
        <w:tblStyle w:val="89"/>
        <w:tblW w:w="886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2"/>
        <w:gridCol w:w="2111"/>
        <w:gridCol w:w="2953"/>
        <w:gridCol w:w="1928"/>
        <w:gridCol w:w="1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6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序号</w:t>
            </w:r>
          </w:p>
        </w:tc>
        <w:tc>
          <w:tcPr>
            <w:tcW w:w="2111"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设 备 名 称</w:t>
            </w:r>
          </w:p>
        </w:tc>
        <w:tc>
          <w:tcPr>
            <w:tcW w:w="295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单台噪声（dB(A)）</w:t>
            </w:r>
          </w:p>
        </w:tc>
        <w:tc>
          <w:tcPr>
            <w:tcW w:w="1928" w:type="dxa"/>
            <w:tcBorders>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位置</w:t>
            </w:r>
          </w:p>
        </w:tc>
        <w:tc>
          <w:tcPr>
            <w:tcW w:w="1114" w:type="dxa"/>
            <w:tcBorders>
              <w:lef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特性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1</w:t>
            </w:r>
          </w:p>
        </w:tc>
        <w:tc>
          <w:tcPr>
            <w:tcW w:w="2111"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val="en-US" w:eastAsia="zh-CN"/>
              </w:rPr>
              <w:t>牛</w:t>
            </w:r>
            <w:r>
              <w:rPr>
                <w:rFonts w:hint="default"/>
                <w:color w:val="auto"/>
                <w:kern w:val="0"/>
                <w:szCs w:val="21"/>
              </w:rPr>
              <w:t>叫声</w:t>
            </w:r>
          </w:p>
        </w:tc>
        <w:tc>
          <w:tcPr>
            <w:tcW w:w="295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70~80</w:t>
            </w:r>
          </w:p>
        </w:tc>
        <w:tc>
          <w:tcPr>
            <w:tcW w:w="1928" w:type="dxa"/>
            <w:tcBorders>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val="en-US" w:eastAsia="zh-CN"/>
              </w:rPr>
              <w:t>牛</w:t>
            </w:r>
            <w:r>
              <w:rPr>
                <w:rFonts w:hint="default"/>
                <w:color w:val="auto"/>
                <w:kern w:val="0"/>
                <w:szCs w:val="21"/>
              </w:rPr>
              <w:t>舍</w:t>
            </w:r>
          </w:p>
        </w:tc>
        <w:tc>
          <w:tcPr>
            <w:tcW w:w="1114" w:type="dxa"/>
            <w:tcBorders>
              <w:lef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间歇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2</w:t>
            </w:r>
          </w:p>
        </w:tc>
        <w:tc>
          <w:tcPr>
            <w:tcW w:w="2111" w:type="dxa"/>
            <w:shd w:val="clear" w:color="auto" w:fill="auto"/>
            <w:tcMar>
              <w:left w:w="28" w:type="dxa"/>
              <w:right w:w="28" w:type="dxa"/>
            </w:tcMar>
            <w:vAlign w:val="center"/>
          </w:tcPr>
          <w:p>
            <w:pPr>
              <w:pStyle w:val="151"/>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排气扇</w:t>
            </w:r>
          </w:p>
        </w:tc>
        <w:tc>
          <w:tcPr>
            <w:tcW w:w="295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70~80</w:t>
            </w:r>
          </w:p>
        </w:tc>
        <w:tc>
          <w:tcPr>
            <w:tcW w:w="1928" w:type="dxa"/>
            <w:tcBorders>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val="en-US" w:eastAsia="zh-CN"/>
              </w:rPr>
              <w:t>牛</w:t>
            </w:r>
            <w:r>
              <w:rPr>
                <w:rFonts w:hint="default"/>
                <w:color w:val="auto"/>
                <w:kern w:val="0"/>
                <w:szCs w:val="21"/>
              </w:rPr>
              <w:t>舍</w:t>
            </w:r>
          </w:p>
        </w:tc>
        <w:tc>
          <w:tcPr>
            <w:tcW w:w="1114" w:type="dxa"/>
            <w:tcBorders>
              <w:lef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连续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eastAsia="宋体"/>
                <w:color w:val="auto"/>
                <w:kern w:val="0"/>
                <w:szCs w:val="21"/>
                <w:lang w:eastAsia="zh-CN"/>
              </w:rPr>
            </w:pPr>
            <w:r>
              <w:rPr>
                <w:rFonts w:hint="eastAsia"/>
                <w:color w:val="auto"/>
                <w:kern w:val="0"/>
                <w:szCs w:val="21"/>
                <w:lang w:val="en-US" w:eastAsia="zh-CN"/>
              </w:rPr>
              <w:t>3</w:t>
            </w:r>
          </w:p>
        </w:tc>
        <w:tc>
          <w:tcPr>
            <w:tcW w:w="2111" w:type="dxa"/>
            <w:shd w:val="clear" w:color="auto" w:fill="auto"/>
            <w:tcMar>
              <w:left w:w="28" w:type="dxa"/>
              <w:right w:w="28" w:type="dxa"/>
            </w:tcMar>
            <w:vAlign w:val="center"/>
          </w:tcPr>
          <w:p>
            <w:pPr>
              <w:pStyle w:val="151"/>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水泵</w:t>
            </w:r>
          </w:p>
        </w:tc>
        <w:tc>
          <w:tcPr>
            <w:tcW w:w="295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85~90</w:t>
            </w:r>
          </w:p>
        </w:tc>
        <w:tc>
          <w:tcPr>
            <w:tcW w:w="1928" w:type="dxa"/>
            <w:tcBorders>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设备车间</w:t>
            </w:r>
          </w:p>
        </w:tc>
        <w:tc>
          <w:tcPr>
            <w:tcW w:w="1114" w:type="dxa"/>
            <w:tcBorders>
              <w:lef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连续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eastAsia="宋体"/>
                <w:color w:val="auto"/>
                <w:kern w:val="0"/>
                <w:szCs w:val="21"/>
                <w:lang w:eastAsia="zh-CN"/>
              </w:rPr>
            </w:pPr>
            <w:r>
              <w:rPr>
                <w:rFonts w:hint="eastAsia"/>
                <w:color w:val="auto"/>
                <w:kern w:val="0"/>
                <w:szCs w:val="21"/>
                <w:lang w:val="en-US" w:eastAsia="zh-CN"/>
              </w:rPr>
              <w:t>4</w:t>
            </w:r>
          </w:p>
        </w:tc>
        <w:tc>
          <w:tcPr>
            <w:tcW w:w="2111" w:type="dxa"/>
            <w:shd w:val="clear" w:color="auto" w:fill="auto"/>
            <w:tcMar>
              <w:left w:w="28" w:type="dxa"/>
              <w:right w:w="28" w:type="dxa"/>
            </w:tcMar>
            <w:vAlign w:val="center"/>
          </w:tcPr>
          <w:p>
            <w:pPr>
              <w:pStyle w:val="151"/>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各类风机</w:t>
            </w:r>
          </w:p>
        </w:tc>
        <w:tc>
          <w:tcPr>
            <w:tcW w:w="295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85~90</w:t>
            </w:r>
          </w:p>
        </w:tc>
        <w:tc>
          <w:tcPr>
            <w:tcW w:w="1928" w:type="dxa"/>
            <w:tcBorders>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val="en-US" w:eastAsia="zh-CN"/>
              </w:rPr>
              <w:t>牛</w:t>
            </w:r>
            <w:r>
              <w:rPr>
                <w:rFonts w:hint="default"/>
                <w:color w:val="auto"/>
                <w:kern w:val="0"/>
                <w:szCs w:val="21"/>
              </w:rPr>
              <w:t>舍</w:t>
            </w:r>
          </w:p>
        </w:tc>
        <w:tc>
          <w:tcPr>
            <w:tcW w:w="1114" w:type="dxa"/>
            <w:tcBorders>
              <w:lef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连续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eastAsia="宋体"/>
                <w:color w:val="auto"/>
                <w:kern w:val="0"/>
                <w:szCs w:val="21"/>
                <w:lang w:eastAsia="zh-CN"/>
              </w:rPr>
            </w:pPr>
            <w:r>
              <w:rPr>
                <w:rFonts w:hint="eastAsia"/>
                <w:color w:val="auto"/>
                <w:kern w:val="0"/>
                <w:szCs w:val="21"/>
                <w:lang w:val="en-US" w:eastAsia="zh-CN"/>
              </w:rPr>
              <w:t>5</w:t>
            </w:r>
          </w:p>
        </w:tc>
        <w:tc>
          <w:tcPr>
            <w:tcW w:w="2111" w:type="dxa"/>
            <w:shd w:val="clear" w:color="auto" w:fill="auto"/>
            <w:tcMar>
              <w:left w:w="28" w:type="dxa"/>
              <w:right w:w="28" w:type="dxa"/>
            </w:tcMar>
            <w:vAlign w:val="center"/>
          </w:tcPr>
          <w:p>
            <w:pPr>
              <w:pStyle w:val="151"/>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备用发电机</w:t>
            </w:r>
          </w:p>
        </w:tc>
        <w:tc>
          <w:tcPr>
            <w:tcW w:w="295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80~85</w:t>
            </w:r>
          </w:p>
        </w:tc>
        <w:tc>
          <w:tcPr>
            <w:tcW w:w="1928" w:type="dxa"/>
            <w:tcBorders>
              <w:righ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发电机房</w:t>
            </w:r>
          </w:p>
        </w:tc>
        <w:tc>
          <w:tcPr>
            <w:tcW w:w="1114" w:type="dxa"/>
            <w:tcBorders>
              <w:left w:val="single" w:color="auto" w:sz="4" w:space="0"/>
            </w:tcBorders>
            <w:shd w:val="clear" w:color="auto" w:fill="auto"/>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间歇</w:t>
            </w:r>
          </w:p>
        </w:tc>
      </w:tr>
    </w:tbl>
    <w:p>
      <w:pPr>
        <w:spacing w:line="360" w:lineRule="auto"/>
        <w:ind w:firstLine="480"/>
        <w:rPr>
          <w:b/>
          <w:color w:val="auto"/>
          <w:sz w:val="24"/>
        </w:rPr>
      </w:pPr>
      <w:r>
        <w:rPr>
          <w:b/>
          <w:color w:val="auto"/>
          <w:sz w:val="24"/>
        </w:rPr>
        <w:t>环评对本项目</w:t>
      </w:r>
      <w:r>
        <w:rPr>
          <w:b/>
          <w:color w:val="auto"/>
          <w:spacing w:val="8"/>
          <w:sz w:val="24"/>
        </w:rPr>
        <w:t>噪声</w:t>
      </w:r>
      <w:r>
        <w:rPr>
          <w:b/>
          <w:color w:val="auto"/>
          <w:sz w:val="24"/>
        </w:rPr>
        <w:t>治理提出以下要求和措施：</w:t>
      </w:r>
    </w:p>
    <w:p>
      <w:pPr>
        <w:spacing w:line="360" w:lineRule="auto"/>
        <w:ind w:firstLine="480"/>
        <w:rPr>
          <w:color w:val="auto"/>
          <w:sz w:val="24"/>
        </w:rPr>
      </w:pPr>
      <w:r>
        <w:rPr>
          <w:color w:val="auto"/>
          <w:sz w:val="24"/>
        </w:rPr>
        <w:t>（1）合理布置噪声源，优化总图布置。</w:t>
      </w:r>
    </w:p>
    <w:p>
      <w:pPr>
        <w:spacing w:line="360" w:lineRule="auto"/>
        <w:ind w:firstLine="480"/>
        <w:rPr>
          <w:color w:val="auto"/>
          <w:sz w:val="24"/>
        </w:rPr>
      </w:pPr>
      <w:r>
        <w:rPr>
          <w:color w:val="auto"/>
          <w:sz w:val="24"/>
        </w:rPr>
        <w:t>（2）选用低噪声设备。</w:t>
      </w:r>
    </w:p>
    <w:p>
      <w:pPr>
        <w:spacing w:line="360" w:lineRule="auto"/>
        <w:ind w:firstLine="480"/>
        <w:rPr>
          <w:color w:val="auto"/>
          <w:sz w:val="24"/>
        </w:rPr>
      </w:pPr>
      <w:r>
        <w:rPr>
          <w:color w:val="auto"/>
          <w:sz w:val="24"/>
        </w:rPr>
        <w:t>（3）对</w:t>
      </w:r>
      <w:r>
        <w:rPr>
          <w:color w:val="auto"/>
          <w:spacing w:val="8"/>
          <w:sz w:val="24"/>
        </w:rPr>
        <w:t>大功率</w:t>
      </w:r>
      <w:r>
        <w:rPr>
          <w:color w:val="auto"/>
          <w:sz w:val="24"/>
        </w:rPr>
        <w:t>设备及高噪声设备采用隔离布置，并采取减震、隔声等降噪措施，如厂房墙壁设吸声材料；水泵加装减振器，进水管道设可曲挠管道橡胶伸缩接头以减小水锤冲击和水泵震动产生的噪声，连接水泵进出口的水管、进出隔墙处与运转设备连接的管道均采用减震吊架；发电机组基础安装减振垫，发电机房安装隔声、吸声材料，出风口设置消声器；排气扇基础安装减振垫；风机基础安装减振垫，进出口设软接头，风机进出口风管处安装消声设备；风机房安装隔声、吸声材料。</w:t>
      </w:r>
    </w:p>
    <w:p>
      <w:pPr>
        <w:spacing w:line="360" w:lineRule="auto"/>
        <w:ind w:firstLine="480"/>
        <w:rPr>
          <w:color w:val="auto"/>
          <w:sz w:val="24"/>
        </w:rPr>
      </w:pPr>
      <w:r>
        <w:rPr>
          <w:color w:val="auto"/>
          <w:sz w:val="24"/>
        </w:rPr>
        <w:t>（4）为了减少</w:t>
      </w:r>
      <w:r>
        <w:rPr>
          <w:rFonts w:hint="eastAsia"/>
          <w:color w:val="auto"/>
          <w:sz w:val="24"/>
          <w:lang w:eastAsia="zh-CN"/>
        </w:rPr>
        <w:t>牛</w:t>
      </w:r>
      <w:r>
        <w:rPr>
          <w:color w:val="auto"/>
          <w:sz w:val="24"/>
        </w:rPr>
        <w:t>只叫声对操作工人及周围环境的影响，尽可能的满足</w:t>
      </w:r>
      <w:r>
        <w:rPr>
          <w:rFonts w:hint="eastAsia"/>
          <w:color w:val="auto"/>
          <w:sz w:val="24"/>
          <w:lang w:eastAsia="zh-CN"/>
        </w:rPr>
        <w:t>牛</w:t>
      </w:r>
      <w:r>
        <w:rPr>
          <w:color w:val="auto"/>
          <w:sz w:val="24"/>
        </w:rPr>
        <w:t>只饮食需要，避免因饥饿或口渴而发出叫声；播放轻音乐，同时应减少外界噪声等对</w:t>
      </w:r>
      <w:r>
        <w:rPr>
          <w:rFonts w:hint="eastAsia"/>
          <w:color w:val="auto"/>
          <w:sz w:val="24"/>
          <w:lang w:eastAsia="zh-CN"/>
        </w:rPr>
        <w:t>牛</w:t>
      </w:r>
      <w:r>
        <w:rPr>
          <w:color w:val="auto"/>
          <w:sz w:val="24"/>
        </w:rPr>
        <w:t>舍的干扰，避免因惊吓而产生不安，使</w:t>
      </w:r>
      <w:r>
        <w:rPr>
          <w:rFonts w:hint="eastAsia"/>
          <w:color w:val="auto"/>
          <w:sz w:val="24"/>
          <w:lang w:eastAsia="zh-CN"/>
        </w:rPr>
        <w:t>牛</w:t>
      </w:r>
      <w:r>
        <w:rPr>
          <w:color w:val="auto"/>
          <w:sz w:val="24"/>
        </w:rPr>
        <w:t>保持安定平和的气氛，以缓解</w:t>
      </w:r>
      <w:r>
        <w:rPr>
          <w:rFonts w:hint="eastAsia"/>
          <w:color w:val="auto"/>
          <w:sz w:val="24"/>
          <w:lang w:eastAsia="zh-CN"/>
        </w:rPr>
        <w:t>牛</w:t>
      </w:r>
      <w:r>
        <w:rPr>
          <w:color w:val="auto"/>
          <w:sz w:val="24"/>
        </w:rPr>
        <w:t>的不安情绪。</w:t>
      </w:r>
      <w:r>
        <w:rPr>
          <w:rFonts w:hint="eastAsia"/>
          <w:color w:val="auto"/>
          <w:sz w:val="24"/>
          <w:lang w:eastAsia="zh-CN"/>
        </w:rPr>
        <w:t>牛</w:t>
      </w:r>
      <w:r>
        <w:rPr>
          <w:color w:val="auto"/>
          <w:sz w:val="24"/>
        </w:rPr>
        <w:t>的叫声通过采取</w:t>
      </w:r>
      <w:r>
        <w:rPr>
          <w:rFonts w:hint="eastAsia"/>
          <w:color w:val="auto"/>
          <w:sz w:val="24"/>
          <w:lang w:eastAsia="zh-CN"/>
        </w:rPr>
        <w:t>牛</w:t>
      </w:r>
      <w:r>
        <w:rPr>
          <w:color w:val="auto"/>
          <w:sz w:val="24"/>
        </w:rPr>
        <w:t>舍、绿化林的隔声、吸声等措施处理。</w:t>
      </w:r>
    </w:p>
    <w:p>
      <w:pPr>
        <w:spacing w:line="360" w:lineRule="auto"/>
        <w:ind w:firstLine="480"/>
        <w:rPr>
          <w:color w:val="auto"/>
          <w:sz w:val="24"/>
        </w:rPr>
      </w:pPr>
      <w:r>
        <w:rPr>
          <w:color w:val="auto"/>
          <w:sz w:val="24"/>
        </w:rPr>
        <w:t>（5）场内对车辆采取限速、禁鸣的要求，可以有效降低车辆运输带来的噪声；另外，运输车辆沿途必须按规范操作，尽量少鸣笛，以免对周围村民生活造成影响或因鸣笛使</w:t>
      </w:r>
      <w:r>
        <w:rPr>
          <w:rFonts w:hint="eastAsia"/>
          <w:color w:val="auto"/>
          <w:sz w:val="24"/>
          <w:lang w:eastAsia="zh-CN"/>
        </w:rPr>
        <w:t>牛</w:t>
      </w:r>
      <w:r>
        <w:rPr>
          <w:color w:val="auto"/>
          <w:sz w:val="24"/>
        </w:rPr>
        <w:t>受到惊吓而鸣叫，从而产生扰民。</w:t>
      </w:r>
    </w:p>
    <w:p>
      <w:pPr>
        <w:pStyle w:val="180"/>
        <w:rPr>
          <w:rFonts w:cs="Times New Roman"/>
          <w:color w:val="auto"/>
        </w:rPr>
      </w:pPr>
      <w:bookmarkStart w:id="276" w:name="_Toc12827"/>
      <w:r>
        <w:rPr>
          <w:rFonts w:hint="default" w:ascii="Times New Roman" w:hAnsi="Times New Roman" w:cs="Times New Roman" w:eastAsiaTheme="majorEastAsia"/>
          <w:b/>
          <w:bCs w:val="0"/>
          <w:color w:val="auto"/>
          <w:sz w:val="24"/>
          <w:szCs w:val="24"/>
        </w:rPr>
        <w:t>项目非正常工况下的污染物排放情况</w:t>
      </w:r>
      <w:bookmarkEnd w:id="276"/>
    </w:p>
    <w:p>
      <w:pPr>
        <w:spacing w:line="360" w:lineRule="auto"/>
        <w:ind w:firstLine="480"/>
        <w:rPr>
          <w:color w:val="auto"/>
          <w:sz w:val="24"/>
        </w:rPr>
      </w:pPr>
      <w:r>
        <w:rPr>
          <w:color w:val="auto"/>
          <w:sz w:val="24"/>
        </w:rPr>
        <w:t>（1）废水事故排放</w:t>
      </w:r>
    </w:p>
    <w:p>
      <w:pPr>
        <w:spacing w:line="360" w:lineRule="auto"/>
        <w:ind w:firstLine="480"/>
        <w:rPr>
          <w:color w:val="auto"/>
          <w:sz w:val="24"/>
        </w:rPr>
      </w:pPr>
      <w:r>
        <w:rPr>
          <w:color w:val="auto"/>
          <w:sz w:val="24"/>
        </w:rPr>
        <w:t>由于</w:t>
      </w:r>
      <w:r>
        <w:rPr>
          <w:rFonts w:hint="eastAsia"/>
          <w:color w:val="auto"/>
          <w:sz w:val="24"/>
          <w:lang w:eastAsia="zh-CN"/>
        </w:rPr>
        <w:t>牛</w:t>
      </w:r>
      <w:r>
        <w:rPr>
          <w:color w:val="auto"/>
          <w:sz w:val="24"/>
        </w:rPr>
        <w:t>场废水含有大量的有机物、氨氮、病原体细菌等，若出现本项目废水未经处理而直接用于消纳地内灌溉，废水通过渗透污染地下水环境，可能会污染</w:t>
      </w:r>
      <w:r>
        <w:rPr>
          <w:rFonts w:hint="eastAsia"/>
          <w:color w:val="auto"/>
          <w:sz w:val="24"/>
          <w:lang w:eastAsia="zh-CN"/>
        </w:rPr>
        <w:t>牛</w:t>
      </w:r>
      <w:r>
        <w:rPr>
          <w:color w:val="auto"/>
          <w:sz w:val="24"/>
        </w:rPr>
        <w:t>场区域和消纳用地区域地下水。</w:t>
      </w:r>
    </w:p>
    <w:p>
      <w:pPr>
        <w:spacing w:line="360" w:lineRule="auto"/>
        <w:ind w:firstLine="480"/>
        <w:rPr>
          <w:color w:val="auto"/>
          <w:sz w:val="24"/>
        </w:rPr>
      </w:pPr>
      <w:r>
        <w:rPr>
          <w:color w:val="auto"/>
          <w:sz w:val="24"/>
        </w:rPr>
        <w:t>（2）恶臭非正常排放</w:t>
      </w:r>
    </w:p>
    <w:p>
      <w:pPr>
        <w:spacing w:line="360" w:lineRule="auto"/>
        <w:ind w:firstLine="480"/>
        <w:rPr>
          <w:color w:val="auto"/>
          <w:sz w:val="24"/>
        </w:rPr>
      </w:pPr>
      <w:r>
        <w:rPr>
          <w:color w:val="auto"/>
          <w:sz w:val="24"/>
        </w:rPr>
        <w:t>若</w:t>
      </w:r>
      <w:r>
        <w:rPr>
          <w:rFonts w:hint="eastAsia"/>
          <w:color w:val="auto"/>
          <w:sz w:val="24"/>
          <w:lang w:eastAsia="zh-CN"/>
        </w:rPr>
        <w:t>牛</w:t>
      </w:r>
      <w:r>
        <w:rPr>
          <w:color w:val="auto"/>
          <w:sz w:val="24"/>
        </w:rPr>
        <w:t>舍</w:t>
      </w:r>
      <w:r>
        <w:rPr>
          <w:rFonts w:hint="eastAsia"/>
          <w:color w:val="auto"/>
          <w:sz w:val="24"/>
          <w:lang w:eastAsia="zh-CN"/>
        </w:rPr>
        <w:t>牛</w:t>
      </w:r>
      <w:r>
        <w:rPr>
          <w:color w:val="auto"/>
          <w:sz w:val="24"/>
        </w:rPr>
        <w:t>粪做不到日产日清，将导致</w:t>
      </w:r>
      <w:r>
        <w:rPr>
          <w:rFonts w:hint="eastAsia"/>
          <w:color w:val="auto"/>
          <w:sz w:val="24"/>
          <w:lang w:eastAsia="zh-CN"/>
        </w:rPr>
        <w:t>牛</w:t>
      </w:r>
      <w:r>
        <w:rPr>
          <w:color w:val="auto"/>
          <w:sz w:val="24"/>
        </w:rPr>
        <w:t>场臭气浓度显著增加，并影响到周边区域，影响周围人群感受，影响到</w:t>
      </w:r>
      <w:r>
        <w:rPr>
          <w:rFonts w:hint="eastAsia"/>
          <w:color w:val="auto"/>
          <w:sz w:val="24"/>
          <w:lang w:eastAsia="zh-CN"/>
        </w:rPr>
        <w:t>牛</w:t>
      </w:r>
      <w:r>
        <w:rPr>
          <w:color w:val="auto"/>
          <w:sz w:val="24"/>
        </w:rPr>
        <w:t>和人员的生长和健康，预防这一影响最有效的措施是</w:t>
      </w:r>
      <w:r>
        <w:rPr>
          <w:rFonts w:hint="eastAsia"/>
          <w:color w:val="auto"/>
          <w:sz w:val="24"/>
          <w:lang w:eastAsia="zh-CN"/>
        </w:rPr>
        <w:t>牛</w:t>
      </w:r>
      <w:r>
        <w:rPr>
          <w:color w:val="auto"/>
          <w:sz w:val="24"/>
        </w:rPr>
        <w:t>舍</w:t>
      </w:r>
      <w:r>
        <w:rPr>
          <w:rFonts w:hint="eastAsia"/>
          <w:color w:val="auto"/>
          <w:sz w:val="24"/>
          <w:lang w:eastAsia="zh-CN"/>
        </w:rPr>
        <w:t>牛</w:t>
      </w:r>
      <w:r>
        <w:rPr>
          <w:color w:val="auto"/>
          <w:sz w:val="24"/>
        </w:rPr>
        <w:t>粪日产日清。</w:t>
      </w:r>
    </w:p>
    <w:p>
      <w:pPr>
        <w:spacing w:line="360" w:lineRule="auto"/>
        <w:ind w:firstLine="480"/>
        <w:rPr>
          <w:color w:val="auto"/>
          <w:sz w:val="24"/>
        </w:rPr>
      </w:pPr>
      <w:r>
        <w:rPr>
          <w:color w:val="auto"/>
          <w:sz w:val="24"/>
        </w:rPr>
        <w:t>（3）环境事故防范对策和建议</w:t>
      </w:r>
    </w:p>
    <w:p>
      <w:pPr>
        <w:spacing w:line="360" w:lineRule="auto"/>
        <w:ind w:firstLine="480"/>
        <w:rPr>
          <w:color w:val="auto"/>
          <w:sz w:val="24"/>
        </w:rPr>
      </w:pPr>
      <w:r>
        <w:rPr>
          <w:color w:val="auto"/>
          <w:sz w:val="24"/>
        </w:rPr>
        <w:t>①设置专业人员对废水处理设施进行维护，及时发现处理设备的隐患，确保处理系统正常运行；开、停、检修要有预案，有严密周全的计划，确保不发生非正常排放，或使影响最小。</w:t>
      </w:r>
    </w:p>
    <w:p>
      <w:pPr>
        <w:spacing w:line="360" w:lineRule="auto"/>
        <w:ind w:firstLine="480"/>
        <w:rPr>
          <w:color w:val="auto"/>
          <w:sz w:val="24"/>
        </w:rPr>
      </w:pPr>
      <w:r>
        <w:rPr>
          <w:color w:val="auto"/>
          <w:sz w:val="24"/>
        </w:rPr>
        <w:t>②设置备用电源和备用处理设备和零件，以备停电或设备出现故障时保障及时更换使废水全部做到达标排放。</w:t>
      </w:r>
    </w:p>
    <w:p>
      <w:pPr>
        <w:spacing w:line="360" w:lineRule="auto"/>
        <w:ind w:firstLine="480"/>
        <w:rPr>
          <w:color w:val="auto"/>
          <w:sz w:val="24"/>
        </w:rPr>
      </w:pPr>
      <w:r>
        <w:rPr>
          <w:color w:val="auto"/>
          <w:sz w:val="24"/>
        </w:rPr>
        <w:t>③对员工进行岗位培训，持证上岗。经常性监测并做好值班记录，实行岗位责任制。</w:t>
      </w:r>
    </w:p>
    <w:p>
      <w:pPr>
        <w:spacing w:line="360" w:lineRule="auto"/>
        <w:ind w:firstLine="480"/>
        <w:rPr>
          <w:color w:val="auto"/>
          <w:sz w:val="24"/>
        </w:rPr>
      </w:pPr>
      <w:r>
        <w:rPr>
          <w:color w:val="auto"/>
          <w:sz w:val="24"/>
        </w:rPr>
        <w:t>④保持</w:t>
      </w:r>
      <w:r>
        <w:rPr>
          <w:rFonts w:hint="eastAsia"/>
          <w:color w:val="auto"/>
          <w:sz w:val="24"/>
          <w:lang w:eastAsia="zh-CN"/>
        </w:rPr>
        <w:t>牛</w:t>
      </w:r>
      <w:r>
        <w:rPr>
          <w:color w:val="auto"/>
          <w:sz w:val="24"/>
        </w:rPr>
        <w:t>场内管网的畅通，防止各污水池内污水泄漏。</w:t>
      </w:r>
    </w:p>
    <w:p>
      <w:pPr>
        <w:spacing w:line="360" w:lineRule="auto"/>
        <w:ind w:firstLine="480"/>
        <w:rPr>
          <w:color w:val="auto"/>
          <w:sz w:val="24"/>
        </w:rPr>
      </w:pPr>
      <w:r>
        <w:rPr>
          <w:color w:val="auto"/>
          <w:sz w:val="24"/>
        </w:rPr>
        <w:t>废水在应急池中临时贮存，待事故解除后重新处理。</w:t>
      </w:r>
    </w:p>
    <w:p>
      <w:pPr>
        <w:spacing w:line="360" w:lineRule="auto"/>
        <w:ind w:firstLine="480"/>
        <w:rPr>
          <w:color w:val="auto"/>
          <w:sz w:val="24"/>
        </w:rPr>
      </w:pPr>
      <w:r>
        <w:rPr>
          <w:color w:val="auto"/>
          <w:sz w:val="24"/>
        </w:rPr>
        <w:t>评价要求，应加强管控，减少非正常工况下的污染物排放。</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277" w:name="_Toc18949"/>
      <w:bookmarkStart w:id="278" w:name="_Toc174701958"/>
      <w:bookmarkStart w:id="279" w:name="_Toc265160058"/>
      <w:bookmarkStart w:id="280" w:name="_Toc4806"/>
      <w:bookmarkStart w:id="281" w:name="_Toc2182"/>
      <w:r>
        <w:rPr>
          <w:rFonts w:ascii="Times New Roman" w:hAnsi="Times New Roman" w:cs="Times New Roman" w:eastAsiaTheme="majorEastAsia"/>
          <w:bCs/>
          <w:color w:val="auto"/>
          <w:kern w:val="2"/>
          <w:szCs w:val="32"/>
          <w:lang w:val="en-US" w:eastAsia="zh-CN"/>
        </w:rPr>
        <w:t>项目污染物排放量</w:t>
      </w:r>
      <w:bookmarkEnd w:id="277"/>
      <w:bookmarkEnd w:id="278"/>
      <w:bookmarkEnd w:id="279"/>
      <w:bookmarkEnd w:id="280"/>
      <w:bookmarkEnd w:id="281"/>
    </w:p>
    <w:p>
      <w:pPr>
        <w:spacing w:line="360" w:lineRule="auto"/>
        <w:ind w:firstLine="480"/>
        <w:rPr>
          <w:color w:val="auto"/>
          <w:sz w:val="24"/>
        </w:rPr>
      </w:pPr>
      <w:r>
        <w:rPr>
          <w:color w:val="auto"/>
          <w:sz w:val="24"/>
        </w:rPr>
        <w:t>本项目污染物排放量见表</w:t>
      </w:r>
      <w:r>
        <w:rPr>
          <w:rFonts w:hint="eastAsia"/>
          <w:color w:val="auto"/>
          <w:sz w:val="24"/>
          <w:lang w:val="en-US" w:eastAsia="zh-CN"/>
        </w:rPr>
        <w:t>3</w:t>
      </w:r>
      <w:r>
        <w:rPr>
          <w:rFonts w:hint="eastAsia"/>
          <w:color w:val="auto"/>
          <w:sz w:val="24"/>
        </w:rPr>
        <w:t>.6</w:t>
      </w:r>
      <w:r>
        <w:rPr>
          <w:color w:val="auto"/>
          <w:sz w:val="24"/>
        </w:rPr>
        <w:t>-</w:t>
      </w:r>
      <w:r>
        <w:rPr>
          <w:rFonts w:hint="eastAsia"/>
          <w:color w:val="auto"/>
          <w:sz w:val="24"/>
        </w:rPr>
        <w:t>1</w:t>
      </w:r>
      <w:r>
        <w:rPr>
          <w:color w:val="auto"/>
          <w:sz w:val="24"/>
        </w:rPr>
        <w:t>。</w:t>
      </w:r>
    </w:p>
    <w:p>
      <w:pPr>
        <w:jc w:val="center"/>
        <w:rPr>
          <w:rFonts w:eastAsia="黑体"/>
          <w:color w:val="auto"/>
          <w:szCs w:val="21"/>
          <w:vertAlign w:val="superscript"/>
        </w:rPr>
      </w:pPr>
      <w:r>
        <w:rPr>
          <w:rFonts w:eastAsia="黑体"/>
          <w:color w:val="auto"/>
        </w:rPr>
        <w:t>表</w:t>
      </w:r>
      <w:r>
        <w:rPr>
          <w:rFonts w:hint="eastAsia" w:eastAsia="黑体"/>
          <w:color w:val="auto"/>
          <w:lang w:val="en-US" w:eastAsia="zh-CN"/>
        </w:rPr>
        <w:t>3</w:t>
      </w:r>
      <w:r>
        <w:rPr>
          <w:rFonts w:hint="eastAsia" w:eastAsia="黑体"/>
          <w:color w:val="auto"/>
        </w:rPr>
        <w:t>.6</w:t>
      </w:r>
      <w:r>
        <w:rPr>
          <w:rFonts w:eastAsia="黑体"/>
          <w:color w:val="auto"/>
        </w:rPr>
        <w:t>-</w:t>
      </w:r>
      <w:r>
        <w:rPr>
          <w:rFonts w:hint="eastAsia" w:eastAsia="黑体"/>
          <w:color w:val="auto"/>
        </w:rPr>
        <w:t xml:space="preserve">1  </w:t>
      </w:r>
      <w:r>
        <w:rPr>
          <w:rFonts w:eastAsia="黑体"/>
          <w:color w:val="auto"/>
        </w:rPr>
        <w:t xml:space="preserve">本工程“三废”排放统计表 </w:t>
      </w:r>
    </w:p>
    <w:tbl>
      <w:tblPr>
        <w:tblStyle w:val="8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7"/>
        <w:gridCol w:w="887"/>
        <w:gridCol w:w="1500"/>
        <w:gridCol w:w="1500"/>
        <w:gridCol w:w="2876"/>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4" w:type="dxa"/>
            <w:gridSpan w:val="2"/>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种类</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污染物来源</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产生量</w:t>
            </w:r>
          </w:p>
        </w:tc>
        <w:tc>
          <w:tcPr>
            <w:tcW w:w="2876"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处置方式</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处理后</w:t>
            </w:r>
            <w:r>
              <w:rPr>
                <w:rFonts w:hint="eastAsia" w:cs="Times New Roman"/>
                <w:color w:val="auto"/>
                <w:szCs w:val="21"/>
                <w:lang w:val="en-US" w:eastAsia="zh-CN"/>
              </w:rPr>
              <w:t>的</w:t>
            </w:r>
            <w:r>
              <w:rPr>
                <w:rFonts w:hint="default" w:ascii="Times New Roman" w:hAnsi="Times New Roman" w:cs="Times New Roman"/>
                <w:color w:val="auto"/>
                <w:szCs w:val="21"/>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97"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887"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生产生活废水</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圈舍办公区</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lang w:val="en-US" w:eastAsia="zh-CN"/>
              </w:rPr>
              <w:t>40484.44</w:t>
            </w:r>
          </w:p>
        </w:tc>
        <w:tc>
          <w:tcPr>
            <w:tcW w:w="2876"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全部去</w:t>
            </w:r>
            <w:r>
              <w:rPr>
                <w:rFonts w:hint="eastAsia" w:cs="Times New Roman"/>
                <w:color w:val="auto"/>
                <w:szCs w:val="21"/>
                <w:lang w:val="en-US" w:eastAsia="zh-CN"/>
              </w:rPr>
              <w:t>发酵床</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lang w:val="en-US"/>
              </w:rPr>
            </w:pPr>
            <w:r>
              <w:rPr>
                <w:rFonts w:hint="eastAsia" w:ascii="Times New Roman" w:hAnsi="Times New Roman" w:eastAsia="宋体" w:cs="Times New Roman"/>
                <w:color w:val="auto"/>
                <w:kern w:val="0"/>
                <w:lang w:val="en-US" w:eastAsia="zh-CN"/>
              </w:rPr>
              <w:t>40484.44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7"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废气</w:t>
            </w:r>
          </w:p>
        </w:tc>
        <w:tc>
          <w:tcPr>
            <w:tcW w:w="887"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恶臭</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cs="Times New Roman"/>
                <w:color w:val="auto"/>
                <w:szCs w:val="21"/>
                <w:lang w:eastAsia="zh-CN"/>
              </w:rPr>
              <w:t>牛</w:t>
            </w:r>
            <w:r>
              <w:rPr>
                <w:rFonts w:hint="default" w:ascii="Times New Roman" w:hAnsi="Times New Roman" w:cs="Times New Roman"/>
                <w:color w:val="auto"/>
                <w:szCs w:val="21"/>
              </w:rPr>
              <w:t>舍</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w:t>
            </w:r>
            <w:r>
              <w:rPr>
                <w:rFonts w:hint="eastAsia" w:cs="Times New Roman"/>
                <w:color w:val="auto"/>
                <w:szCs w:val="21"/>
                <w:lang w:val="en-US" w:eastAsia="zh-CN"/>
              </w:rPr>
              <w:t>2.49</w:t>
            </w:r>
            <w:r>
              <w:rPr>
                <w:rFonts w:hint="eastAsia" w:ascii="Times New Roman" w:hAnsi="Times New Roman" w:cs="Times New Roman"/>
                <w:color w:val="auto"/>
                <w:szCs w:val="21"/>
                <w:lang w:val="en-US" w:eastAsia="zh-CN"/>
              </w:rPr>
              <w:t>t</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a</w:t>
            </w:r>
            <w:r>
              <w:rPr>
                <w:rFonts w:hint="default" w:ascii="Times New Roman" w:hAnsi="Times New Roman" w:cs="Times New Roman"/>
                <w:color w:val="auto"/>
                <w:szCs w:val="21"/>
              </w:rPr>
              <w:t>、</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r>
              <w:rPr>
                <w:rFonts w:hint="default" w:ascii="Times New Roman" w:hAnsi="Times New Roman" w:cs="Times New Roman"/>
                <w:color w:val="auto"/>
                <w:szCs w:val="21"/>
                <w:lang w:val="en-US" w:eastAsia="zh-CN"/>
              </w:rPr>
              <w:t>0.</w:t>
            </w:r>
            <w:r>
              <w:rPr>
                <w:rFonts w:hint="eastAsia" w:cs="Times New Roman"/>
                <w:color w:val="auto"/>
                <w:szCs w:val="21"/>
                <w:lang w:val="en-US" w:eastAsia="zh-CN"/>
              </w:rPr>
              <w:t>142</w:t>
            </w:r>
            <w:r>
              <w:rPr>
                <w:rFonts w:hint="eastAsia" w:ascii="Times New Roman" w:hAnsi="Times New Roman" w:cs="Times New Roman"/>
                <w:color w:val="auto"/>
                <w:szCs w:val="21"/>
                <w:lang w:val="en-US" w:eastAsia="zh-CN"/>
              </w:rPr>
              <w:t>t</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a</w:t>
            </w:r>
          </w:p>
        </w:tc>
        <w:tc>
          <w:tcPr>
            <w:tcW w:w="2876"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畜禽科学饲喂技术</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喷雾除臭</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喷洒除臭剂</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cs="Times New Roman"/>
                <w:color w:val="auto"/>
                <w:szCs w:val="21"/>
                <w:lang w:val="en-US" w:eastAsia="zh-CN"/>
              </w:rPr>
              <w:t>牛</w:t>
            </w:r>
            <w:r>
              <w:rPr>
                <w:rFonts w:hint="eastAsia" w:ascii="Times New Roman" w:hAnsi="Times New Roman" w:cs="Times New Roman"/>
                <w:color w:val="auto"/>
                <w:szCs w:val="21"/>
                <w:lang w:val="en-US" w:eastAsia="zh-CN"/>
              </w:rPr>
              <w:t>舍出风口加吸附剂</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加强厂区绿化</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设置卫生防护距离</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合理布局和规划养殖场</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合理设计</w:t>
            </w:r>
            <w:r>
              <w:rPr>
                <w:rFonts w:hint="eastAsia" w:cs="Times New Roman"/>
                <w:color w:val="auto"/>
                <w:szCs w:val="21"/>
                <w:lang w:eastAsia="zh-CN"/>
              </w:rPr>
              <w:t>牛</w:t>
            </w:r>
            <w:r>
              <w:rPr>
                <w:rFonts w:hint="default" w:ascii="Times New Roman" w:hAnsi="Times New Roman" w:cs="Times New Roman"/>
                <w:color w:val="auto"/>
                <w:szCs w:val="21"/>
              </w:rPr>
              <w:t>舍结构及设施</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规范管理等</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无组织排放NH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0.</w:t>
            </w:r>
            <w:r>
              <w:rPr>
                <w:rFonts w:hint="eastAsia" w:cs="Times New Roman"/>
                <w:color w:val="auto"/>
                <w:szCs w:val="21"/>
                <w:lang w:val="en-US" w:eastAsia="zh-CN"/>
              </w:rPr>
              <w:t>249</w:t>
            </w:r>
            <w:r>
              <w:rPr>
                <w:rFonts w:hint="eastAsia" w:ascii="Times New Roman" w:hAnsi="Times New Roman" w:cs="Times New Roman"/>
                <w:color w:val="auto"/>
                <w:szCs w:val="21"/>
                <w:lang w:val="en-US" w:eastAsia="zh-CN"/>
              </w:rPr>
              <w:t>t</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a</w:t>
            </w:r>
            <w:r>
              <w:rPr>
                <w:rFonts w:hint="default" w:ascii="Times New Roman" w:hAnsi="Times New Roman" w:cs="Times New Roman"/>
                <w:color w:val="auto"/>
                <w:szCs w:val="21"/>
              </w:rPr>
              <w:t>、</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r>
              <w:rPr>
                <w:rFonts w:hint="default" w:ascii="Times New Roman" w:hAnsi="Times New Roman" w:cs="Times New Roman"/>
                <w:color w:val="auto"/>
                <w:szCs w:val="21"/>
                <w:lang w:val="en-US" w:eastAsia="zh-CN"/>
              </w:rPr>
              <w:t>0.0</w:t>
            </w:r>
            <w:r>
              <w:rPr>
                <w:rFonts w:hint="eastAsia" w:cs="Times New Roman"/>
                <w:color w:val="auto"/>
                <w:szCs w:val="21"/>
                <w:lang w:val="en-US" w:eastAsia="zh-CN"/>
              </w:rPr>
              <w:t>142</w:t>
            </w:r>
            <w:r>
              <w:rPr>
                <w:rFonts w:hint="eastAsia" w:ascii="Times New Roman" w:hAnsi="Times New Roman" w:cs="Times New Roman"/>
                <w:color w:val="auto"/>
                <w:szCs w:val="21"/>
                <w:lang w:val="en-US" w:eastAsia="zh-CN"/>
              </w:rPr>
              <w:t>t</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1"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发酵床</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37</w:t>
            </w:r>
            <w:r>
              <w:rPr>
                <w:rFonts w:hint="eastAsia" w:ascii="Times New Roman" w:hAnsi="Times New Roman" w:cs="Times New Roman"/>
                <w:color w:val="auto"/>
                <w:szCs w:val="21"/>
                <w:lang w:val="en-US" w:eastAsia="zh-CN"/>
              </w:rPr>
              <w:t>t</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a</w:t>
            </w:r>
            <w:r>
              <w:rPr>
                <w:rFonts w:hint="default" w:ascii="Times New Roman" w:hAnsi="Times New Roman" w:cs="Times New Roman"/>
                <w:color w:val="auto"/>
                <w:szCs w:val="21"/>
              </w:rPr>
              <w:t>、</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S：0.00</w:t>
            </w:r>
            <w:r>
              <w:rPr>
                <w:rFonts w:hint="eastAsia" w:cs="Times New Roman"/>
                <w:color w:val="auto"/>
                <w:szCs w:val="21"/>
                <w:lang w:val="en-US" w:eastAsia="zh-CN"/>
              </w:rPr>
              <w:t>74</w:t>
            </w:r>
            <w:r>
              <w:rPr>
                <w:rFonts w:hint="eastAsia" w:ascii="Times New Roman" w:hAnsi="Times New Roman" w:cs="Times New Roman"/>
                <w:color w:val="auto"/>
                <w:szCs w:val="21"/>
                <w:lang w:val="en-US" w:eastAsia="zh-CN"/>
              </w:rPr>
              <w:t>t</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a</w:t>
            </w:r>
          </w:p>
        </w:tc>
        <w:tc>
          <w:tcPr>
            <w:tcW w:w="2876"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ascii="Times New Roman" w:hAnsi="Times New Roman" w:eastAsia="宋体" w:cs="Times New Roman"/>
                <w:color w:val="auto"/>
                <w:szCs w:val="21"/>
                <w:lang w:eastAsia="zh-CN"/>
              </w:rPr>
            </w:pP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无组织排放NH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0.</w:t>
            </w:r>
            <w:r>
              <w:rPr>
                <w:rFonts w:hint="eastAsia" w:cs="Times New Roman"/>
                <w:color w:val="auto"/>
                <w:szCs w:val="21"/>
                <w:lang w:val="en-US" w:eastAsia="zh-CN"/>
              </w:rPr>
              <w:t>0037</w:t>
            </w:r>
            <w:r>
              <w:rPr>
                <w:rFonts w:hint="eastAsia" w:ascii="Times New Roman" w:hAnsi="Times New Roman" w:cs="Times New Roman"/>
                <w:color w:val="auto"/>
                <w:szCs w:val="21"/>
                <w:lang w:val="en-US" w:eastAsia="zh-CN"/>
              </w:rPr>
              <w:t>t</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a</w:t>
            </w:r>
            <w:r>
              <w:rPr>
                <w:rFonts w:hint="default" w:ascii="Times New Roman" w:hAnsi="Times New Roman" w:cs="Times New Roman"/>
                <w:color w:val="auto"/>
                <w:szCs w:val="21"/>
              </w:rPr>
              <w:t>、</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r>
              <w:rPr>
                <w:rFonts w:hint="default" w:ascii="Times New Roman" w:hAnsi="Times New Roman" w:cs="Times New Roman"/>
                <w:color w:val="auto"/>
                <w:szCs w:val="21"/>
                <w:lang w:val="en-US" w:eastAsia="zh-CN"/>
              </w:rPr>
              <w:t>0.0</w:t>
            </w:r>
            <w:r>
              <w:rPr>
                <w:rFonts w:hint="eastAsia" w:cs="Times New Roman"/>
                <w:color w:val="auto"/>
                <w:szCs w:val="21"/>
                <w:lang w:val="en-US" w:eastAsia="zh-CN"/>
              </w:rPr>
              <w:t>0074</w:t>
            </w:r>
            <w:r>
              <w:rPr>
                <w:rFonts w:hint="eastAsia" w:ascii="Times New Roman" w:hAnsi="Times New Roman" w:cs="Times New Roman"/>
                <w:color w:val="auto"/>
                <w:szCs w:val="21"/>
                <w:lang w:val="en-US" w:eastAsia="zh-CN"/>
              </w:rPr>
              <w:t>t</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食堂油烟</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食堂</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182.5kg/a</w:t>
            </w:r>
          </w:p>
        </w:tc>
        <w:tc>
          <w:tcPr>
            <w:tcW w:w="2876"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油烟净化器</w:t>
            </w:r>
          </w:p>
        </w:tc>
        <w:tc>
          <w:tcPr>
            <w:tcW w:w="1444"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36.5</w:t>
            </w:r>
            <w:r>
              <w:rPr>
                <w:rFonts w:hint="eastAsia" w:cs="Times New Roman"/>
                <w:color w:val="auto"/>
                <w:szCs w:val="21"/>
                <w:lang w:val="en-US" w:eastAsia="zh-CN"/>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发电机废气</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发电机房</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2876"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color w:val="auto"/>
                <w:lang w:val="en-US" w:eastAsia="zh-CN"/>
              </w:rPr>
              <w:t>自带</w:t>
            </w:r>
            <w:r>
              <w:rPr>
                <w:rFonts w:hint="eastAsia"/>
                <w:color w:val="auto"/>
              </w:rPr>
              <w:t>废气净化装置</w:t>
            </w:r>
          </w:p>
        </w:tc>
        <w:tc>
          <w:tcPr>
            <w:tcW w:w="1444"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ascii="Times New Roman"/>
                <w:b w:val="0"/>
                <w:bCs/>
                <w:color w:val="auto"/>
              </w:rPr>
              <w:t>饲料加工粉尘</w:t>
            </w:r>
          </w:p>
        </w:tc>
        <w:tc>
          <w:tcPr>
            <w:tcW w:w="1500"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饲料加工区</w:t>
            </w:r>
          </w:p>
        </w:tc>
        <w:tc>
          <w:tcPr>
            <w:tcW w:w="1500"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TSP：</w:t>
            </w:r>
            <w:r>
              <w:rPr>
                <w:rFonts w:hint="eastAsia" w:cs="Times New Roman"/>
                <w:color w:val="auto"/>
                <w:szCs w:val="21"/>
                <w:lang w:val="en-US" w:eastAsia="zh-CN"/>
              </w:rPr>
              <w:t>1.806</w:t>
            </w:r>
            <w:r>
              <w:rPr>
                <w:rFonts w:hint="eastAsia" w:ascii="Times New Roman" w:hAnsi="Times New Roman" w:cs="Times New Roman"/>
                <w:color w:val="auto"/>
                <w:szCs w:val="21"/>
                <w:lang w:val="en-US" w:eastAsia="zh-CN"/>
              </w:rPr>
              <w:t>t/a</w:t>
            </w:r>
          </w:p>
        </w:tc>
        <w:tc>
          <w:tcPr>
            <w:tcW w:w="2876"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cs="Times New Roman"/>
                <w:color w:val="auto"/>
                <w:lang w:val="en-US" w:eastAsia="zh-CN"/>
              </w:rPr>
              <w:t>布袋除尘器+15m高排气筒（</w:t>
            </w:r>
            <w:r>
              <w:rPr>
                <w:rFonts w:hint="default" w:ascii="Times New Roman" w:hAnsi="Times New Roman" w:eastAsia="宋体" w:cs="Times New Roman"/>
                <w:color w:val="auto"/>
                <w:sz w:val="21"/>
                <w:szCs w:val="21"/>
                <w:lang w:eastAsia="zh-CN"/>
              </w:rPr>
              <w:t>风量</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00m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收集效率取90%，处理效率取99%</w:t>
            </w:r>
            <w:r>
              <w:rPr>
                <w:rFonts w:hint="eastAsia" w:cs="Times New Roman"/>
                <w:color w:val="auto"/>
                <w:sz w:val="21"/>
                <w:szCs w:val="21"/>
                <w:lang w:eastAsia="zh-CN"/>
              </w:rPr>
              <w:t>，</w:t>
            </w:r>
            <w:r>
              <w:rPr>
                <w:rFonts w:hint="eastAsia" w:cs="Times New Roman"/>
                <w:color w:val="auto"/>
                <w:lang w:val="en-US" w:eastAsia="zh-CN"/>
              </w:rPr>
              <w:t>DA001）</w:t>
            </w:r>
          </w:p>
        </w:tc>
        <w:tc>
          <w:tcPr>
            <w:tcW w:w="1444"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有</w:t>
            </w:r>
            <w:r>
              <w:rPr>
                <w:rFonts w:hint="default" w:ascii="Times New Roman" w:hAnsi="Times New Roman" w:cs="Times New Roman"/>
                <w:color w:val="auto"/>
                <w:szCs w:val="21"/>
              </w:rPr>
              <w:t>组织排放</w:t>
            </w:r>
            <w:r>
              <w:rPr>
                <w:rFonts w:hint="eastAsia" w:ascii="Times New Roman" w:hAnsi="Times New Roman" w:cs="Times New Roman"/>
                <w:color w:val="auto"/>
                <w:szCs w:val="21"/>
                <w:lang w:val="en-US" w:eastAsia="zh-CN"/>
              </w:rPr>
              <w:t>TSP：0.0</w:t>
            </w:r>
            <w:r>
              <w:rPr>
                <w:rFonts w:hint="eastAsia" w:cs="Times New Roman"/>
                <w:color w:val="auto"/>
                <w:szCs w:val="21"/>
                <w:lang w:val="en-US" w:eastAsia="zh-CN"/>
              </w:rPr>
              <w:t>163</w:t>
            </w:r>
            <w:r>
              <w:rPr>
                <w:rFonts w:hint="eastAsia" w:ascii="Times New Roman" w:hAnsi="Times New Roman" w:cs="Times New Roman"/>
                <w:color w:val="auto"/>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ascii="Times New Roman"/>
                <w:b w:val="0"/>
                <w:bCs/>
                <w:color w:val="auto"/>
              </w:rPr>
            </w:pPr>
          </w:p>
        </w:tc>
        <w:tc>
          <w:tcPr>
            <w:tcW w:w="150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lang w:val="en-US" w:eastAsia="zh-CN"/>
              </w:rPr>
            </w:pPr>
          </w:p>
        </w:tc>
        <w:tc>
          <w:tcPr>
            <w:tcW w:w="150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cs="Times New Roman"/>
                <w:color w:val="auto"/>
                <w:szCs w:val="21"/>
                <w:lang w:val="en-US" w:eastAsia="zh-CN"/>
              </w:rPr>
            </w:pPr>
          </w:p>
        </w:tc>
        <w:tc>
          <w:tcPr>
            <w:tcW w:w="2876"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cs="Times New Roman"/>
                <w:color w:val="auto"/>
                <w:lang w:val="en-US" w:eastAsia="zh-CN"/>
              </w:rPr>
            </w:pPr>
          </w:p>
        </w:tc>
        <w:tc>
          <w:tcPr>
            <w:tcW w:w="1444"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无</w:t>
            </w:r>
            <w:r>
              <w:rPr>
                <w:rFonts w:hint="default" w:ascii="Times New Roman" w:hAnsi="Times New Roman" w:cs="Times New Roman"/>
                <w:color w:val="auto"/>
                <w:szCs w:val="21"/>
              </w:rPr>
              <w:t>组织排放</w:t>
            </w:r>
            <w:r>
              <w:rPr>
                <w:rFonts w:hint="eastAsia" w:ascii="Times New Roman" w:hAnsi="Times New Roman" w:cs="Times New Roman"/>
                <w:color w:val="auto"/>
                <w:szCs w:val="21"/>
                <w:lang w:val="en-US" w:eastAsia="zh-CN"/>
              </w:rPr>
              <w:t>TSP：0.</w:t>
            </w:r>
            <w:r>
              <w:rPr>
                <w:rFonts w:hint="eastAsia" w:cs="Times New Roman"/>
                <w:color w:val="auto"/>
                <w:szCs w:val="21"/>
                <w:lang w:val="en-US" w:eastAsia="zh-CN"/>
              </w:rPr>
              <w:t>181</w:t>
            </w:r>
            <w:r>
              <w:rPr>
                <w:rFonts w:hint="eastAsia" w:ascii="Times New Roman" w:hAnsi="Times New Roman" w:cs="Times New Roman"/>
                <w:color w:val="auto"/>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297"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88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eastAsia"/>
                <w:color w:val="auto"/>
                <w:kern w:val="0"/>
                <w:szCs w:val="21"/>
                <w:lang w:val="en-US" w:eastAsia="zh-CN"/>
              </w:rPr>
              <w:t>牛粪</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eastAsia"/>
                <w:color w:val="auto"/>
                <w:kern w:val="0"/>
                <w:szCs w:val="21"/>
                <w:lang w:val="en-US" w:eastAsia="zh-CN"/>
              </w:rPr>
              <w:t>牛粪</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lang w:val="en-US"/>
              </w:rPr>
            </w:pPr>
            <w:r>
              <w:rPr>
                <w:rFonts w:hint="eastAsia"/>
                <w:color w:val="auto"/>
                <w:kern w:val="0"/>
                <w:szCs w:val="21"/>
                <w:lang w:val="en-US" w:eastAsia="zh-CN"/>
              </w:rPr>
              <w:t>38657.15</w:t>
            </w:r>
          </w:p>
        </w:tc>
        <w:tc>
          <w:tcPr>
            <w:tcW w:w="2876"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color w:val="auto"/>
                <w:kern w:val="0"/>
                <w:szCs w:val="21"/>
                <w:lang w:val="en-US" w:eastAsia="zh-CN"/>
              </w:rPr>
              <w:t>经发酵床处理后，外售做有机肥原料。</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default"/>
                <w:color w:val="auto"/>
                <w:kern w:val="0"/>
                <w:szCs w:val="21"/>
              </w:rPr>
              <w:t>病死牛及分娩废物</w:t>
            </w:r>
          </w:p>
        </w:tc>
        <w:tc>
          <w:tcPr>
            <w:tcW w:w="150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eastAsia"/>
                <w:color w:val="auto"/>
                <w:kern w:val="0"/>
                <w:szCs w:val="21"/>
                <w:lang w:val="en-US" w:eastAsia="zh-CN"/>
              </w:rPr>
              <w:t>牛</w:t>
            </w:r>
            <w:r>
              <w:rPr>
                <w:rFonts w:hint="eastAsia"/>
                <w:color w:val="auto"/>
                <w:kern w:val="0"/>
                <w:szCs w:val="21"/>
              </w:rPr>
              <w:t>舍</w:t>
            </w:r>
          </w:p>
        </w:tc>
        <w:tc>
          <w:tcPr>
            <w:tcW w:w="150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eastAsia"/>
                <w:color w:val="auto"/>
                <w:kern w:val="0"/>
                <w:szCs w:val="21"/>
                <w:lang w:val="en-US" w:eastAsia="zh-CN"/>
              </w:rPr>
              <w:t>23.4</w:t>
            </w:r>
          </w:p>
        </w:tc>
        <w:tc>
          <w:tcPr>
            <w:tcW w:w="2876"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color w:val="auto"/>
                <w:kern w:val="0"/>
                <w:szCs w:val="21"/>
                <w:lang w:val="en-US" w:eastAsia="zh-CN"/>
              </w:rPr>
              <w:t>经高温无害化处理后，外售做有机肥原料。</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废包装材料</w:t>
            </w:r>
          </w:p>
        </w:tc>
        <w:tc>
          <w:tcPr>
            <w:tcW w:w="150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原辅料</w:t>
            </w:r>
          </w:p>
        </w:tc>
        <w:tc>
          <w:tcPr>
            <w:tcW w:w="150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rPr>
              <w:t>1.2</w:t>
            </w:r>
          </w:p>
        </w:tc>
        <w:tc>
          <w:tcPr>
            <w:tcW w:w="287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rPr>
              <w:t>暂存于一般固废间</w:t>
            </w:r>
            <w:r>
              <w:rPr>
                <w:rFonts w:hint="eastAsia"/>
                <w:color w:val="auto"/>
                <w:kern w:val="0"/>
                <w:szCs w:val="21"/>
                <w:lang w:eastAsia="zh-CN"/>
              </w:rPr>
              <w:t>，</w:t>
            </w:r>
            <w:r>
              <w:rPr>
                <w:rFonts w:hint="default"/>
                <w:color w:val="auto"/>
                <w:kern w:val="0"/>
                <w:szCs w:val="21"/>
              </w:rPr>
              <w:t>由厂家回收处置</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布袋除尘器收集的粉尘</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布袋除尘器</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1.61</w:t>
            </w:r>
          </w:p>
        </w:tc>
        <w:tc>
          <w:tcPr>
            <w:tcW w:w="2876"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暂存于一般固废间</w:t>
            </w:r>
            <w:r>
              <w:rPr>
                <w:rFonts w:hint="eastAsia"/>
                <w:color w:val="auto"/>
                <w:kern w:val="0"/>
                <w:szCs w:val="21"/>
                <w:lang w:eastAsia="zh-CN"/>
              </w:rPr>
              <w:t>，</w:t>
            </w:r>
            <w:r>
              <w:rPr>
                <w:rFonts w:hint="eastAsia"/>
                <w:color w:val="auto"/>
                <w:kern w:val="0"/>
                <w:szCs w:val="21"/>
                <w:lang w:val="en-US" w:eastAsia="zh-CN"/>
              </w:rPr>
              <w:t>外售有机肥厂</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color w:val="auto"/>
                <w:kern w:val="0"/>
                <w:szCs w:val="21"/>
              </w:rPr>
              <w:t>畜禽医疗垃圾</w:t>
            </w:r>
          </w:p>
        </w:tc>
        <w:tc>
          <w:tcPr>
            <w:tcW w:w="150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Cs w:val="21"/>
              </w:rPr>
              <w:t>疫苗注射、健康体检等</w:t>
            </w:r>
          </w:p>
        </w:tc>
        <w:tc>
          <w:tcPr>
            <w:tcW w:w="150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0.8</w:t>
            </w:r>
          </w:p>
        </w:tc>
        <w:tc>
          <w:tcPr>
            <w:tcW w:w="2876" w:type="dxa"/>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color w:val="auto"/>
              </w:rPr>
              <w:t>交有资质单位处理</w:t>
            </w:r>
          </w:p>
        </w:tc>
        <w:tc>
          <w:tcPr>
            <w:tcW w:w="144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办公生活垃圾</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办公生活</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rPr>
              <w:t>3.65</w:t>
            </w:r>
          </w:p>
        </w:tc>
        <w:tc>
          <w:tcPr>
            <w:tcW w:w="2876"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定期交由环卫部门</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eastAsia"/>
                <w:color w:val="auto"/>
                <w:kern w:val="0"/>
                <w:szCs w:val="21"/>
                <w:lang w:eastAsia="zh-CN"/>
              </w:rPr>
              <w:t>预处理池</w:t>
            </w:r>
            <w:r>
              <w:rPr>
                <w:rFonts w:hint="default"/>
                <w:color w:val="auto"/>
                <w:kern w:val="0"/>
                <w:szCs w:val="21"/>
              </w:rPr>
              <w:t>污泥</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default"/>
                <w:color w:val="auto"/>
                <w:kern w:val="0"/>
                <w:szCs w:val="21"/>
              </w:rPr>
              <w:t>办公生活</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eastAsia"/>
                <w:color w:val="auto"/>
                <w:kern w:val="0"/>
                <w:szCs w:val="21"/>
                <w:lang w:val="en-US" w:eastAsia="zh-CN"/>
              </w:rPr>
              <w:t>0.1</w:t>
            </w:r>
          </w:p>
        </w:tc>
        <w:tc>
          <w:tcPr>
            <w:tcW w:w="2876"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default"/>
                <w:color w:val="auto"/>
                <w:kern w:val="0"/>
                <w:szCs w:val="21"/>
              </w:rPr>
              <w:t>送三方资质单位处理</w:t>
            </w:r>
          </w:p>
        </w:tc>
        <w:tc>
          <w:tcPr>
            <w:tcW w:w="1444"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4" w:hRule="atLeast"/>
          <w:jc w:val="center"/>
        </w:trPr>
        <w:tc>
          <w:tcPr>
            <w:tcW w:w="29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887"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default"/>
                <w:color w:val="auto"/>
                <w:kern w:val="0"/>
                <w:szCs w:val="21"/>
              </w:rPr>
              <w:t>隔油池浮油</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default"/>
                <w:color w:val="auto"/>
                <w:kern w:val="0"/>
                <w:szCs w:val="21"/>
              </w:rPr>
              <w:t>办公生活</w:t>
            </w:r>
          </w:p>
        </w:tc>
        <w:tc>
          <w:tcPr>
            <w:tcW w:w="150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default"/>
                <w:color w:val="auto"/>
                <w:kern w:val="0"/>
                <w:szCs w:val="21"/>
              </w:rPr>
              <w:t>0.0</w:t>
            </w:r>
            <w:r>
              <w:rPr>
                <w:rFonts w:hint="eastAsia"/>
                <w:color w:val="auto"/>
                <w:kern w:val="0"/>
                <w:szCs w:val="21"/>
                <w:lang w:val="en-US" w:eastAsia="zh-CN"/>
              </w:rPr>
              <w:t>2</w:t>
            </w:r>
          </w:p>
        </w:tc>
        <w:tc>
          <w:tcPr>
            <w:tcW w:w="2876"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cs="Times New Roman"/>
                <w:color w:val="auto"/>
                <w:szCs w:val="21"/>
              </w:rPr>
            </w:pPr>
            <w:r>
              <w:rPr>
                <w:rFonts w:hint="default"/>
                <w:color w:val="auto"/>
                <w:kern w:val="0"/>
                <w:szCs w:val="21"/>
              </w:rPr>
              <w:t>定期交由环卫部门</w:t>
            </w:r>
          </w:p>
        </w:tc>
        <w:tc>
          <w:tcPr>
            <w:tcW w:w="1444"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4" w:type="dxa"/>
            <w:gridSpan w:val="2"/>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设备噪声</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75～100dB</w:t>
            </w:r>
          </w:p>
        </w:tc>
        <w:tc>
          <w:tcPr>
            <w:tcW w:w="2876"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选用低噪声设备、建筑隔声、基础减振等降噪措施</w:t>
            </w:r>
          </w:p>
        </w:tc>
        <w:tc>
          <w:tcPr>
            <w:tcW w:w="1444"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厂界达标</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昼间＜60dB(A)</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4" w:type="dxa"/>
            <w:gridSpan w:val="2"/>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cs="Times New Roman"/>
                <w:color w:val="auto"/>
                <w:szCs w:val="21"/>
                <w:lang w:val="en-US" w:eastAsia="zh-CN"/>
              </w:rPr>
              <w:t>牛</w:t>
            </w:r>
            <w:r>
              <w:rPr>
                <w:rFonts w:hint="default" w:ascii="Times New Roman" w:hAnsi="Times New Roman" w:cs="Times New Roman"/>
                <w:color w:val="auto"/>
                <w:szCs w:val="21"/>
              </w:rPr>
              <w:t>叫声</w:t>
            </w:r>
          </w:p>
        </w:tc>
        <w:tc>
          <w:tcPr>
            <w:tcW w:w="150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间歇产生</w:t>
            </w:r>
          </w:p>
        </w:tc>
        <w:tc>
          <w:tcPr>
            <w:tcW w:w="2876"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加强管理</w:t>
            </w:r>
          </w:p>
        </w:tc>
        <w:tc>
          <w:tcPr>
            <w:tcW w:w="1444"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p>
        </w:tc>
      </w:tr>
    </w:tbl>
    <w:p>
      <w:pPr>
        <w:jc w:val="center"/>
        <w:rPr>
          <w:rFonts w:eastAsia="黑体"/>
          <w:color w:val="auto"/>
          <w:szCs w:val="21"/>
          <w:vertAlign w:val="superscript"/>
        </w:rPr>
      </w:pP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282" w:name="_Toc26985"/>
      <w:bookmarkStart w:id="283" w:name="_Toc32448"/>
      <w:bookmarkStart w:id="284" w:name="_Toc4177"/>
      <w:bookmarkStart w:id="285" w:name="_Toc369197799"/>
      <w:bookmarkStart w:id="286" w:name="_Toc369334817"/>
      <w:bookmarkStart w:id="287" w:name="_Toc369359684"/>
      <w:bookmarkStart w:id="288" w:name="_Toc369334637"/>
      <w:bookmarkStart w:id="289" w:name="_Toc369359825"/>
      <w:r>
        <w:rPr>
          <w:rFonts w:ascii="Times New Roman" w:hAnsi="Times New Roman" w:cs="Times New Roman" w:eastAsiaTheme="majorEastAsia"/>
          <w:bCs/>
          <w:color w:val="auto"/>
          <w:kern w:val="2"/>
          <w:szCs w:val="32"/>
          <w:lang w:val="en-US" w:eastAsia="zh-CN"/>
        </w:rPr>
        <w:t>总量控制</w:t>
      </w:r>
      <w:bookmarkEnd w:id="282"/>
      <w:bookmarkEnd w:id="283"/>
      <w:bookmarkEnd w:id="284"/>
    </w:p>
    <w:p>
      <w:pPr>
        <w:spacing w:line="360" w:lineRule="auto"/>
        <w:ind w:firstLine="480"/>
        <w:rPr>
          <w:color w:val="auto"/>
          <w:sz w:val="24"/>
        </w:rPr>
      </w:pPr>
      <w:r>
        <w:rPr>
          <w:color w:val="auto"/>
          <w:sz w:val="24"/>
        </w:rPr>
        <w:t>污染物总量控制是环境保护工作的重点，是“一控双达标”的重要组成部分。污染物总量控制是针对污染物排放浓度控制的不足而提出的。排放浓度控制是从污染源出发的，它是对污染源的环境性能的一种描述和评价指标。其缺点是与环境质量之间联系不紧密，往往排放浓度达标而环境质量却在恶化。为此提出了污染物排放总量控制的概念，它由环境反推到源，根据环境质量指标和污染排放总量进行污染源的优化与排放总量的分配，为了使总量控制作为一种管理手段具有可操作性，目前采用“环境容量总量控制”的方法。</w:t>
      </w:r>
    </w:p>
    <w:p>
      <w:pPr>
        <w:spacing w:line="360" w:lineRule="auto"/>
        <w:ind w:firstLine="480"/>
        <w:rPr>
          <w:color w:val="auto"/>
          <w:sz w:val="24"/>
        </w:rPr>
      </w:pPr>
      <w:r>
        <w:rPr>
          <w:color w:val="auto"/>
          <w:sz w:val="24"/>
        </w:rPr>
        <w:t>本项目废气不涉及总量控制污染物；废水经污水站处理达到《农田灌溉水质标准》（GB5084-20</w:t>
      </w:r>
      <w:r>
        <w:rPr>
          <w:rFonts w:hint="eastAsia"/>
          <w:color w:val="auto"/>
          <w:sz w:val="24"/>
          <w:lang w:val="en-US" w:eastAsia="zh-CN"/>
        </w:rPr>
        <w:t>21</w:t>
      </w:r>
      <w:r>
        <w:rPr>
          <w:color w:val="auto"/>
          <w:sz w:val="24"/>
        </w:rPr>
        <w:t>）</w:t>
      </w:r>
      <w:r>
        <w:rPr>
          <w:rFonts w:hint="eastAsia"/>
          <w:color w:val="auto"/>
          <w:sz w:val="24"/>
          <w:lang w:val="en-US" w:eastAsia="zh-CN"/>
        </w:rPr>
        <w:t>旱作</w:t>
      </w:r>
      <w:r>
        <w:rPr>
          <w:color w:val="auto"/>
          <w:sz w:val="24"/>
        </w:rPr>
        <w:t>灌溉标准后，用于消纳地内灌溉。</w:t>
      </w:r>
    </w:p>
    <w:p>
      <w:pPr>
        <w:spacing w:line="360" w:lineRule="auto"/>
        <w:ind w:firstLine="480"/>
        <w:rPr>
          <w:b/>
          <w:bCs/>
          <w:i w:val="0"/>
          <w:iCs w:val="0"/>
          <w:color w:val="auto"/>
          <w:sz w:val="24"/>
        </w:rPr>
      </w:pPr>
      <w:r>
        <w:rPr>
          <w:b/>
          <w:bCs/>
          <w:i w:val="0"/>
          <w:iCs w:val="0"/>
          <w:color w:val="auto"/>
          <w:sz w:val="24"/>
        </w:rPr>
        <w:t>因此，根据本项目的排污特征，本次评价不涉及总量控制指标。</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290" w:name="_Toc25732"/>
      <w:bookmarkStart w:id="291" w:name="_Toc9340"/>
      <w:bookmarkStart w:id="292" w:name="_Toc31011"/>
      <w:r>
        <w:rPr>
          <w:rFonts w:ascii="Times New Roman" w:hAnsi="Times New Roman" w:cs="Times New Roman" w:eastAsiaTheme="majorEastAsia"/>
          <w:bCs/>
          <w:color w:val="auto"/>
          <w:kern w:val="2"/>
          <w:szCs w:val="32"/>
          <w:lang w:val="en-US" w:eastAsia="zh-CN"/>
        </w:rPr>
        <w:t>清洁生产</w:t>
      </w:r>
      <w:bookmarkEnd w:id="290"/>
      <w:bookmarkEnd w:id="291"/>
      <w:bookmarkEnd w:id="292"/>
    </w:p>
    <w:p>
      <w:pPr>
        <w:pStyle w:val="180"/>
        <w:rPr>
          <w:rFonts w:hint="default" w:ascii="Times New Roman" w:hAnsi="Times New Roman" w:cs="Times New Roman" w:eastAsiaTheme="majorEastAsia"/>
          <w:b/>
          <w:bCs w:val="0"/>
          <w:color w:val="auto"/>
          <w:sz w:val="24"/>
          <w:szCs w:val="24"/>
        </w:rPr>
      </w:pPr>
      <w:bookmarkStart w:id="293" w:name="_Toc16195"/>
      <w:r>
        <w:rPr>
          <w:rFonts w:hint="default" w:ascii="Times New Roman" w:hAnsi="Times New Roman" w:cs="Times New Roman" w:eastAsiaTheme="majorEastAsia"/>
          <w:b/>
          <w:bCs w:val="0"/>
          <w:color w:val="auto"/>
          <w:sz w:val="24"/>
          <w:szCs w:val="24"/>
        </w:rPr>
        <w:t>清洁生产分析</w:t>
      </w:r>
      <w:bookmarkEnd w:id="293"/>
    </w:p>
    <w:p>
      <w:pPr>
        <w:spacing w:line="360" w:lineRule="auto"/>
        <w:ind w:firstLine="482"/>
        <w:rPr>
          <w:color w:val="auto"/>
          <w:sz w:val="24"/>
        </w:rPr>
      </w:pPr>
      <w:r>
        <w:rPr>
          <w:color w:val="auto"/>
          <w:sz w:val="24"/>
        </w:rPr>
        <w:t>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推行清洁生产，实施环境污染预防是当今世界，也是我国政府提倡的重要环境保护政策。</w:t>
      </w:r>
    </w:p>
    <w:p>
      <w:pPr>
        <w:spacing w:line="360" w:lineRule="auto"/>
        <w:ind w:firstLine="482"/>
        <w:rPr>
          <w:color w:val="auto"/>
          <w:sz w:val="24"/>
        </w:rPr>
      </w:pPr>
      <w:r>
        <w:rPr>
          <w:color w:val="auto"/>
          <w:sz w:val="24"/>
        </w:rPr>
        <w:t>清洁生产的目标是通过对生产资源的合理利用，实现“节能、降耗、节水”的目标；通过削减污染物的产生和排放，减少对环境的污染，促进生产。</w:t>
      </w:r>
    </w:p>
    <w:p>
      <w:pPr>
        <w:pStyle w:val="180"/>
        <w:rPr>
          <w:rFonts w:hint="default" w:ascii="Times New Roman" w:hAnsi="Times New Roman" w:cs="Times New Roman" w:eastAsiaTheme="majorEastAsia"/>
          <w:b/>
          <w:bCs w:val="0"/>
          <w:color w:val="auto"/>
          <w:sz w:val="24"/>
          <w:szCs w:val="24"/>
        </w:rPr>
      </w:pPr>
      <w:bookmarkStart w:id="294" w:name="_Toc6986"/>
      <w:r>
        <w:rPr>
          <w:rFonts w:hint="default" w:ascii="Times New Roman" w:hAnsi="Times New Roman" w:cs="Times New Roman" w:eastAsiaTheme="majorEastAsia"/>
          <w:b/>
          <w:bCs w:val="0"/>
          <w:color w:val="auto"/>
          <w:sz w:val="24"/>
          <w:szCs w:val="24"/>
        </w:rPr>
        <w:t>清洁生产水平分析</w:t>
      </w:r>
      <w:bookmarkEnd w:id="294"/>
    </w:p>
    <w:p>
      <w:pPr>
        <w:spacing w:line="360" w:lineRule="auto"/>
        <w:ind w:firstLine="482"/>
        <w:rPr>
          <w:color w:val="auto"/>
          <w:sz w:val="24"/>
        </w:rPr>
      </w:pPr>
      <w:r>
        <w:rPr>
          <w:color w:val="auto"/>
          <w:sz w:val="24"/>
        </w:rPr>
        <w:t>清洁生产指标原则上分为生产工艺与装备要求、资源利用指标、产品指标、污染物产生指标（末端处理前）、废物回收利用指标及环境管理要求等六类，本评价将从这六方面来论述项目的清洁生产水平。根据当前的行业技术、装备水平和管理水平将清洁生产分为三级，一级代表国际清洁生产先进水平、二级代表国内清洁生产先进水平、三级代表国内清洁生产基本水平。</w:t>
      </w:r>
    </w:p>
    <w:p>
      <w:pPr>
        <w:pStyle w:val="8"/>
        <w:keepNext w:val="0"/>
        <w:keepLines w:val="0"/>
        <w:tabs>
          <w:tab w:val="clear" w:pos="1080"/>
        </w:tabs>
        <w:spacing w:before="60"/>
        <w:rPr>
          <w:color w:val="auto"/>
          <w:sz w:val="24"/>
          <w:szCs w:val="24"/>
        </w:rPr>
      </w:pPr>
      <w:r>
        <w:rPr>
          <w:color w:val="auto"/>
          <w:sz w:val="24"/>
          <w:szCs w:val="24"/>
        </w:rPr>
        <w:t>生产工艺与装备要求</w:t>
      </w:r>
    </w:p>
    <w:p>
      <w:pPr>
        <w:spacing w:line="360" w:lineRule="auto"/>
        <w:ind w:firstLine="482"/>
        <w:rPr>
          <w:b/>
          <w:color w:val="auto"/>
          <w:sz w:val="24"/>
        </w:rPr>
      </w:pPr>
      <w:r>
        <w:rPr>
          <w:b/>
          <w:color w:val="auto"/>
          <w:sz w:val="24"/>
        </w:rPr>
        <w:t>1、清粪工艺</w:t>
      </w:r>
    </w:p>
    <w:p>
      <w:pPr>
        <w:spacing w:line="360" w:lineRule="auto"/>
        <w:ind w:firstLine="482"/>
        <w:rPr>
          <w:color w:val="auto"/>
          <w:sz w:val="24"/>
        </w:rPr>
      </w:pPr>
      <w:r>
        <w:rPr>
          <w:color w:val="auto"/>
          <w:sz w:val="24"/>
        </w:rPr>
        <w:t>我国规模化养殖场目前主要清粪工艺有水冲粪、水泡粪和干清粪三种。</w:t>
      </w:r>
    </w:p>
    <w:p>
      <w:pPr>
        <w:spacing w:line="360" w:lineRule="auto"/>
        <w:ind w:firstLine="482"/>
        <w:rPr>
          <w:color w:val="auto"/>
          <w:sz w:val="24"/>
        </w:rPr>
      </w:pPr>
      <w:r>
        <w:rPr>
          <w:color w:val="auto"/>
          <w:sz w:val="24"/>
        </w:rPr>
        <w:t>水冲粪工艺是</w:t>
      </w:r>
      <w:r>
        <w:rPr>
          <w:rFonts w:hint="eastAsia"/>
          <w:color w:val="auto"/>
          <w:sz w:val="24"/>
          <w:lang w:eastAsia="zh-CN"/>
        </w:rPr>
        <w:t>牛</w:t>
      </w:r>
      <w:r>
        <w:rPr>
          <w:color w:val="auto"/>
          <w:sz w:val="24"/>
        </w:rPr>
        <w:t>粪便</w:t>
      </w:r>
      <w:r>
        <w:rPr>
          <w:rFonts w:hint="eastAsia"/>
          <w:color w:val="auto"/>
          <w:sz w:val="24"/>
          <w:lang w:eastAsia="zh-CN"/>
        </w:rPr>
        <w:t>牛</w:t>
      </w:r>
      <w:r>
        <w:rPr>
          <w:color w:val="auto"/>
          <w:sz w:val="24"/>
        </w:rPr>
        <w:t>尿污水混合后进入缝隙地板下的粪沟，每天数次冲沟端的自翻水装置放水冲洗。</w:t>
      </w:r>
    </w:p>
    <w:p>
      <w:pPr>
        <w:spacing w:line="360" w:lineRule="auto"/>
        <w:ind w:firstLine="482"/>
        <w:rPr>
          <w:color w:val="auto"/>
          <w:sz w:val="24"/>
        </w:rPr>
      </w:pPr>
      <w:r>
        <w:rPr>
          <w:color w:val="auto"/>
          <w:sz w:val="24"/>
        </w:rPr>
        <w:t>水泡粪清粪工艺是在水冲粪工艺的基础上改造而来的。工艺流程是在</w:t>
      </w:r>
      <w:r>
        <w:rPr>
          <w:rFonts w:hint="eastAsia"/>
          <w:color w:val="auto"/>
          <w:sz w:val="24"/>
          <w:lang w:eastAsia="zh-CN"/>
        </w:rPr>
        <w:t>牛</w:t>
      </w:r>
      <w:r>
        <w:rPr>
          <w:color w:val="auto"/>
          <w:sz w:val="24"/>
        </w:rPr>
        <w:t>舍内的排粪沟中注入一定量的水，粪便、冲洗用水一并排放缝隙地板下的粪沟中，贮存一定时间后（一般1-2个月），待粪沟流入主干沟，进入地下贮粪池或用泵抽吸到地面贮粪池。</w:t>
      </w:r>
    </w:p>
    <w:p>
      <w:pPr>
        <w:spacing w:line="360" w:lineRule="auto"/>
        <w:ind w:firstLine="482"/>
        <w:rPr>
          <w:color w:val="auto"/>
          <w:sz w:val="24"/>
        </w:rPr>
      </w:pPr>
      <w:r>
        <w:rPr>
          <w:color w:val="auto"/>
          <w:sz w:val="24"/>
        </w:rPr>
        <w:t>干法清粪工艺是将</w:t>
      </w:r>
      <w:r>
        <w:rPr>
          <w:rFonts w:hint="eastAsia"/>
          <w:color w:val="auto"/>
          <w:sz w:val="24"/>
          <w:lang w:val="en-US" w:eastAsia="zh-CN"/>
        </w:rPr>
        <w:t>牛</w:t>
      </w:r>
      <w:r>
        <w:rPr>
          <w:color w:val="auto"/>
          <w:sz w:val="24"/>
        </w:rPr>
        <w:t>粪及时、单独清出，尿及其冲洗水则从下水道流出，再分别进行处理。由于机械清粪噪声大，不利于</w:t>
      </w:r>
      <w:r>
        <w:rPr>
          <w:rFonts w:hint="eastAsia"/>
          <w:color w:val="auto"/>
          <w:sz w:val="24"/>
          <w:lang w:eastAsia="zh-CN"/>
        </w:rPr>
        <w:t>牛</w:t>
      </w:r>
      <w:r>
        <w:rPr>
          <w:color w:val="auto"/>
          <w:sz w:val="24"/>
        </w:rPr>
        <w:t>的生长，因此目前一般多用人工清粪。</w:t>
      </w:r>
    </w:p>
    <w:p>
      <w:pPr>
        <w:spacing w:line="360" w:lineRule="auto"/>
        <w:ind w:firstLine="482"/>
        <w:rPr>
          <w:color w:val="auto"/>
          <w:sz w:val="24"/>
        </w:rPr>
      </w:pPr>
      <w:r>
        <w:rPr>
          <w:color w:val="auto"/>
          <w:sz w:val="24"/>
        </w:rPr>
        <w:t>三种工艺对比情况详见表</w:t>
      </w:r>
      <w:r>
        <w:rPr>
          <w:rFonts w:hint="eastAsia"/>
          <w:color w:val="auto"/>
          <w:sz w:val="24"/>
          <w:lang w:val="en-US" w:eastAsia="zh-CN"/>
        </w:rPr>
        <w:t>3</w:t>
      </w:r>
      <w:r>
        <w:rPr>
          <w:rFonts w:hint="eastAsia"/>
          <w:color w:val="auto"/>
          <w:sz w:val="24"/>
        </w:rPr>
        <w:t>.8</w:t>
      </w:r>
      <w:r>
        <w:rPr>
          <w:color w:val="auto"/>
          <w:sz w:val="24"/>
        </w:rPr>
        <w:t>-</w:t>
      </w:r>
      <w:r>
        <w:rPr>
          <w:rFonts w:hint="eastAsia"/>
          <w:color w:val="auto"/>
          <w:sz w:val="24"/>
        </w:rPr>
        <w:t>1</w:t>
      </w:r>
      <w:r>
        <w:rPr>
          <w:color w:val="auto"/>
          <w:sz w:val="24"/>
        </w:rPr>
        <w:t>。</w:t>
      </w:r>
    </w:p>
    <w:p>
      <w:pPr>
        <w:jc w:val="center"/>
        <w:rPr>
          <w:rFonts w:eastAsia="黑体"/>
          <w:color w:val="auto"/>
        </w:rPr>
      </w:pPr>
      <w:r>
        <w:rPr>
          <w:rFonts w:eastAsia="黑体"/>
          <w:color w:val="auto"/>
        </w:rPr>
        <w:t>表</w:t>
      </w:r>
      <w:r>
        <w:rPr>
          <w:rFonts w:hint="eastAsia" w:eastAsia="黑体"/>
          <w:color w:val="auto"/>
          <w:lang w:val="en-US" w:eastAsia="zh-CN"/>
        </w:rPr>
        <w:t>3</w:t>
      </w:r>
      <w:r>
        <w:rPr>
          <w:rFonts w:hint="eastAsia" w:eastAsia="黑体"/>
          <w:color w:val="auto"/>
        </w:rPr>
        <w:t>.8</w:t>
      </w:r>
      <w:r>
        <w:rPr>
          <w:rFonts w:eastAsia="黑体"/>
          <w:color w:val="auto"/>
        </w:rPr>
        <w:t>-</w:t>
      </w:r>
      <w:r>
        <w:rPr>
          <w:rFonts w:hint="eastAsia" w:eastAsia="黑体"/>
          <w:color w:val="auto"/>
        </w:rPr>
        <w:t>1</w:t>
      </w:r>
      <w:r>
        <w:rPr>
          <w:rFonts w:eastAsia="黑体"/>
          <w:color w:val="auto"/>
        </w:rPr>
        <w:t xml:space="preserve"> </w:t>
      </w:r>
      <w:r>
        <w:rPr>
          <w:rFonts w:hint="eastAsia" w:eastAsia="黑体"/>
          <w:color w:val="auto"/>
        </w:rPr>
        <w:t xml:space="preserve"> </w:t>
      </w:r>
      <w:r>
        <w:rPr>
          <w:rFonts w:eastAsia="黑体"/>
          <w:color w:val="auto"/>
        </w:rPr>
        <w:t>清粪工艺对比</w:t>
      </w:r>
    </w:p>
    <w:tbl>
      <w:tblPr>
        <w:tblStyle w:val="90"/>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235"/>
        <w:gridCol w:w="1917"/>
        <w:gridCol w:w="1917"/>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序号</w:t>
            </w:r>
          </w:p>
        </w:tc>
        <w:tc>
          <w:tcPr>
            <w:tcW w:w="2235" w:type="dxa"/>
          </w:tcPr>
          <w:p>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项目</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水冲粪工艺</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水泡粪工艺</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b/>
                <w:color w:val="auto"/>
                <w:szCs w:val="21"/>
              </w:rPr>
            </w:pPr>
            <w:r>
              <w:rPr>
                <w:rFonts w:hint="default"/>
                <w:b/>
                <w:color w:val="auto"/>
                <w:szCs w:val="21"/>
              </w:rPr>
              <w:t>干清粪工艺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1</w:t>
            </w:r>
          </w:p>
        </w:tc>
        <w:tc>
          <w:tcPr>
            <w:tcW w:w="2235"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用水量</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多</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较多</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2</w:t>
            </w:r>
          </w:p>
        </w:tc>
        <w:tc>
          <w:tcPr>
            <w:tcW w:w="2235"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污水浓度</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高</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高</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3</w:t>
            </w:r>
          </w:p>
        </w:tc>
        <w:tc>
          <w:tcPr>
            <w:tcW w:w="2235"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污水处理难度</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高</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高</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4</w:t>
            </w:r>
          </w:p>
        </w:tc>
        <w:tc>
          <w:tcPr>
            <w:tcW w:w="2235"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肥料价值</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低</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低</w:t>
            </w:r>
          </w:p>
        </w:tc>
        <w:tc>
          <w:tcPr>
            <w:tcW w:w="1917" w:type="dxa"/>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color w:val="auto"/>
                <w:szCs w:val="21"/>
              </w:rPr>
              <w:t>高</w:t>
            </w:r>
          </w:p>
        </w:tc>
      </w:tr>
    </w:tbl>
    <w:p>
      <w:pPr>
        <w:spacing w:line="360" w:lineRule="auto"/>
        <w:ind w:firstLine="482"/>
        <w:rPr>
          <w:color w:val="auto"/>
          <w:sz w:val="24"/>
        </w:rPr>
      </w:pPr>
      <w:r>
        <w:rPr>
          <w:color w:val="auto"/>
          <w:sz w:val="24"/>
        </w:rPr>
        <w:t>从表</w:t>
      </w:r>
      <w:r>
        <w:rPr>
          <w:rFonts w:hint="eastAsia"/>
          <w:color w:val="auto"/>
          <w:sz w:val="24"/>
          <w:lang w:val="en-US" w:eastAsia="zh-CN"/>
        </w:rPr>
        <w:t>3.8</w:t>
      </w:r>
      <w:r>
        <w:rPr>
          <w:color w:val="auto"/>
          <w:sz w:val="24"/>
        </w:rPr>
        <w:t>-</w:t>
      </w:r>
      <w:r>
        <w:rPr>
          <w:rFonts w:hint="eastAsia"/>
          <w:color w:val="auto"/>
          <w:sz w:val="24"/>
          <w:lang w:val="en-US" w:eastAsia="zh-CN"/>
        </w:rPr>
        <w:t>1</w:t>
      </w:r>
      <w:r>
        <w:rPr>
          <w:color w:val="auto"/>
          <w:sz w:val="24"/>
        </w:rPr>
        <w:t>可以看出：干清粪能从源头上减少废水和污染物的产生，同时最大限度保存了粪的肥效，是一种更为清洁的清粪方式。</w:t>
      </w:r>
    </w:p>
    <w:p>
      <w:pPr>
        <w:spacing w:line="360" w:lineRule="auto"/>
        <w:ind w:firstLine="482"/>
        <w:rPr>
          <w:color w:val="auto"/>
          <w:sz w:val="24"/>
        </w:rPr>
      </w:pPr>
      <w:r>
        <w:rPr>
          <w:color w:val="auto"/>
          <w:sz w:val="24"/>
        </w:rPr>
        <w:t>本项目采取的就是干清粪这种清洁生产水平更高的清粪方式。</w:t>
      </w:r>
      <w:r>
        <w:rPr>
          <w:rFonts w:hint="eastAsia"/>
          <w:bCs/>
          <w:color w:val="auto"/>
          <w:sz w:val="24"/>
          <w:lang w:eastAsia="zh-CN"/>
        </w:rPr>
        <w:t>牛</w:t>
      </w:r>
      <w:r>
        <w:rPr>
          <w:rFonts w:hint="eastAsia"/>
          <w:bCs/>
          <w:color w:val="auto"/>
          <w:sz w:val="24"/>
        </w:rPr>
        <w:t>舍内产生的粪尿依靠重力进入漏缝地板下的粪沟内，粪沟具有一定的坡度，中间低洼处有一条集水沟，</w:t>
      </w:r>
      <w:r>
        <w:rPr>
          <w:rFonts w:hint="eastAsia"/>
          <w:bCs/>
          <w:color w:val="auto"/>
          <w:sz w:val="24"/>
          <w:lang w:eastAsia="zh-CN"/>
        </w:rPr>
        <w:t>牛</w:t>
      </w:r>
      <w:r>
        <w:rPr>
          <w:rFonts w:hint="eastAsia"/>
          <w:bCs/>
          <w:color w:val="auto"/>
          <w:sz w:val="24"/>
        </w:rPr>
        <w:t>只尿液及废水重力流入集水沟内排出；粪便则停留在斜坡上，一经产生便通过机械刮粪机排至地埋式排粪沟内排出。</w:t>
      </w:r>
    </w:p>
    <w:p>
      <w:pPr>
        <w:spacing w:line="360" w:lineRule="auto"/>
        <w:ind w:firstLine="482"/>
        <w:rPr>
          <w:color w:val="auto"/>
          <w:sz w:val="24"/>
        </w:rPr>
      </w:pPr>
      <w:r>
        <w:rPr>
          <w:color w:val="auto"/>
          <w:sz w:val="24"/>
        </w:rPr>
        <w:t>另外，根据《畜禽养殖业污染防治技术规范》中规定：新建、改建、扩建的畜禽养殖场采取干清粪工艺，采取有效措施将粪及时、单独清出，不可与尿、污水混合排出，并将产生的粪渣及时运至粪便临时堆存间，实现日产日清，采用水冲粪、水泡粪湿法清粪工艺的养殖场，要逐步改为干清粪工艺。本工程应用干清粪工艺满足该《畜禽养殖业污染防治技术规范》要求。</w:t>
      </w:r>
    </w:p>
    <w:p>
      <w:pPr>
        <w:spacing w:line="360" w:lineRule="auto"/>
        <w:ind w:firstLine="482"/>
        <w:rPr>
          <w:b/>
          <w:color w:val="auto"/>
          <w:sz w:val="24"/>
        </w:rPr>
      </w:pPr>
      <w:r>
        <w:rPr>
          <w:b/>
          <w:color w:val="auto"/>
          <w:sz w:val="24"/>
        </w:rPr>
        <w:t>2、饮水方式</w:t>
      </w:r>
    </w:p>
    <w:p>
      <w:pPr>
        <w:spacing w:line="360" w:lineRule="auto"/>
        <w:ind w:firstLine="482"/>
        <w:rPr>
          <w:color w:val="auto"/>
          <w:sz w:val="24"/>
        </w:rPr>
      </w:pPr>
      <w:r>
        <w:rPr>
          <w:rFonts w:hint="eastAsia"/>
          <w:color w:val="auto"/>
          <w:sz w:val="24"/>
          <w:lang w:eastAsia="zh-CN"/>
        </w:rPr>
        <w:t>牛</w:t>
      </w:r>
      <w:r>
        <w:rPr>
          <w:color w:val="auto"/>
          <w:sz w:val="24"/>
        </w:rPr>
        <w:t>只饮水主要采用限位饮水器，能够在很大程度上减少</w:t>
      </w:r>
      <w:r>
        <w:rPr>
          <w:rFonts w:hint="eastAsia"/>
          <w:color w:val="auto"/>
          <w:sz w:val="24"/>
          <w:lang w:eastAsia="zh-CN"/>
        </w:rPr>
        <w:t>牛</w:t>
      </w:r>
      <w:r>
        <w:rPr>
          <w:color w:val="auto"/>
          <w:sz w:val="24"/>
        </w:rPr>
        <w:t>饮水中的跑、冒、滴、漏和其他原因造成的水浪费。</w:t>
      </w:r>
    </w:p>
    <w:p>
      <w:pPr>
        <w:pStyle w:val="8"/>
        <w:keepNext w:val="0"/>
        <w:keepLines w:val="0"/>
        <w:tabs>
          <w:tab w:val="clear" w:pos="1080"/>
        </w:tabs>
        <w:spacing w:before="60"/>
        <w:rPr>
          <w:color w:val="auto"/>
          <w:sz w:val="24"/>
          <w:szCs w:val="24"/>
        </w:rPr>
      </w:pPr>
      <w:r>
        <w:rPr>
          <w:color w:val="auto"/>
          <w:sz w:val="24"/>
          <w:szCs w:val="24"/>
        </w:rPr>
        <w:t>资源能源利用指标</w:t>
      </w:r>
    </w:p>
    <w:p>
      <w:pPr>
        <w:spacing w:line="360" w:lineRule="auto"/>
        <w:ind w:firstLine="482"/>
        <w:rPr>
          <w:color w:val="auto"/>
          <w:sz w:val="24"/>
        </w:rPr>
      </w:pPr>
      <w:r>
        <w:rPr>
          <w:color w:val="auto"/>
          <w:sz w:val="24"/>
        </w:rPr>
        <w:t>1、原料</w:t>
      </w:r>
    </w:p>
    <w:p>
      <w:pPr>
        <w:snapToGrid w:val="0"/>
        <w:spacing w:line="360" w:lineRule="auto"/>
        <w:ind w:firstLine="480" w:firstLineChars="200"/>
        <w:rPr>
          <w:color w:val="auto"/>
          <w:sz w:val="24"/>
        </w:rPr>
      </w:pPr>
      <w:r>
        <w:rPr>
          <w:color w:val="auto"/>
          <w:sz w:val="24"/>
        </w:rPr>
        <w:t>本项目</w:t>
      </w:r>
      <w:r>
        <w:rPr>
          <w:rFonts w:hint="eastAsia"/>
          <w:color w:val="auto"/>
          <w:sz w:val="24"/>
          <w:lang w:eastAsia="zh-CN"/>
        </w:rPr>
        <w:t>牛</w:t>
      </w:r>
      <w:r>
        <w:rPr>
          <w:color w:val="auto"/>
          <w:sz w:val="24"/>
        </w:rPr>
        <w:t>粪</w:t>
      </w:r>
      <w:r>
        <w:rPr>
          <w:rFonts w:hint="eastAsia"/>
          <w:color w:val="auto"/>
          <w:sz w:val="24"/>
        </w:rPr>
        <w:t>、污水</w:t>
      </w:r>
      <w:r>
        <w:rPr>
          <w:color w:val="auto"/>
          <w:sz w:val="24"/>
        </w:rPr>
        <w:t>经</w:t>
      </w:r>
      <w:r>
        <w:rPr>
          <w:rFonts w:hint="eastAsia"/>
          <w:color w:val="auto"/>
          <w:sz w:val="24"/>
        </w:rPr>
        <w:t>发酵处理后</w:t>
      </w:r>
      <w:r>
        <w:rPr>
          <w:rFonts w:hint="eastAsia"/>
          <w:color w:val="auto"/>
          <w:sz w:val="24"/>
          <w:lang w:eastAsia="zh-CN"/>
        </w:rPr>
        <w:t>，</w:t>
      </w:r>
      <w:r>
        <w:rPr>
          <w:color w:val="auto"/>
          <w:sz w:val="24"/>
        </w:rPr>
        <w:t>得到有机肥</w:t>
      </w:r>
      <w:r>
        <w:rPr>
          <w:rFonts w:hint="eastAsia"/>
          <w:color w:val="auto"/>
          <w:sz w:val="24"/>
          <w:lang w:val="en-US" w:eastAsia="zh-CN"/>
        </w:rPr>
        <w:t>原料</w:t>
      </w:r>
      <w:r>
        <w:rPr>
          <w:color w:val="auto"/>
          <w:sz w:val="24"/>
        </w:rPr>
        <w:t>外售，同时为该场获得了更多的经济利润。</w:t>
      </w:r>
    </w:p>
    <w:p>
      <w:pPr>
        <w:spacing w:line="360" w:lineRule="auto"/>
        <w:ind w:firstLine="482"/>
        <w:rPr>
          <w:color w:val="auto"/>
          <w:sz w:val="24"/>
        </w:rPr>
      </w:pPr>
      <w:r>
        <w:rPr>
          <w:color w:val="auto"/>
          <w:sz w:val="24"/>
        </w:rPr>
        <w:t>2、通风、空调节能措施</w:t>
      </w:r>
    </w:p>
    <w:p>
      <w:pPr>
        <w:spacing w:line="360" w:lineRule="auto"/>
        <w:ind w:firstLine="482"/>
        <w:rPr>
          <w:color w:val="auto"/>
          <w:sz w:val="24"/>
        </w:rPr>
      </w:pPr>
      <w:r>
        <w:rPr>
          <w:color w:val="auto"/>
          <w:sz w:val="24"/>
        </w:rPr>
        <w:t>（1）废气系统采用变频控制电机的速度及风速；</w:t>
      </w:r>
    </w:p>
    <w:p>
      <w:pPr>
        <w:spacing w:line="360" w:lineRule="auto"/>
        <w:ind w:firstLine="482"/>
        <w:rPr>
          <w:color w:val="auto"/>
          <w:sz w:val="24"/>
        </w:rPr>
      </w:pPr>
      <w:r>
        <w:rPr>
          <w:color w:val="auto"/>
          <w:sz w:val="24"/>
        </w:rPr>
        <w:t>（2）所有的风机等均为高效率节能设备；</w:t>
      </w:r>
    </w:p>
    <w:p>
      <w:pPr>
        <w:spacing w:line="360" w:lineRule="auto"/>
        <w:ind w:firstLine="482"/>
        <w:rPr>
          <w:color w:val="auto"/>
          <w:sz w:val="24"/>
        </w:rPr>
      </w:pPr>
      <w:r>
        <w:rPr>
          <w:color w:val="auto"/>
          <w:sz w:val="24"/>
        </w:rPr>
        <w:t>3、电力节能</w:t>
      </w:r>
    </w:p>
    <w:p>
      <w:pPr>
        <w:spacing w:line="360" w:lineRule="auto"/>
        <w:ind w:firstLine="482"/>
        <w:rPr>
          <w:color w:val="auto"/>
          <w:sz w:val="24"/>
        </w:rPr>
      </w:pPr>
      <w:r>
        <w:rPr>
          <w:color w:val="auto"/>
          <w:sz w:val="24"/>
        </w:rPr>
        <w:t>（1）系统的合理设计：A．电力系统尽量采用高压配电，减小回路输电电流降低能耗；B．变电站靠近负荷中心，终端配变电站按照用电负荷合理分布，以减少线路损耗；C．合理布置配电设备，减小配电级数，减少设备能耗；D．合理选择配电线路，减小线路损耗；E．选择节能变压器；F．无功就地补偿，减小无功损耗。</w:t>
      </w:r>
    </w:p>
    <w:p>
      <w:pPr>
        <w:spacing w:line="360" w:lineRule="auto"/>
        <w:ind w:firstLine="482"/>
        <w:rPr>
          <w:color w:val="auto"/>
          <w:sz w:val="24"/>
        </w:rPr>
      </w:pPr>
      <w:r>
        <w:rPr>
          <w:color w:val="auto"/>
          <w:sz w:val="24"/>
        </w:rPr>
        <w:t>（2）节电节能设备：选择高效日光灯，采用电子镇流器设计。</w:t>
      </w:r>
    </w:p>
    <w:p>
      <w:pPr>
        <w:spacing w:line="360" w:lineRule="auto"/>
        <w:ind w:firstLine="482"/>
        <w:rPr>
          <w:color w:val="auto"/>
          <w:sz w:val="24"/>
        </w:rPr>
      </w:pPr>
      <w:r>
        <w:rPr>
          <w:color w:val="auto"/>
          <w:sz w:val="24"/>
        </w:rPr>
        <w:t>因此，项目原料得到了合理利用，且采用了低能耗电器，本项目资源能源的利用指标属于国内清洁生产基本水平。</w:t>
      </w:r>
    </w:p>
    <w:p>
      <w:pPr>
        <w:pStyle w:val="8"/>
        <w:keepNext w:val="0"/>
        <w:keepLines w:val="0"/>
        <w:tabs>
          <w:tab w:val="clear" w:pos="1080"/>
        </w:tabs>
        <w:spacing w:before="60"/>
        <w:rPr>
          <w:color w:val="auto"/>
          <w:sz w:val="24"/>
          <w:szCs w:val="24"/>
        </w:rPr>
      </w:pPr>
      <w:r>
        <w:rPr>
          <w:color w:val="auto"/>
          <w:sz w:val="24"/>
          <w:szCs w:val="24"/>
        </w:rPr>
        <w:t>产品指标</w:t>
      </w:r>
    </w:p>
    <w:p>
      <w:pPr>
        <w:spacing w:line="360" w:lineRule="auto"/>
        <w:ind w:firstLine="482"/>
        <w:rPr>
          <w:color w:val="auto"/>
          <w:sz w:val="24"/>
        </w:rPr>
      </w:pPr>
      <w:r>
        <w:rPr>
          <w:rFonts w:hint="eastAsia"/>
          <w:color w:val="auto"/>
          <w:sz w:val="24"/>
          <w:lang w:eastAsia="zh-CN"/>
        </w:rPr>
        <w:t>牛</w:t>
      </w:r>
      <w:r>
        <w:rPr>
          <w:color w:val="auto"/>
          <w:sz w:val="24"/>
        </w:rPr>
        <w:t>肉是人们日常生活不可或缺的副食品，可为人类提供优质蛋白质和必需的脂肪酸。本项目产品主要为鲜</w:t>
      </w:r>
      <w:r>
        <w:rPr>
          <w:rFonts w:hint="eastAsia"/>
          <w:color w:val="auto"/>
          <w:sz w:val="24"/>
          <w:lang w:eastAsia="zh-CN"/>
        </w:rPr>
        <w:t>牛</w:t>
      </w:r>
      <w:r>
        <w:rPr>
          <w:color w:val="auto"/>
          <w:sz w:val="24"/>
        </w:rPr>
        <w:t>肉及其副产品，其质量标准符合要求。</w:t>
      </w:r>
    </w:p>
    <w:p>
      <w:pPr>
        <w:pStyle w:val="8"/>
        <w:keepNext w:val="0"/>
        <w:keepLines w:val="0"/>
        <w:tabs>
          <w:tab w:val="clear" w:pos="1080"/>
        </w:tabs>
        <w:spacing w:before="60"/>
        <w:rPr>
          <w:color w:val="auto"/>
          <w:sz w:val="24"/>
          <w:szCs w:val="24"/>
        </w:rPr>
      </w:pPr>
      <w:r>
        <w:rPr>
          <w:color w:val="auto"/>
          <w:sz w:val="24"/>
          <w:szCs w:val="24"/>
        </w:rPr>
        <w:t>污染物产生指标</w:t>
      </w:r>
    </w:p>
    <w:p>
      <w:pPr>
        <w:spacing w:line="360" w:lineRule="auto"/>
        <w:ind w:firstLine="482"/>
        <w:rPr>
          <w:color w:val="auto"/>
          <w:sz w:val="24"/>
        </w:rPr>
      </w:pPr>
      <w:r>
        <w:rPr>
          <w:color w:val="auto"/>
          <w:sz w:val="24"/>
        </w:rPr>
        <w:t>本项目产生污染物主要为恶臭等大气污染物、废水和固废。通过采取恶臭气体收集后进行处理、定时冲洗消毒、封闭污水管道、加强管理等措施后，项目恶臭等大气污染物排放可得到有效控制；根据水平衡，养殖废水排放量能够满足《畜禽养殖业污染物排放标准》（GB18596-2001）中的相关要求求。因此，本项目污染物产生指标属于国内清洁生产基本水平。</w:t>
      </w:r>
    </w:p>
    <w:p>
      <w:pPr>
        <w:pStyle w:val="8"/>
        <w:keepNext w:val="0"/>
        <w:keepLines w:val="0"/>
        <w:tabs>
          <w:tab w:val="clear" w:pos="1080"/>
        </w:tabs>
        <w:spacing w:before="60"/>
        <w:rPr>
          <w:color w:val="auto"/>
          <w:sz w:val="24"/>
          <w:szCs w:val="24"/>
        </w:rPr>
      </w:pPr>
      <w:r>
        <w:rPr>
          <w:color w:val="auto"/>
          <w:sz w:val="24"/>
          <w:szCs w:val="24"/>
        </w:rPr>
        <w:t>废物回收利用指标</w:t>
      </w:r>
    </w:p>
    <w:p>
      <w:pPr>
        <w:snapToGrid w:val="0"/>
        <w:spacing w:line="360" w:lineRule="auto"/>
        <w:ind w:firstLine="480" w:firstLineChars="200"/>
        <w:rPr>
          <w:color w:val="auto"/>
          <w:sz w:val="24"/>
        </w:rPr>
      </w:pPr>
      <w:r>
        <w:rPr>
          <w:color w:val="auto"/>
          <w:sz w:val="24"/>
        </w:rPr>
        <w:t>本项目产生的主要污染物为废水、</w:t>
      </w:r>
      <w:r>
        <w:rPr>
          <w:rFonts w:hint="eastAsia"/>
          <w:color w:val="auto"/>
          <w:sz w:val="24"/>
          <w:lang w:eastAsia="zh-CN"/>
        </w:rPr>
        <w:t>牛</w:t>
      </w:r>
      <w:r>
        <w:rPr>
          <w:color w:val="auto"/>
          <w:sz w:val="24"/>
        </w:rPr>
        <w:t>粪等。本项目</w:t>
      </w:r>
      <w:r>
        <w:rPr>
          <w:rFonts w:hint="eastAsia"/>
          <w:color w:val="auto"/>
          <w:sz w:val="24"/>
          <w:lang w:val="en-US" w:eastAsia="zh-CN"/>
        </w:rPr>
        <w:t>废水、牛粪</w:t>
      </w:r>
      <w:r>
        <w:rPr>
          <w:rFonts w:hint="eastAsia"/>
          <w:color w:val="auto"/>
          <w:sz w:val="24"/>
        </w:rPr>
        <w:t>经</w:t>
      </w:r>
      <w:r>
        <w:rPr>
          <w:rFonts w:hint="eastAsia"/>
          <w:color w:val="auto"/>
          <w:sz w:val="24"/>
          <w:lang w:val="en-US" w:eastAsia="zh-CN"/>
        </w:rPr>
        <w:t>发酵床处理后，外售做有机肥原料</w:t>
      </w:r>
      <w:r>
        <w:rPr>
          <w:color w:val="auto"/>
          <w:sz w:val="24"/>
          <w:szCs w:val="28"/>
        </w:rPr>
        <w:t>。</w:t>
      </w:r>
    </w:p>
    <w:p>
      <w:pPr>
        <w:pStyle w:val="8"/>
        <w:keepNext w:val="0"/>
        <w:keepLines w:val="0"/>
        <w:tabs>
          <w:tab w:val="clear" w:pos="1080"/>
        </w:tabs>
        <w:spacing w:before="60"/>
        <w:rPr>
          <w:color w:val="auto"/>
          <w:sz w:val="24"/>
          <w:szCs w:val="24"/>
        </w:rPr>
      </w:pPr>
      <w:r>
        <w:rPr>
          <w:color w:val="auto"/>
          <w:sz w:val="24"/>
          <w:szCs w:val="24"/>
        </w:rPr>
        <w:t>环境管理、废物处理与处置、相关环境管理指标</w:t>
      </w:r>
    </w:p>
    <w:p>
      <w:pPr>
        <w:spacing w:line="360" w:lineRule="auto"/>
        <w:ind w:firstLine="482"/>
        <w:rPr>
          <w:color w:val="auto"/>
          <w:sz w:val="24"/>
        </w:rPr>
      </w:pPr>
      <w:r>
        <w:rPr>
          <w:color w:val="auto"/>
          <w:sz w:val="24"/>
        </w:rPr>
        <w:t>本项目在施工期和运营期拟采取各项污染控制措施对项目产生的噪声、废水、固废等污染物进行治理，同时建立相应的环境保护管理机构。因此，本项目的环境管理指标符合要求。</w:t>
      </w:r>
    </w:p>
    <w:p>
      <w:pPr>
        <w:pStyle w:val="7"/>
        <w:spacing w:before="120"/>
        <w:rPr>
          <w:color w:val="auto"/>
          <w:sz w:val="24"/>
          <w:szCs w:val="24"/>
        </w:rPr>
      </w:pPr>
      <w:bookmarkStart w:id="295" w:name="_Toc11154"/>
      <w:r>
        <w:rPr>
          <w:color w:val="auto"/>
          <w:sz w:val="24"/>
          <w:szCs w:val="24"/>
        </w:rPr>
        <w:t>清洁生产小结</w:t>
      </w:r>
      <w:bookmarkEnd w:id="295"/>
    </w:p>
    <w:p>
      <w:pPr>
        <w:spacing w:line="360" w:lineRule="auto"/>
        <w:ind w:firstLine="482"/>
        <w:rPr>
          <w:color w:val="auto"/>
          <w:sz w:val="24"/>
        </w:rPr>
      </w:pPr>
      <w:r>
        <w:rPr>
          <w:color w:val="auto"/>
          <w:sz w:val="24"/>
        </w:rPr>
        <w:t>本项目对污染物进行集中治理，贯彻了“节能、降耗、减污”的清洁生产原则。本项目的主要工艺装备指标、资源能源利用总体指标、废物回收利用指标，污染物产生指标以及环境管理、废物处理与处置、相关方面环境管理指标全部达到国内同行业基本水平的要求，项目较好地贯彻了清洁生产的原则。</w:t>
      </w:r>
    </w:p>
    <w:p>
      <w:pPr>
        <w:pStyle w:val="7"/>
        <w:spacing w:before="120"/>
        <w:rPr>
          <w:color w:val="auto"/>
          <w:sz w:val="24"/>
          <w:szCs w:val="24"/>
        </w:rPr>
      </w:pPr>
      <w:bookmarkStart w:id="296" w:name="_Toc20820"/>
      <w:r>
        <w:rPr>
          <w:color w:val="auto"/>
          <w:sz w:val="24"/>
          <w:szCs w:val="24"/>
        </w:rPr>
        <w:t>加强清洁生产建议措施</w:t>
      </w:r>
      <w:bookmarkEnd w:id="296"/>
    </w:p>
    <w:p>
      <w:pPr>
        <w:spacing w:line="360" w:lineRule="auto"/>
        <w:ind w:firstLine="480" w:firstLineChars="200"/>
        <w:rPr>
          <w:color w:val="auto"/>
          <w:sz w:val="24"/>
        </w:rPr>
      </w:pPr>
      <w:r>
        <w:rPr>
          <w:color w:val="auto"/>
          <w:sz w:val="24"/>
        </w:rPr>
        <w:t>为了更好的执行清洁生产方针，建议厂方考虑以下的清洁措施：</w:t>
      </w:r>
    </w:p>
    <w:p>
      <w:pPr>
        <w:spacing w:line="360" w:lineRule="auto"/>
        <w:ind w:firstLine="482" w:firstLineChars="200"/>
        <w:rPr>
          <w:b/>
          <w:color w:val="auto"/>
          <w:sz w:val="24"/>
        </w:rPr>
      </w:pPr>
      <w:r>
        <w:rPr>
          <w:b/>
          <w:color w:val="auto"/>
          <w:sz w:val="24"/>
        </w:rPr>
        <w:t>（1）建立和完善清洁生产制度</w:t>
      </w:r>
    </w:p>
    <w:p>
      <w:pPr>
        <w:spacing w:line="360" w:lineRule="auto"/>
        <w:ind w:firstLine="480" w:firstLineChars="200"/>
        <w:rPr>
          <w:color w:val="auto"/>
          <w:sz w:val="24"/>
        </w:rPr>
      </w:pPr>
      <w:r>
        <w:rPr>
          <w:color w:val="auto"/>
          <w:sz w:val="24"/>
        </w:rPr>
        <w:t>根据国内清洁生产试点工作经验，加强管理是所有清洁生产方案中最重要的无费、低费和少费方案，约占清洁生产方案总数的40％，因此企业进行清洁生产，必须首先从加强管理入手。</w:t>
      </w:r>
    </w:p>
    <w:p>
      <w:pPr>
        <w:spacing w:line="360" w:lineRule="auto"/>
        <w:ind w:firstLine="480" w:firstLineChars="200"/>
        <w:rPr>
          <w:color w:val="auto"/>
          <w:sz w:val="24"/>
        </w:rPr>
      </w:pPr>
      <w:r>
        <w:rPr>
          <w:color w:val="auto"/>
          <w:sz w:val="24"/>
        </w:rPr>
        <w:t>由于清洁生产是全过程的污染控制，涉及到公司各个部门，因此必须由企业主要负责人全面负责，</w:t>
      </w:r>
      <w:r>
        <w:rPr>
          <w:rFonts w:hint="eastAsia"/>
          <w:color w:val="auto"/>
          <w:sz w:val="24"/>
          <w:lang w:eastAsia="zh-CN"/>
        </w:rPr>
        <w:t>常抓不懈</w:t>
      </w:r>
      <w:r>
        <w:rPr>
          <w:color w:val="auto"/>
          <w:sz w:val="24"/>
        </w:rPr>
        <w:t>，并由负责人出面，按照分工负责原则，确定各职能部门的职责和责任人员。为了明确各部门工作职责，公司应制订规章制度，使各车间的经济效益直接与其环保工作、清洁生产工作联系起来，真正调动车间治理污染、清除污染的积极性。在生产的工艺设计与改造时都应充分考虑环境保护和清洁生产的要求，从源头上控制污染。</w:t>
      </w:r>
    </w:p>
    <w:p>
      <w:pPr>
        <w:spacing w:line="360" w:lineRule="auto"/>
        <w:ind w:firstLine="482" w:firstLineChars="200"/>
        <w:rPr>
          <w:b/>
          <w:color w:val="auto"/>
          <w:sz w:val="24"/>
        </w:rPr>
      </w:pPr>
      <w:r>
        <w:rPr>
          <w:b/>
          <w:color w:val="auto"/>
          <w:sz w:val="24"/>
        </w:rPr>
        <w:t>（2）实施清洁措施</w:t>
      </w:r>
    </w:p>
    <w:p>
      <w:pPr>
        <w:spacing w:line="360" w:lineRule="auto"/>
        <w:ind w:firstLine="480" w:firstLineChars="200"/>
        <w:rPr>
          <w:color w:val="auto"/>
          <w:sz w:val="24"/>
        </w:rPr>
      </w:pPr>
      <w:r>
        <w:rPr>
          <w:color w:val="auto"/>
          <w:sz w:val="24"/>
        </w:rPr>
        <w:t>加强设备维修，及时检修、更换破损的管道、机泵、阀门和污染治理设备，尽量减少和防止生产过程中的跑、冒、滴、漏和事故性排放。</w:t>
      </w:r>
    </w:p>
    <w:p>
      <w:pPr>
        <w:spacing w:line="360" w:lineRule="auto"/>
        <w:ind w:firstLine="480"/>
        <w:rPr>
          <w:b/>
          <w:color w:val="auto"/>
          <w:sz w:val="24"/>
        </w:rPr>
      </w:pPr>
      <w:r>
        <w:rPr>
          <w:b/>
          <w:color w:val="auto"/>
          <w:sz w:val="24"/>
        </w:rPr>
        <w:t>综上所述，评价认为，本项目较好的贯彻了清洁生产原则。</w:t>
      </w:r>
      <w:bookmarkEnd w:id="285"/>
      <w:bookmarkEnd w:id="286"/>
      <w:bookmarkEnd w:id="287"/>
      <w:bookmarkEnd w:id="288"/>
      <w:bookmarkEnd w:id="289"/>
    </w:p>
    <w:p>
      <w:pPr>
        <w:pStyle w:val="5"/>
        <w:rPr>
          <w:color w:val="auto"/>
        </w:rPr>
        <w:sectPr>
          <w:footerReference r:id="rId10" w:type="default"/>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bookmarkStart w:id="297" w:name="_Toc17557"/>
      <w:bookmarkStart w:id="298" w:name="_Toc424983438"/>
      <w:bookmarkStart w:id="299" w:name="_Toc422563417"/>
      <w:bookmarkStart w:id="300" w:name="_Toc436191256"/>
      <w:bookmarkStart w:id="301" w:name="_Toc483622996"/>
      <w:bookmarkStart w:id="302" w:name="_Toc422562153"/>
      <w:bookmarkStart w:id="303" w:name="_Toc453167168"/>
      <w:bookmarkStart w:id="304" w:name="_Toc484402649"/>
      <w:bookmarkStart w:id="305" w:name="_Toc436130159"/>
      <w:bookmarkStart w:id="306" w:name="_Toc453129271"/>
      <w:bookmarkStart w:id="307" w:name="_Toc424995967"/>
    </w:p>
    <w:p>
      <w:pPr>
        <w:pStyle w:val="5"/>
        <w:rPr>
          <w:rFonts w:hint="eastAsia" w:asciiTheme="majorEastAsia" w:hAnsiTheme="majorEastAsia" w:eastAsiaTheme="majorEastAsia" w:cstheme="majorEastAsia"/>
          <w:b/>
          <w:bCs/>
          <w:color w:val="auto"/>
          <w:sz w:val="32"/>
          <w:szCs w:val="32"/>
        </w:rPr>
      </w:pPr>
      <w:bookmarkStart w:id="308" w:name="_Toc24400"/>
      <w:bookmarkStart w:id="309" w:name="_Toc20063"/>
      <w:r>
        <w:rPr>
          <w:rFonts w:hint="eastAsia" w:asciiTheme="majorEastAsia" w:hAnsiTheme="majorEastAsia" w:eastAsiaTheme="majorEastAsia" w:cstheme="majorEastAsia"/>
          <w:b/>
          <w:bCs/>
          <w:color w:val="auto"/>
          <w:sz w:val="32"/>
          <w:szCs w:val="32"/>
        </w:rPr>
        <w:t>环境现状调查与评价</w:t>
      </w:r>
      <w:bookmarkEnd w:id="297"/>
      <w:bookmarkEnd w:id="308"/>
      <w:bookmarkEnd w:id="309"/>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310" w:name="_Toc10295"/>
      <w:bookmarkStart w:id="311" w:name="_Toc1196"/>
      <w:bookmarkStart w:id="312" w:name="_Toc1273"/>
      <w:r>
        <w:rPr>
          <w:rFonts w:ascii="Times New Roman" w:hAnsi="Times New Roman" w:cs="Times New Roman" w:eastAsiaTheme="majorEastAsia"/>
          <w:bCs/>
          <w:color w:val="auto"/>
          <w:kern w:val="2"/>
          <w:szCs w:val="32"/>
          <w:lang w:val="en-US" w:eastAsia="zh-CN"/>
        </w:rPr>
        <w:t>自然环境调查与评价</w:t>
      </w:r>
      <w:bookmarkEnd w:id="310"/>
      <w:bookmarkEnd w:id="311"/>
      <w:bookmarkEnd w:id="312"/>
    </w:p>
    <w:p>
      <w:pPr>
        <w:pStyle w:val="180"/>
        <w:rPr>
          <w:rFonts w:hint="default" w:ascii="Times New Roman" w:hAnsi="Times New Roman" w:cs="Times New Roman" w:eastAsiaTheme="majorEastAsia"/>
          <w:b/>
          <w:bCs w:val="0"/>
          <w:color w:val="auto"/>
          <w:sz w:val="24"/>
          <w:szCs w:val="24"/>
        </w:rPr>
      </w:pPr>
      <w:bookmarkStart w:id="313" w:name="_Toc24192"/>
      <w:bookmarkStart w:id="314" w:name="_Toc329088349"/>
      <w:bookmarkStart w:id="315" w:name="_Toc357495559"/>
      <w:bookmarkStart w:id="316" w:name="_Toc184803251"/>
      <w:bookmarkStart w:id="317" w:name="_Toc249434895"/>
      <w:r>
        <w:rPr>
          <w:rFonts w:hint="default" w:ascii="Times New Roman" w:hAnsi="Times New Roman" w:cs="Times New Roman" w:eastAsiaTheme="majorEastAsia"/>
          <w:b/>
          <w:bCs w:val="0"/>
          <w:color w:val="auto"/>
          <w:sz w:val="24"/>
          <w:szCs w:val="24"/>
        </w:rPr>
        <w:t>地理位置</w:t>
      </w:r>
      <w:bookmarkEnd w:id="313"/>
    </w:p>
    <w:p>
      <w:pPr>
        <w:spacing w:line="360" w:lineRule="auto"/>
        <w:ind w:firstLine="480" w:firstLineChars="200"/>
        <w:rPr>
          <w:rFonts w:hint="eastAsia" w:ascii="Times New Roman" w:hAnsi="Times New Roman" w:cs="Times New Roman"/>
          <w:color w:val="auto"/>
          <w:sz w:val="24"/>
          <w:szCs w:val="24"/>
          <w:lang w:eastAsia="zh-CN"/>
        </w:rPr>
      </w:pPr>
      <w:bookmarkStart w:id="318" w:name="_Toc486664584"/>
      <w:bookmarkStart w:id="319" w:name="_Toc486212191"/>
      <w:bookmarkStart w:id="320" w:name="_Toc486310226"/>
      <w:bookmarkStart w:id="321" w:name="_Toc485870107"/>
      <w:bookmarkStart w:id="322" w:name="_Toc496071972"/>
      <w:bookmarkStart w:id="323" w:name="_Toc512934496"/>
      <w:bookmarkStart w:id="324" w:name="_Toc486663304"/>
      <w:bookmarkStart w:id="325" w:name="_Toc512931306"/>
      <w:r>
        <w:rPr>
          <w:rFonts w:hint="eastAsia" w:ascii="Times New Roman" w:hAnsi="Times New Roman" w:cs="Times New Roman"/>
          <w:color w:val="auto"/>
          <w:sz w:val="24"/>
          <w:szCs w:val="24"/>
          <w:lang w:eastAsia="zh-CN"/>
        </w:rPr>
        <w:t>巴中市位于四川东北部，东与达州、西与广元、南与南充，北与陕西汉中等两省四州市接壤，即东经108度至l07度，北纬31度至32度。</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恩阳区是巴中市的下辖区，是巴中市西南部的政治、经济、文化、科技、商品流通服务中心，以发展生态、历史文化、旅游为重点，开拓农副产品精深加工和建材市场。</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群乐镇，隶属于四川省巴中市恩阳区，地处恩阳区南部，西、南与仪陇县交接，北与茶坝镇相依，东与玉山镇交界，区域总面积37.54平方千米</w:t>
      </w:r>
      <w:r>
        <w:rPr>
          <w:rFonts w:hint="eastAsia" w:cs="Times New Roman"/>
          <w:color w:val="auto"/>
          <w:sz w:val="24"/>
          <w:szCs w:val="24"/>
          <w:lang w:val="en-US" w:eastAsia="zh-CN"/>
        </w:rPr>
        <w:t>。</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本</w:t>
      </w:r>
      <w:r>
        <w:rPr>
          <w:rFonts w:hint="eastAsia" w:ascii="Times New Roman" w:hAnsi="Times New Roman" w:cs="Times New Roman"/>
          <w:color w:val="auto"/>
          <w:sz w:val="24"/>
          <w:szCs w:val="24"/>
          <w:lang w:eastAsia="zh-CN"/>
        </w:rPr>
        <w:t>项目位于恩阳区群乐镇坳盘村2组，项目地理位置见附图1。</w:t>
      </w:r>
    </w:p>
    <w:p>
      <w:pPr>
        <w:pStyle w:val="180"/>
        <w:rPr>
          <w:rFonts w:hint="default" w:ascii="Times New Roman" w:hAnsi="Times New Roman" w:cs="Times New Roman" w:eastAsiaTheme="majorEastAsia"/>
          <w:b/>
          <w:bCs w:val="0"/>
          <w:color w:val="auto"/>
          <w:sz w:val="24"/>
          <w:szCs w:val="24"/>
        </w:rPr>
      </w:pPr>
      <w:bookmarkStart w:id="326" w:name="_Toc2199"/>
      <w:r>
        <w:rPr>
          <w:rFonts w:hint="default" w:ascii="Times New Roman" w:hAnsi="Times New Roman" w:cs="Times New Roman" w:eastAsiaTheme="majorEastAsia"/>
          <w:b/>
          <w:bCs w:val="0"/>
          <w:color w:val="auto"/>
          <w:sz w:val="24"/>
          <w:szCs w:val="24"/>
        </w:rPr>
        <w:t>地形、地质、地貌</w:t>
      </w:r>
      <w:bookmarkEnd w:id="326"/>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地形地貌：巴中市地处四川盆地北部的低山区，地势北高南低，北及西北向南及西南倾斜。恩阳区主要属米仓山南麓丘陵地貌，正好处于巴中境内低山、长梁高丘地貌向平缓坡台状丘陵地貌过渡地带，境内多为丘陵、低山，平坝较少，全镇地势西北高、东南低，最高山峰义阳山海拔680米。</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地质：境内地质主要构造为恩阳向斜褶皱带，该向斜褶皱带受北西向构造影响较明显，轴部和两翼出露白垩系剑门关组地层。镇内主要出露地层为中生界白垩系下统剑门关组和汉阳铺组，其母岩为陆相沉积物。恩阳河两岸的河漫滩和阶地零星分布新生界第四系更新统（老冲积）和全新统（新冲积）地层。</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规划区内区内地下水按含水介质及埋藏条件，可分为第四系松散堆积层孔隙潜水和基岩裂隙水两大类。</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孔隙潜水：主要赋存在第四系冲、洪积和崩、坡积堆积层中，接受大气降水和地表水补给，排泄于河流和冲沟，水量不丰，地下水位受季节影响较大。 基岩裂隙水：库区岩体主要为白垩系下统苍溪组（K1c）、白龙组（K1b）、侏罗系上统蓬莱镇组（J3p）组成，K1c、K1b 地层岩性以厚层状砂岩为主，夹泥质粉砂岩与粉砂质泥岩；J3p 地层以粉砂质泥岩及泥质粉砂岩为主，夹多层厚度 5～10m 的砂岩。岩层倾角平缓，其中粉砂质泥岩和泥。</w:t>
      </w:r>
    </w:p>
    <w:p>
      <w:pPr>
        <w:pStyle w:val="7"/>
        <w:spacing w:before="0"/>
        <w:rPr>
          <w:color w:val="auto"/>
          <w:sz w:val="24"/>
          <w:szCs w:val="24"/>
        </w:rPr>
      </w:pPr>
      <w:bookmarkStart w:id="327" w:name="_Toc25515"/>
      <w:r>
        <w:rPr>
          <w:color w:val="auto"/>
          <w:sz w:val="24"/>
          <w:szCs w:val="24"/>
        </w:rPr>
        <w:t>气候、气象</w:t>
      </w:r>
      <w:bookmarkEnd w:id="3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color w:val="auto"/>
          <w:sz w:val="24"/>
          <w:szCs w:val="32"/>
          <w:highlight w:val="none"/>
        </w:rPr>
      </w:pPr>
      <w:r>
        <w:rPr>
          <w:rFonts w:hint="eastAsia" w:cs="Times New Roman" w:eastAsiaTheme="minorEastAsia"/>
          <w:color w:val="auto"/>
          <w:sz w:val="24"/>
          <w:szCs w:val="32"/>
          <w:highlight w:val="none"/>
          <w:lang w:val="en-US" w:eastAsia="zh-CN"/>
        </w:rPr>
        <w:t>恩阳区地处亚热带季风性湿润气候区，冬暖、春旱、夏热、秋凉，四季分明；无霜期长，光照适宜，雨量充沛，气候温和，适宜于多种农作物的生长。年平均气温17.5℃，最高气温 39℃，最低气温－5℃，无霜期291天，年平均日照1460小时，年均降雨量1050mm。区内秋季多雨，冬季多雾，霜、雪较少，降水时空分布差异大，夏季多伏旱，还常有风、冰雹等灾害性天气发生。</w:t>
      </w:r>
    </w:p>
    <w:p>
      <w:pPr>
        <w:pStyle w:val="7"/>
        <w:spacing w:before="0"/>
        <w:rPr>
          <w:color w:val="auto"/>
          <w:sz w:val="24"/>
          <w:szCs w:val="24"/>
        </w:rPr>
      </w:pPr>
      <w:bookmarkStart w:id="328" w:name="_Toc17875"/>
      <w:r>
        <w:rPr>
          <w:color w:val="auto"/>
          <w:sz w:val="24"/>
          <w:szCs w:val="24"/>
        </w:rPr>
        <w:t>水文</w:t>
      </w:r>
      <w:bookmarkEnd w:id="328"/>
    </w:p>
    <w:p>
      <w:pPr>
        <w:numPr>
          <w:ilvl w:val="0"/>
          <w:numId w:val="18"/>
        </w:num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地表水</w:t>
      </w:r>
    </w:p>
    <w:p>
      <w:pPr>
        <w:numPr>
          <w:ilvl w:val="0"/>
          <w:numId w:val="0"/>
        </w:num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巴中市大小河流共有1100多条，流域面积在1000平方千米以上的主要河流有巴河、南江河、恩阳河和通江河等7条，100平方千米以上的有45条，50平方千米以上的有138条，河流总长4342千米，河网密度达0.33千米/平方千米。河流均呈南北流向，树枝状分布，水位洪枯变幅大，部分溪河在枯水期有断流的现象。除南江县北部的焦家河属嘉陵江一级支流外，其余均属渠江水系巴河流域。恩阳区主要河流为恩阳河和大桥河，恩阳河位于区内东北部，呈南北走向；大桥河位于区内南部，呈东西走向。</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恩阳河古名清化水，是巴河一级支流，渠江二级支流，主河发源于旺苍县，恩阳镇境内有之字河、詹家河汇入，并向东南于三江口注入巴河。恩阳河、之字河、詹家河纵横全镇。</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（2）地下水</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恩阳区地下水类型有风化带空隙裂隙水、基岩裂隙水、第四系冲洪积孔隙水和残坡积孔隙水，以风化带孔隙裂隙水为主。主要接受地表水和大气降水补给。</w:t>
      </w:r>
    </w:p>
    <w:p>
      <w:pPr>
        <w:pStyle w:val="7"/>
        <w:spacing w:before="0"/>
        <w:rPr>
          <w:color w:val="auto"/>
          <w:sz w:val="24"/>
          <w:szCs w:val="24"/>
        </w:rPr>
      </w:pPr>
      <w:bookmarkStart w:id="329" w:name="_Toc1758"/>
      <w:r>
        <w:rPr>
          <w:color w:val="auto"/>
          <w:sz w:val="24"/>
          <w:szCs w:val="24"/>
        </w:rPr>
        <w:t>植被及动物资源</w:t>
      </w:r>
      <w:bookmarkEnd w:id="3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24"/>
        </w:rPr>
        <w:t>巴中市境域植物资源丰富，尤以北部为最。计有乔、灌木308种，草、藤本421种。源于植物的中草药（含家种、野生，根、茎、叶、花、果）1386种。根据植物的生长性能及自然环境，广泛分布在境域各地。乔、灌木林区多分布在北部山地，中部、南部亦零星分布。中药材资源最多的是通江、南江两县；牧草资源遍及境域。境域中部和南部，森林层次结构不明显，林相单纯，林下伴生马桑、黄荆、沙棘藤蔓、杜鹃等植物；北部森林成片的较多，但因砍伐过度，曾使森林面积锐减，后经“停耕还林、还草”等政策的落实，现正处于恢复阶段。恩阳区盛产川明参、山药等道地</w:t>
      </w:r>
      <w:r>
        <w:rPr>
          <w:rFonts w:hint="default" w:ascii="Times New Roman" w:hAnsi="Times New Roman" w:eastAsia="宋体" w:cs="Times New Roman"/>
          <w:color w:val="auto"/>
          <w:sz w:val="21"/>
          <w:szCs w:val="21"/>
        </w:rPr>
        <w:t>药材</w:t>
      </w:r>
      <w:r>
        <w:rPr>
          <w:rFonts w:hint="default" w:ascii="Times New Roman" w:hAnsi="Times New Roman" w:cs="Times New Roman" w:eastAsiaTheme="minorEastAsia"/>
          <w:color w:val="auto"/>
          <w:sz w:val="21"/>
          <w:szCs w:val="21"/>
          <w:highlight w:val="none"/>
          <w:lang w:eastAsia="zh-CN"/>
        </w:rPr>
        <w:t>。</w:t>
      </w:r>
    </w:p>
    <w:p>
      <w:pPr>
        <w:spacing w:line="360" w:lineRule="auto"/>
        <w:ind w:firstLine="480"/>
        <w:rPr>
          <w:rFonts w:hint="default" w:ascii="Times New Roman" w:hAnsi="Times New Roman" w:cs="Times New Roman"/>
          <w:b/>
          <w:bCs/>
          <w:color w:val="auto"/>
          <w:sz w:val="24"/>
        </w:rPr>
      </w:pPr>
      <w:r>
        <w:rPr>
          <w:rFonts w:hint="default" w:ascii="Times New Roman" w:hAnsi="Times New Roman" w:eastAsia="宋体" w:cs="Times New Roman"/>
          <w:color w:val="auto"/>
          <w:sz w:val="24"/>
          <w:szCs w:val="24"/>
        </w:rPr>
        <w:t>巴中市家养动物有生猪、黄牛、水牛、火羊、南江黄羊、各类鸡、各类鸭、鹅、马、驴、蜂、蚕、犬、猫、各类兔等。野生动物多分布在森林密布的北部，中、南部很少。在森林面积的逐年减少、猎杀频繁、酷捞滥捕的情况下，境内动物资源遭到破坏。虎、豹濒于绝迹，珍稀动物遗留不多，其它动物逐年减少。经20世纪80年代调查，境内北部共有野生动物670种。其中鱼类4目、11科、44属、47种；两栖类2目、7科、9属、20种，爬行类3目、7科、14属、21种，鸟类16目、41科、120属、176种，兽类7目、21科、52属、67种，昆虫类50科、170种，其它类169种。中南部地区尚存野生动物290余种，其中兽类22种、禽类49种、水族及两栖爬行类</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3种，昆虫类170余种</w:t>
      </w:r>
    </w:p>
    <w:p>
      <w:pPr>
        <w:spacing w:line="360" w:lineRule="auto"/>
        <w:ind w:firstLine="480"/>
        <w:rPr>
          <w:color w:val="auto"/>
          <w:sz w:val="24"/>
        </w:rPr>
      </w:pPr>
      <w:r>
        <w:rPr>
          <w:b/>
          <w:bCs/>
          <w:color w:val="auto"/>
          <w:sz w:val="24"/>
        </w:rPr>
        <w:t>根据现场调查，本项目周围无珍稀类野生动、植物。</w:t>
      </w:r>
    </w:p>
    <w:bookmarkEnd w:id="318"/>
    <w:bookmarkEnd w:id="319"/>
    <w:bookmarkEnd w:id="320"/>
    <w:bookmarkEnd w:id="321"/>
    <w:bookmarkEnd w:id="322"/>
    <w:bookmarkEnd w:id="323"/>
    <w:bookmarkEnd w:id="324"/>
    <w:bookmarkEnd w:id="325"/>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330" w:name="_Toc2087"/>
      <w:bookmarkStart w:id="331" w:name="_Toc24235"/>
      <w:bookmarkStart w:id="332" w:name="_Toc9207"/>
      <w:r>
        <w:rPr>
          <w:rFonts w:ascii="Times New Roman" w:hAnsi="Times New Roman" w:cs="Times New Roman" w:eastAsiaTheme="majorEastAsia"/>
          <w:bCs/>
          <w:color w:val="auto"/>
          <w:kern w:val="2"/>
          <w:szCs w:val="32"/>
          <w:lang w:val="en-US" w:eastAsia="zh-CN"/>
        </w:rPr>
        <w:t>环境保护目标调查</w:t>
      </w:r>
      <w:bookmarkEnd w:id="330"/>
      <w:bookmarkEnd w:id="331"/>
      <w:bookmarkEnd w:id="332"/>
    </w:p>
    <w:p>
      <w:pPr>
        <w:pStyle w:val="180"/>
        <w:rPr>
          <w:rFonts w:hint="default" w:ascii="Times New Roman" w:hAnsi="Times New Roman" w:cs="Times New Roman" w:eastAsiaTheme="majorEastAsia"/>
          <w:b/>
          <w:bCs w:val="0"/>
          <w:color w:val="auto"/>
          <w:sz w:val="24"/>
          <w:szCs w:val="24"/>
        </w:rPr>
      </w:pPr>
      <w:bookmarkStart w:id="333" w:name="_Toc1599"/>
      <w:r>
        <w:rPr>
          <w:rFonts w:hint="default" w:ascii="Times New Roman" w:hAnsi="Times New Roman" w:cs="Times New Roman" w:eastAsiaTheme="majorEastAsia"/>
          <w:b/>
          <w:bCs w:val="0"/>
          <w:color w:val="auto"/>
          <w:sz w:val="24"/>
          <w:szCs w:val="24"/>
        </w:rPr>
        <w:t>环境功能区划</w:t>
      </w:r>
      <w:bookmarkEnd w:id="333"/>
    </w:p>
    <w:p>
      <w:pPr>
        <w:spacing w:line="360" w:lineRule="auto"/>
        <w:ind w:firstLine="480"/>
        <w:rPr>
          <w:color w:val="auto"/>
          <w:sz w:val="24"/>
        </w:rPr>
      </w:pPr>
      <w:r>
        <w:rPr>
          <w:color w:val="auto"/>
          <w:kern w:val="0"/>
          <w:sz w:val="24"/>
        </w:rPr>
        <w:t>1、地表水环境功能区划</w:t>
      </w:r>
    </w:p>
    <w:p>
      <w:pPr>
        <w:spacing w:line="360" w:lineRule="auto"/>
        <w:ind w:firstLine="480"/>
        <w:rPr>
          <w:color w:val="auto"/>
          <w:kern w:val="0"/>
          <w:sz w:val="24"/>
        </w:rPr>
      </w:pPr>
      <w:r>
        <w:rPr>
          <w:color w:val="auto"/>
          <w:kern w:val="0"/>
          <w:sz w:val="24"/>
        </w:rPr>
        <w:t>项目所在区域主要地表水体为</w:t>
      </w:r>
      <w:r>
        <w:rPr>
          <w:rFonts w:hint="eastAsia"/>
          <w:color w:val="auto"/>
          <w:kern w:val="0"/>
          <w:sz w:val="24"/>
          <w:lang w:val="en-US" w:eastAsia="zh-CN"/>
        </w:rPr>
        <w:t>思凤溪河</w:t>
      </w:r>
      <w:r>
        <w:rPr>
          <w:color w:val="auto"/>
          <w:kern w:val="0"/>
          <w:sz w:val="24"/>
        </w:rPr>
        <w:t>，属Ⅲ类水环境功能区，执行《地表水环境质量标准》(GB3838-2002)Ⅲ类水域标准。</w:t>
      </w:r>
    </w:p>
    <w:p>
      <w:pPr>
        <w:spacing w:line="360" w:lineRule="auto"/>
        <w:ind w:firstLine="480"/>
        <w:rPr>
          <w:color w:val="auto"/>
          <w:kern w:val="0"/>
          <w:sz w:val="24"/>
        </w:rPr>
      </w:pPr>
      <w:r>
        <w:rPr>
          <w:color w:val="auto"/>
          <w:kern w:val="0"/>
          <w:sz w:val="24"/>
        </w:rPr>
        <w:t>2、大气环境功能区划</w:t>
      </w:r>
    </w:p>
    <w:p>
      <w:pPr>
        <w:spacing w:line="360" w:lineRule="auto"/>
        <w:ind w:firstLine="480"/>
        <w:rPr>
          <w:color w:val="auto"/>
          <w:kern w:val="0"/>
          <w:sz w:val="24"/>
        </w:rPr>
      </w:pPr>
      <w:r>
        <w:rPr>
          <w:color w:val="auto"/>
          <w:kern w:val="0"/>
          <w:sz w:val="24"/>
        </w:rPr>
        <w:t>项目拟建地位于</w:t>
      </w:r>
      <w:r>
        <w:rPr>
          <w:rFonts w:hint="eastAsia"/>
          <w:color w:val="auto"/>
          <w:kern w:val="0"/>
          <w:sz w:val="24"/>
          <w:lang w:val="en-US" w:eastAsia="zh-CN"/>
        </w:rPr>
        <w:t>巴中市</w:t>
      </w:r>
      <w:r>
        <w:rPr>
          <w:rFonts w:hint="eastAsia" w:ascii="Times New Roman"/>
          <w:color w:val="auto"/>
          <w:sz w:val="24"/>
          <w:szCs w:val="32"/>
        </w:rPr>
        <w:t>恩阳区群乐镇坳盘村2组</w:t>
      </w:r>
      <w:r>
        <w:rPr>
          <w:color w:val="auto"/>
          <w:kern w:val="0"/>
          <w:sz w:val="24"/>
        </w:rPr>
        <w:t>，评价区大气环境属于《环境空气质量标准》（GB3095-2012）划定的二类区划分，执行二级标准。</w:t>
      </w:r>
    </w:p>
    <w:p>
      <w:pPr>
        <w:spacing w:line="360" w:lineRule="auto"/>
        <w:ind w:firstLine="480"/>
        <w:rPr>
          <w:color w:val="auto"/>
          <w:kern w:val="0"/>
          <w:sz w:val="24"/>
        </w:rPr>
      </w:pPr>
      <w:r>
        <w:rPr>
          <w:color w:val="auto"/>
          <w:kern w:val="0"/>
          <w:sz w:val="24"/>
        </w:rPr>
        <w:t>3、噪声环境功能区划</w:t>
      </w:r>
    </w:p>
    <w:p>
      <w:pPr>
        <w:spacing w:line="360" w:lineRule="auto"/>
        <w:ind w:firstLine="480"/>
        <w:rPr>
          <w:color w:val="auto"/>
          <w:kern w:val="0"/>
          <w:sz w:val="24"/>
        </w:rPr>
      </w:pPr>
      <w:r>
        <w:rPr>
          <w:color w:val="auto"/>
          <w:kern w:val="0"/>
          <w:sz w:val="24"/>
        </w:rPr>
        <w:t>评价区声环境属于《声环境质量标准》(GB3096-2008)中的2类功能区。</w:t>
      </w:r>
    </w:p>
    <w:p>
      <w:pPr>
        <w:pStyle w:val="7"/>
        <w:spacing w:before="0"/>
        <w:rPr>
          <w:color w:val="auto"/>
          <w:sz w:val="24"/>
          <w:szCs w:val="24"/>
        </w:rPr>
      </w:pPr>
      <w:bookmarkStart w:id="334" w:name="_Toc22674"/>
      <w:r>
        <w:rPr>
          <w:color w:val="auto"/>
          <w:sz w:val="24"/>
          <w:szCs w:val="24"/>
        </w:rPr>
        <w:t>主要的环境敏感区</w:t>
      </w:r>
      <w:bookmarkEnd w:id="334"/>
    </w:p>
    <w:p>
      <w:pPr>
        <w:spacing w:line="360" w:lineRule="auto"/>
        <w:ind w:firstLine="480" w:firstLineChars="200"/>
        <w:rPr>
          <w:color w:val="auto"/>
          <w:sz w:val="24"/>
        </w:rPr>
      </w:pPr>
      <w:r>
        <w:rPr>
          <w:color w:val="auto"/>
          <w:sz w:val="24"/>
        </w:rPr>
        <w:t>根据现场勘查，本项目位于</w:t>
      </w:r>
      <w:r>
        <w:rPr>
          <w:rFonts w:hint="eastAsia"/>
          <w:color w:val="auto"/>
          <w:kern w:val="0"/>
          <w:sz w:val="24"/>
          <w:lang w:val="en-US" w:eastAsia="zh-CN"/>
        </w:rPr>
        <w:t>巴中市</w:t>
      </w:r>
      <w:r>
        <w:rPr>
          <w:rFonts w:hint="eastAsia" w:ascii="Times New Roman"/>
          <w:color w:val="auto"/>
          <w:sz w:val="24"/>
          <w:szCs w:val="32"/>
        </w:rPr>
        <w:t>恩阳区群乐镇坳盘村2组</w:t>
      </w:r>
      <w:r>
        <w:rPr>
          <w:color w:val="auto"/>
          <w:sz w:val="24"/>
        </w:rPr>
        <w:t>，项目周边为农村环境，周边主要为林地和农田，无其他工业企业，通过现场调查，对项目周边四至环境进行详细介绍：</w:t>
      </w:r>
    </w:p>
    <w:p>
      <w:pPr>
        <w:pStyle w:val="4"/>
        <w:spacing w:line="360" w:lineRule="auto"/>
        <w:ind w:firstLine="480"/>
        <w:jc w:val="both"/>
        <w:rPr>
          <w:rFonts w:hint="eastAsia" w:ascii="Times New Roman"/>
          <w:color w:val="auto"/>
          <w:lang w:eastAsia="zh-CN"/>
        </w:rPr>
      </w:pPr>
      <w:r>
        <w:rPr>
          <w:rFonts w:ascii="Times New Roman"/>
          <w:color w:val="auto"/>
        </w:rPr>
        <w:t>项目东侧厂界外</w:t>
      </w:r>
      <w:r>
        <w:rPr>
          <w:rFonts w:hint="eastAsia" w:ascii="Times New Roman"/>
          <w:color w:val="auto"/>
          <w:lang w:val="en-US" w:eastAsia="zh-CN"/>
        </w:rPr>
        <w:t>32-339</w:t>
      </w:r>
      <w:r>
        <w:rPr>
          <w:rFonts w:ascii="Times New Roman"/>
          <w:color w:val="auto"/>
        </w:rPr>
        <w:t>m处有</w:t>
      </w:r>
      <w:r>
        <w:rPr>
          <w:rFonts w:hint="eastAsia" w:ascii="Times New Roman"/>
          <w:color w:val="auto"/>
          <w:lang w:val="en-US" w:eastAsia="zh-CN"/>
        </w:rPr>
        <w:t>12</w:t>
      </w:r>
      <w:r>
        <w:rPr>
          <w:rFonts w:ascii="Times New Roman"/>
          <w:color w:val="auto"/>
        </w:rPr>
        <w:t>户农户（约</w:t>
      </w:r>
      <w:r>
        <w:rPr>
          <w:rFonts w:hint="eastAsia" w:ascii="Times New Roman"/>
          <w:color w:val="auto"/>
          <w:lang w:val="en-US" w:eastAsia="zh-CN"/>
        </w:rPr>
        <w:t>36</w:t>
      </w:r>
      <w:r>
        <w:rPr>
          <w:rFonts w:ascii="Times New Roman"/>
          <w:color w:val="auto"/>
        </w:rPr>
        <w:t>人）</w:t>
      </w:r>
      <w:r>
        <w:rPr>
          <w:rFonts w:hint="eastAsia" w:ascii="Times New Roman"/>
          <w:color w:val="auto"/>
          <w:lang w:eastAsia="zh-CN"/>
        </w:rPr>
        <w:t>；</w:t>
      </w:r>
      <w:r>
        <w:rPr>
          <w:rFonts w:hint="eastAsia" w:ascii="Times New Roman"/>
          <w:color w:val="auto"/>
          <w:lang w:val="en-US" w:eastAsia="zh-CN"/>
        </w:rPr>
        <w:t>东北侧厂界外24m处3户</w:t>
      </w:r>
      <w:r>
        <w:rPr>
          <w:rFonts w:ascii="Times New Roman"/>
          <w:color w:val="auto"/>
        </w:rPr>
        <w:t>农户（约</w:t>
      </w:r>
      <w:r>
        <w:rPr>
          <w:rFonts w:hint="eastAsia" w:ascii="Times New Roman"/>
          <w:color w:val="auto"/>
          <w:lang w:val="en-US" w:eastAsia="zh-CN"/>
        </w:rPr>
        <w:t>9</w:t>
      </w:r>
      <w:r>
        <w:rPr>
          <w:rFonts w:ascii="Times New Roman"/>
          <w:color w:val="auto"/>
        </w:rPr>
        <w:t>人）</w:t>
      </w:r>
      <w:r>
        <w:rPr>
          <w:rFonts w:hint="eastAsia" w:ascii="Times New Roman"/>
          <w:color w:val="auto"/>
          <w:lang w:eastAsia="zh-CN"/>
        </w:rPr>
        <w:t>；</w:t>
      </w:r>
      <w:r>
        <w:rPr>
          <w:rFonts w:ascii="Times New Roman"/>
          <w:color w:val="auto"/>
        </w:rPr>
        <w:t>项目东</w:t>
      </w:r>
      <w:r>
        <w:rPr>
          <w:rFonts w:hint="eastAsia" w:ascii="Times New Roman"/>
          <w:color w:val="auto"/>
          <w:lang w:val="en-US" w:eastAsia="zh-CN"/>
        </w:rPr>
        <w:t>北</w:t>
      </w:r>
      <w:r>
        <w:rPr>
          <w:rFonts w:ascii="Times New Roman"/>
          <w:color w:val="auto"/>
        </w:rPr>
        <w:t>侧厂界外</w:t>
      </w:r>
      <w:r>
        <w:rPr>
          <w:rFonts w:hint="eastAsia" w:ascii="Times New Roman"/>
          <w:color w:val="auto"/>
          <w:lang w:val="en-US" w:eastAsia="zh-CN"/>
        </w:rPr>
        <w:t>99-332</w:t>
      </w:r>
      <w:r>
        <w:rPr>
          <w:rFonts w:ascii="Times New Roman"/>
          <w:color w:val="auto"/>
        </w:rPr>
        <w:t>m处有</w:t>
      </w:r>
      <w:r>
        <w:rPr>
          <w:rFonts w:hint="eastAsia" w:ascii="Times New Roman"/>
          <w:color w:val="auto"/>
          <w:lang w:val="en-US" w:eastAsia="zh-CN"/>
        </w:rPr>
        <w:t>13</w:t>
      </w:r>
      <w:r>
        <w:rPr>
          <w:rFonts w:ascii="Times New Roman"/>
          <w:color w:val="auto"/>
        </w:rPr>
        <w:t>户农户（约</w:t>
      </w:r>
      <w:r>
        <w:rPr>
          <w:rFonts w:hint="eastAsia" w:ascii="Times New Roman"/>
          <w:color w:val="auto"/>
          <w:lang w:val="en-US" w:eastAsia="zh-CN"/>
        </w:rPr>
        <w:t>39</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东</w:t>
      </w:r>
      <w:r>
        <w:rPr>
          <w:rFonts w:ascii="Times New Roman"/>
          <w:color w:val="auto"/>
        </w:rPr>
        <w:t>南侧厂界外</w:t>
      </w:r>
      <w:r>
        <w:rPr>
          <w:rFonts w:hint="eastAsia" w:ascii="Times New Roman"/>
          <w:color w:val="auto"/>
          <w:lang w:val="en-US" w:eastAsia="zh-CN"/>
        </w:rPr>
        <w:t>5-380</w:t>
      </w:r>
      <w:r>
        <w:rPr>
          <w:rFonts w:hint="eastAsia" w:ascii="Times New Roman"/>
          <w:color w:val="auto"/>
        </w:rPr>
        <w:t>m处有</w:t>
      </w:r>
      <w:r>
        <w:rPr>
          <w:rFonts w:hint="eastAsia" w:ascii="Times New Roman"/>
          <w:color w:val="auto"/>
          <w:lang w:val="en-US" w:eastAsia="zh-CN"/>
        </w:rPr>
        <w:t>10</w:t>
      </w:r>
      <w:r>
        <w:rPr>
          <w:rFonts w:hint="eastAsia" w:ascii="Times New Roman"/>
          <w:color w:val="auto"/>
        </w:rPr>
        <w:t>户</w:t>
      </w:r>
      <w:r>
        <w:rPr>
          <w:rFonts w:ascii="Times New Roman"/>
          <w:color w:val="auto"/>
        </w:rPr>
        <w:t>农户（约</w:t>
      </w:r>
      <w:r>
        <w:rPr>
          <w:rFonts w:hint="eastAsia" w:ascii="Times New Roman"/>
          <w:color w:val="auto"/>
          <w:lang w:val="en-US" w:eastAsia="zh-CN"/>
        </w:rPr>
        <w:t>30</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南</w:t>
      </w:r>
      <w:r>
        <w:rPr>
          <w:rFonts w:ascii="Times New Roman"/>
          <w:color w:val="auto"/>
        </w:rPr>
        <w:t>侧厂界外</w:t>
      </w:r>
      <w:r>
        <w:rPr>
          <w:rFonts w:hint="eastAsia" w:ascii="Times New Roman"/>
          <w:color w:val="auto"/>
          <w:lang w:val="en-US" w:eastAsia="zh-CN"/>
        </w:rPr>
        <w:t>5-366</w:t>
      </w:r>
      <w:r>
        <w:rPr>
          <w:rFonts w:ascii="Times New Roman"/>
          <w:color w:val="auto"/>
        </w:rPr>
        <w:t>m处有</w:t>
      </w:r>
      <w:r>
        <w:rPr>
          <w:rFonts w:hint="eastAsia" w:ascii="Times New Roman"/>
          <w:color w:val="auto"/>
          <w:lang w:val="en-US" w:eastAsia="zh-CN"/>
        </w:rPr>
        <w:t>19</w:t>
      </w:r>
      <w:r>
        <w:rPr>
          <w:rFonts w:ascii="Times New Roman"/>
          <w:color w:val="auto"/>
        </w:rPr>
        <w:t>户农户（约</w:t>
      </w:r>
      <w:r>
        <w:rPr>
          <w:rFonts w:hint="eastAsia" w:ascii="Times New Roman"/>
          <w:color w:val="auto"/>
          <w:lang w:val="en-US" w:eastAsia="zh-CN"/>
        </w:rPr>
        <w:t>57</w:t>
      </w:r>
      <w:r>
        <w:rPr>
          <w:rFonts w:ascii="Times New Roman"/>
          <w:color w:val="auto"/>
        </w:rPr>
        <w:t>人）</w:t>
      </w:r>
      <w:r>
        <w:rPr>
          <w:rFonts w:hint="eastAsia" w:ascii="Times New Roman"/>
          <w:color w:val="auto"/>
          <w:lang w:eastAsia="zh-CN"/>
        </w:rPr>
        <w:t>；</w:t>
      </w:r>
      <w:r>
        <w:rPr>
          <w:rFonts w:hint="eastAsia" w:ascii="Times New Roman"/>
          <w:color w:val="auto"/>
          <w:lang w:val="en-US" w:eastAsia="zh-CN"/>
        </w:rPr>
        <w:t>南侧厂界外229-556m处8户</w:t>
      </w:r>
      <w:r>
        <w:rPr>
          <w:rFonts w:ascii="Times New Roman"/>
          <w:color w:val="auto"/>
        </w:rPr>
        <w:t>农户（约</w:t>
      </w:r>
      <w:r>
        <w:rPr>
          <w:rFonts w:hint="eastAsia" w:ascii="Times New Roman"/>
          <w:color w:val="auto"/>
          <w:lang w:val="en-US" w:eastAsia="zh-CN"/>
        </w:rPr>
        <w:t>24</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西南</w:t>
      </w:r>
      <w:r>
        <w:rPr>
          <w:rFonts w:ascii="Times New Roman"/>
          <w:color w:val="auto"/>
        </w:rPr>
        <w:t>侧厂界外</w:t>
      </w:r>
      <w:r>
        <w:rPr>
          <w:rFonts w:hint="eastAsia" w:ascii="Times New Roman"/>
          <w:color w:val="auto"/>
          <w:lang w:val="en-US" w:eastAsia="zh-CN"/>
        </w:rPr>
        <w:t>150-360</w:t>
      </w:r>
      <w:r>
        <w:rPr>
          <w:rFonts w:ascii="Times New Roman"/>
          <w:color w:val="auto"/>
        </w:rPr>
        <w:t>m处有</w:t>
      </w:r>
      <w:r>
        <w:rPr>
          <w:rFonts w:hint="eastAsia" w:ascii="Times New Roman"/>
          <w:color w:val="auto"/>
          <w:lang w:val="en-US" w:eastAsia="zh-CN"/>
        </w:rPr>
        <w:t>3</w:t>
      </w:r>
      <w:r>
        <w:rPr>
          <w:rFonts w:ascii="Times New Roman"/>
          <w:color w:val="auto"/>
        </w:rPr>
        <w:t>户农户（约</w:t>
      </w:r>
      <w:r>
        <w:rPr>
          <w:rFonts w:hint="eastAsia" w:ascii="Times New Roman"/>
          <w:color w:val="auto"/>
          <w:lang w:val="en-US" w:eastAsia="zh-CN"/>
        </w:rPr>
        <w:t>24</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西南</w:t>
      </w:r>
      <w:r>
        <w:rPr>
          <w:rFonts w:ascii="Times New Roman"/>
          <w:color w:val="auto"/>
        </w:rPr>
        <w:t>侧厂界外</w:t>
      </w:r>
      <w:r>
        <w:rPr>
          <w:rFonts w:hint="eastAsia" w:ascii="Times New Roman"/>
          <w:color w:val="auto"/>
          <w:lang w:val="en-US" w:eastAsia="zh-CN"/>
        </w:rPr>
        <w:t>48</w:t>
      </w:r>
      <w:r>
        <w:rPr>
          <w:rFonts w:ascii="Times New Roman"/>
          <w:color w:val="auto"/>
        </w:rPr>
        <w:t>m</w:t>
      </w:r>
      <w:r>
        <w:rPr>
          <w:rFonts w:hint="eastAsia" w:ascii="Times New Roman"/>
          <w:color w:val="auto"/>
          <w:lang w:val="en-US" w:eastAsia="zh-CN"/>
        </w:rPr>
        <w:t>-118</w:t>
      </w:r>
      <w:r>
        <w:rPr>
          <w:rFonts w:ascii="Times New Roman"/>
          <w:color w:val="auto"/>
        </w:rPr>
        <w:t>处有</w:t>
      </w:r>
      <w:r>
        <w:rPr>
          <w:rFonts w:hint="eastAsia" w:ascii="Times New Roman"/>
          <w:color w:val="auto"/>
          <w:lang w:val="en-US" w:eastAsia="zh-CN"/>
        </w:rPr>
        <w:t>6</w:t>
      </w:r>
      <w:r>
        <w:rPr>
          <w:rFonts w:ascii="Times New Roman"/>
          <w:color w:val="auto"/>
        </w:rPr>
        <w:t>户农户（约</w:t>
      </w:r>
      <w:r>
        <w:rPr>
          <w:rFonts w:hint="eastAsia" w:ascii="Times New Roman"/>
          <w:color w:val="auto"/>
          <w:lang w:val="en-US" w:eastAsia="zh-CN"/>
        </w:rPr>
        <w:t>18</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w:t>
      </w:r>
      <w:r>
        <w:rPr>
          <w:rFonts w:ascii="Times New Roman"/>
          <w:color w:val="auto"/>
        </w:rPr>
        <w:t>侧厂界外</w:t>
      </w:r>
      <w:r>
        <w:rPr>
          <w:rFonts w:hint="eastAsia" w:ascii="Times New Roman"/>
          <w:color w:val="auto"/>
          <w:lang w:val="en-US" w:eastAsia="zh-CN"/>
        </w:rPr>
        <w:t>54-252</w:t>
      </w:r>
      <w:r>
        <w:rPr>
          <w:rFonts w:ascii="Times New Roman"/>
          <w:color w:val="auto"/>
        </w:rPr>
        <w:t>m处有</w:t>
      </w:r>
      <w:r>
        <w:rPr>
          <w:rFonts w:hint="eastAsia" w:ascii="Times New Roman"/>
          <w:color w:val="auto"/>
          <w:lang w:val="en-US" w:eastAsia="zh-CN"/>
        </w:rPr>
        <w:t>5</w:t>
      </w:r>
      <w:r>
        <w:rPr>
          <w:rFonts w:ascii="Times New Roman"/>
          <w:color w:val="auto"/>
        </w:rPr>
        <w:t>户农户（约</w:t>
      </w:r>
      <w:r>
        <w:rPr>
          <w:rFonts w:hint="eastAsia" w:ascii="Times New Roman"/>
          <w:color w:val="auto"/>
          <w:lang w:val="en-US" w:eastAsia="zh-CN"/>
        </w:rPr>
        <w:t>15</w:t>
      </w:r>
      <w:r>
        <w:rPr>
          <w:rFonts w:ascii="Times New Roman"/>
          <w:color w:val="auto"/>
        </w:rPr>
        <w:t>人）</w:t>
      </w:r>
      <w:r>
        <w:rPr>
          <w:rFonts w:hint="eastAsia" w:ascii="Times New Roman"/>
          <w:color w:val="auto"/>
          <w:lang w:eastAsia="zh-CN"/>
        </w:rPr>
        <w:t>；</w:t>
      </w:r>
      <w:r>
        <w:rPr>
          <w:rFonts w:ascii="Times New Roman"/>
          <w:color w:val="auto"/>
        </w:rPr>
        <w:t>项目</w:t>
      </w:r>
      <w:r>
        <w:rPr>
          <w:rFonts w:hint="eastAsia" w:ascii="Times New Roman"/>
          <w:color w:val="auto"/>
          <w:lang w:val="en-US" w:eastAsia="zh-CN"/>
        </w:rPr>
        <w:t>西北</w:t>
      </w:r>
      <w:r>
        <w:rPr>
          <w:rFonts w:ascii="Times New Roman"/>
          <w:color w:val="auto"/>
        </w:rPr>
        <w:t>侧厂界外</w:t>
      </w:r>
      <w:r>
        <w:rPr>
          <w:rFonts w:hint="eastAsia" w:ascii="Times New Roman"/>
          <w:color w:val="auto"/>
          <w:lang w:val="en-US" w:eastAsia="zh-CN"/>
        </w:rPr>
        <w:t>3-85</w:t>
      </w:r>
      <w:r>
        <w:rPr>
          <w:rFonts w:ascii="Times New Roman"/>
          <w:color w:val="auto"/>
        </w:rPr>
        <w:t>m处有</w:t>
      </w:r>
      <w:r>
        <w:rPr>
          <w:rFonts w:hint="eastAsia" w:ascii="Times New Roman"/>
          <w:color w:val="auto"/>
          <w:lang w:val="en-US" w:eastAsia="zh-CN"/>
        </w:rPr>
        <w:t>7</w:t>
      </w:r>
      <w:r>
        <w:rPr>
          <w:rFonts w:ascii="Times New Roman"/>
          <w:color w:val="auto"/>
        </w:rPr>
        <w:t>户农户（约</w:t>
      </w:r>
      <w:r>
        <w:rPr>
          <w:rFonts w:hint="eastAsia" w:ascii="Times New Roman"/>
          <w:color w:val="auto"/>
          <w:lang w:val="en-US" w:eastAsia="zh-CN"/>
        </w:rPr>
        <w:t>21</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hint="eastAsia" w:ascii="Times New Roman"/>
          <w:color w:val="auto"/>
          <w:lang w:eastAsia="zh-CN"/>
        </w:rPr>
      </w:pPr>
      <w:r>
        <w:rPr>
          <w:rFonts w:ascii="Times New Roman"/>
          <w:color w:val="auto"/>
        </w:rPr>
        <w:t>项目</w:t>
      </w:r>
      <w:r>
        <w:rPr>
          <w:rFonts w:hint="eastAsia" w:ascii="Times New Roman"/>
          <w:color w:val="auto"/>
          <w:lang w:val="en-US" w:eastAsia="zh-CN"/>
        </w:rPr>
        <w:t>北</w:t>
      </w:r>
      <w:r>
        <w:rPr>
          <w:rFonts w:ascii="Times New Roman"/>
          <w:color w:val="auto"/>
        </w:rPr>
        <w:t>侧厂界外</w:t>
      </w:r>
      <w:r>
        <w:rPr>
          <w:rFonts w:hint="eastAsia" w:ascii="Times New Roman"/>
          <w:color w:val="auto"/>
          <w:lang w:val="en-US" w:eastAsia="zh-CN"/>
        </w:rPr>
        <w:t>145-341m</w:t>
      </w:r>
      <w:r>
        <w:rPr>
          <w:rFonts w:ascii="Times New Roman"/>
          <w:color w:val="auto"/>
        </w:rPr>
        <w:t>处有</w:t>
      </w:r>
      <w:r>
        <w:rPr>
          <w:rFonts w:hint="eastAsia" w:ascii="Times New Roman"/>
          <w:color w:val="auto"/>
          <w:lang w:val="en-US" w:eastAsia="zh-CN"/>
        </w:rPr>
        <w:t>5</w:t>
      </w:r>
      <w:r>
        <w:rPr>
          <w:rFonts w:ascii="Times New Roman"/>
          <w:color w:val="auto"/>
        </w:rPr>
        <w:t>户农户（约</w:t>
      </w:r>
      <w:r>
        <w:rPr>
          <w:rFonts w:hint="eastAsia" w:ascii="Times New Roman"/>
          <w:color w:val="auto"/>
          <w:lang w:val="en-US" w:eastAsia="zh-CN"/>
        </w:rPr>
        <w:t>15</w:t>
      </w:r>
      <w:r>
        <w:rPr>
          <w:rFonts w:ascii="Times New Roman"/>
          <w:color w:val="auto"/>
        </w:rPr>
        <w:t>人）</w:t>
      </w:r>
      <w:r>
        <w:rPr>
          <w:rFonts w:hint="eastAsia" w:ascii="Times New Roman"/>
          <w:color w:val="auto"/>
          <w:lang w:eastAsia="zh-CN"/>
        </w:rPr>
        <w:t>。</w:t>
      </w:r>
    </w:p>
    <w:p>
      <w:pPr>
        <w:pStyle w:val="4"/>
        <w:spacing w:line="360" w:lineRule="auto"/>
        <w:ind w:firstLine="480"/>
        <w:jc w:val="both"/>
        <w:rPr>
          <w:rFonts w:ascii="Times New Roman"/>
          <w:color w:val="auto"/>
          <w:szCs w:val="24"/>
        </w:rPr>
      </w:pPr>
      <w:r>
        <w:rPr>
          <w:rFonts w:hint="eastAsia" w:ascii="Times New Roman"/>
          <w:color w:val="auto"/>
          <w:szCs w:val="24"/>
          <w:lang w:val="en-US" w:eastAsia="zh-CN"/>
        </w:rPr>
        <w:t>从</w:t>
      </w:r>
      <w:r>
        <w:rPr>
          <w:rFonts w:ascii="Times New Roman"/>
          <w:color w:val="auto"/>
          <w:szCs w:val="24"/>
        </w:rPr>
        <w:t>本项目外环境现状看，外环境关系较简单。</w:t>
      </w:r>
    </w:p>
    <w:p>
      <w:pPr>
        <w:spacing w:line="360" w:lineRule="auto"/>
        <w:ind w:firstLine="480"/>
        <w:rPr>
          <w:color w:val="auto"/>
          <w:kern w:val="0"/>
          <w:sz w:val="24"/>
        </w:rPr>
      </w:pPr>
      <w:r>
        <w:rPr>
          <w:color w:val="auto"/>
          <w:kern w:val="0"/>
          <w:sz w:val="24"/>
        </w:rPr>
        <w:t>项目评价范围内不涉及其它自然保护区、世界文化和自然遗产等特殊生态敏感区；不涉及风景名胜区、森林公园、地质公园、重要湿地、原始天然林、珍稀濒危野生动植物天然集中分布区、重要水生生物的天然产卵场及索饵场、越冬场和洄游通道、天然渔场等重要生态敏感区。</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335" w:name="_Toc20519"/>
      <w:bookmarkStart w:id="336" w:name="_Toc24753"/>
      <w:bookmarkStart w:id="337" w:name="_Toc17528"/>
      <w:r>
        <w:rPr>
          <w:rFonts w:ascii="Times New Roman" w:hAnsi="Times New Roman" w:cs="Times New Roman" w:eastAsiaTheme="majorEastAsia"/>
          <w:bCs/>
          <w:color w:val="auto"/>
          <w:kern w:val="2"/>
          <w:szCs w:val="32"/>
          <w:lang w:val="en-US" w:eastAsia="zh-CN"/>
        </w:rPr>
        <w:t>环境质量现状调查与评价</w:t>
      </w:r>
      <w:bookmarkEnd w:id="335"/>
      <w:bookmarkEnd w:id="336"/>
      <w:bookmarkEnd w:id="337"/>
    </w:p>
    <w:p>
      <w:pPr>
        <w:spacing w:line="360" w:lineRule="auto"/>
        <w:ind w:firstLine="480"/>
        <w:rPr>
          <w:bCs/>
          <w:color w:val="auto"/>
          <w:sz w:val="24"/>
        </w:rPr>
      </w:pPr>
      <w:r>
        <w:rPr>
          <w:bCs/>
          <w:color w:val="auto"/>
          <w:sz w:val="24"/>
        </w:rPr>
        <w:t>为了解项目评价区域环境现状，本次对评价区域地下水、环境空气、噪声、土壤进行了实测。</w:t>
      </w:r>
    </w:p>
    <w:p>
      <w:pPr>
        <w:pStyle w:val="180"/>
        <w:rPr>
          <w:rFonts w:hint="default" w:ascii="Times New Roman" w:hAnsi="Times New Roman" w:cs="Times New Roman" w:eastAsiaTheme="majorEastAsia"/>
          <w:b/>
          <w:bCs w:val="0"/>
          <w:color w:val="auto"/>
          <w:sz w:val="24"/>
          <w:szCs w:val="24"/>
        </w:rPr>
      </w:pPr>
      <w:bookmarkStart w:id="338" w:name="_Toc15891"/>
      <w:r>
        <w:rPr>
          <w:rFonts w:hint="default" w:ascii="Times New Roman" w:hAnsi="Times New Roman" w:cs="Times New Roman" w:eastAsiaTheme="majorEastAsia"/>
          <w:b/>
          <w:bCs w:val="0"/>
          <w:color w:val="auto"/>
          <w:sz w:val="24"/>
          <w:szCs w:val="24"/>
        </w:rPr>
        <w:t>地表水环境现状监测及评价</w:t>
      </w:r>
      <w:bookmarkEnd w:id="338"/>
    </w:p>
    <w:p>
      <w:pPr>
        <w:spacing w:line="360" w:lineRule="auto"/>
        <w:ind w:firstLine="480"/>
        <w:rPr>
          <w:bCs/>
          <w:color w:val="auto"/>
          <w:sz w:val="24"/>
        </w:rPr>
      </w:pPr>
      <w:r>
        <w:rPr>
          <w:rFonts w:hint="eastAsia"/>
          <w:bCs/>
          <w:color w:val="auto"/>
          <w:sz w:val="24"/>
        </w:rPr>
        <w:t>根</w:t>
      </w:r>
      <w:r>
        <w:rPr>
          <w:bCs/>
          <w:color w:val="auto"/>
          <w:sz w:val="24"/>
        </w:rPr>
        <w:t>据《环境影响评价技术导则 地表水环境》（HJ2.3-2018），水环境质量现状调查应优先采用生态环境保护主管部门统一发布的水环境质量状况信息。</w:t>
      </w:r>
      <w:r>
        <w:rPr>
          <w:rFonts w:hint="eastAsia"/>
          <w:color w:val="auto"/>
          <w:sz w:val="24"/>
        </w:rPr>
        <w:t>本项目所产生的废水经</w:t>
      </w:r>
      <w:r>
        <w:rPr>
          <w:rFonts w:hint="eastAsia"/>
          <w:color w:val="auto"/>
          <w:sz w:val="24"/>
          <w:lang w:val="en-US" w:eastAsia="zh-CN"/>
        </w:rPr>
        <w:t>发酵床</w:t>
      </w:r>
      <w:r>
        <w:rPr>
          <w:rFonts w:hint="eastAsia"/>
          <w:color w:val="auto"/>
          <w:sz w:val="24"/>
        </w:rPr>
        <w:t>处理</w:t>
      </w:r>
      <w:r>
        <w:rPr>
          <w:rFonts w:hint="eastAsia"/>
          <w:color w:val="auto"/>
          <w:sz w:val="24"/>
          <w:lang w:val="en-US" w:eastAsia="zh-CN"/>
        </w:rPr>
        <w:t>后，外售有机肥厂，废水不外排</w:t>
      </w:r>
      <w:r>
        <w:rPr>
          <w:rFonts w:hint="eastAsia"/>
          <w:color w:val="auto"/>
          <w:sz w:val="24"/>
          <w:lang w:eastAsia="zh-CN"/>
        </w:rPr>
        <w:t>。</w:t>
      </w:r>
      <w:r>
        <w:rPr>
          <w:rFonts w:hint="eastAsia"/>
          <w:color w:val="auto"/>
          <w:sz w:val="24"/>
          <w:lang w:val="en-US" w:eastAsia="zh-CN"/>
        </w:rPr>
        <w:t>本项目</w:t>
      </w:r>
      <w:r>
        <w:rPr>
          <w:rFonts w:hint="eastAsia"/>
          <w:color w:val="auto"/>
          <w:sz w:val="24"/>
        </w:rPr>
        <w:t>无废水外排，判定评价等级为三级B</w:t>
      </w:r>
      <w:r>
        <w:rPr>
          <w:rFonts w:hint="eastAsia"/>
          <w:color w:val="auto"/>
          <w:sz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outlineLvl w:val="9"/>
        <w:rPr>
          <w:rFonts w:hint="default" w:eastAsia="宋体"/>
          <w:bCs/>
          <w:color w:val="auto"/>
          <w:sz w:val="24"/>
          <w:lang w:val="en-US" w:eastAsia="zh-CN"/>
        </w:rPr>
      </w:pPr>
      <w:r>
        <w:rPr>
          <w:bCs/>
          <w:color w:val="auto"/>
          <w:sz w:val="24"/>
        </w:rPr>
        <w:t>因此，本次地表水环境质量现状引用</w:t>
      </w:r>
      <w:r>
        <w:rPr>
          <w:rFonts w:hint="eastAsia"/>
          <w:bCs/>
          <w:color w:val="auto"/>
          <w:sz w:val="24"/>
          <w:lang w:val="en-US" w:eastAsia="zh-CN"/>
        </w:rPr>
        <w:t>恩阳生态环境局</w:t>
      </w:r>
      <w:r>
        <w:rPr>
          <w:bCs/>
          <w:color w:val="auto"/>
          <w:sz w:val="24"/>
        </w:rPr>
        <w:t>网站上发布的《</w:t>
      </w:r>
      <w:r>
        <w:rPr>
          <w:rFonts w:hint="eastAsia"/>
          <w:bCs/>
          <w:color w:val="auto"/>
          <w:sz w:val="24"/>
          <w:lang w:val="en-US" w:eastAsia="zh-CN"/>
        </w:rPr>
        <w:t>巴中市恩阳区</w:t>
      </w:r>
      <w:r>
        <w:rPr>
          <w:rFonts w:hint="default" w:ascii="Times New Roman" w:hAnsi="Times New Roman" w:cs="Times New Roman"/>
          <w:bCs/>
          <w:color w:val="auto"/>
          <w:sz w:val="24"/>
        </w:rPr>
        <w:t>202</w:t>
      </w:r>
      <w:r>
        <w:rPr>
          <w:rFonts w:hint="eastAsia" w:cs="Times New Roman"/>
          <w:bCs/>
          <w:color w:val="auto"/>
          <w:sz w:val="24"/>
          <w:lang w:val="en-US" w:eastAsia="zh-CN"/>
        </w:rPr>
        <w:t>2</w:t>
      </w:r>
      <w:r>
        <w:rPr>
          <w:rFonts w:hint="default" w:ascii="Times New Roman" w:hAnsi="Times New Roman" w:cs="Times New Roman"/>
          <w:bCs/>
          <w:color w:val="auto"/>
          <w:sz w:val="24"/>
        </w:rPr>
        <w:t>年</w:t>
      </w:r>
      <w:r>
        <w:rPr>
          <w:rFonts w:hint="eastAsia" w:cs="Times New Roman"/>
          <w:bCs/>
          <w:color w:val="auto"/>
          <w:sz w:val="24"/>
          <w:lang w:val="en-US" w:eastAsia="zh-CN"/>
        </w:rPr>
        <w:t>12月</w:t>
      </w:r>
      <w:r>
        <w:rPr>
          <w:rFonts w:hint="default" w:ascii="Times New Roman" w:hAnsi="Times New Roman" w:cs="Times New Roman"/>
          <w:bCs/>
          <w:color w:val="auto"/>
          <w:sz w:val="24"/>
        </w:rPr>
        <w:t>环境质量公报</w:t>
      </w:r>
      <w:r>
        <w:rPr>
          <w:bCs/>
          <w:color w:val="auto"/>
          <w:sz w:val="24"/>
        </w:rPr>
        <w:t>》中的数据来说明当地水环境质量现状。</w:t>
      </w:r>
      <w:r>
        <w:rPr>
          <w:rFonts w:hint="eastAsia"/>
          <w:bCs/>
          <w:color w:val="auto"/>
          <w:sz w:val="24"/>
          <w:lang w:val="en-US" w:eastAsia="zh-CN"/>
        </w:rPr>
        <w:t>水质现状见下表。</w:t>
      </w:r>
    </w:p>
    <w:p>
      <w:pPr>
        <w:pStyle w:val="4"/>
        <w:ind w:left="1260" w:hanging="420"/>
        <w:jc w:val="center"/>
        <w:rPr>
          <w:rFonts w:ascii="Times New Roman" w:eastAsia="黑体"/>
          <w:color w:val="auto"/>
          <w:sz w:val="21"/>
          <w:szCs w:val="21"/>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rPr>
        <w:t>1</w:t>
      </w:r>
      <w:r>
        <w:rPr>
          <w:rFonts w:ascii="Times New Roman" w:eastAsia="黑体"/>
          <w:color w:val="auto"/>
          <w:sz w:val="21"/>
          <w:szCs w:val="21"/>
        </w:rPr>
        <w:t xml:space="preserve">  地</w:t>
      </w:r>
      <w:r>
        <w:rPr>
          <w:rFonts w:hint="eastAsia" w:ascii="Times New Roman" w:eastAsia="黑体"/>
          <w:color w:val="auto"/>
          <w:sz w:val="21"/>
          <w:szCs w:val="21"/>
          <w:lang w:val="en-US" w:eastAsia="zh-CN"/>
        </w:rPr>
        <w:t>表</w:t>
      </w:r>
      <w:r>
        <w:rPr>
          <w:rFonts w:ascii="Times New Roman" w:eastAsia="黑体"/>
          <w:color w:val="auto"/>
          <w:sz w:val="21"/>
          <w:szCs w:val="21"/>
        </w:rPr>
        <w:t>水现状监测点布设表</w:t>
      </w:r>
    </w:p>
    <w:tbl>
      <w:tblPr>
        <w:tblStyle w:val="90"/>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4"/>
        <w:gridCol w:w="5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504"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pacing w:val="0"/>
                <w:kern w:val="2"/>
                <w:sz w:val="21"/>
                <w:szCs w:val="21"/>
                <w:highlight w:val="none"/>
                <w:vertAlign w:val="baseline"/>
                <w:lang w:val="en-US" w:eastAsia="zh-CN" w:bidi="zh-CN"/>
              </w:rPr>
            </w:pPr>
            <w:r>
              <w:rPr>
                <w:rFonts w:hint="default" w:ascii="Times New Roman" w:hAnsi="Times New Roman" w:cs="Times New Roman" w:eastAsiaTheme="minorEastAsia"/>
                <w:color w:val="auto"/>
                <w:spacing w:val="0"/>
                <w:sz w:val="21"/>
                <w:szCs w:val="21"/>
                <w:highlight w:val="none"/>
                <w:vertAlign w:val="baseline"/>
                <w:lang w:val="en-US" w:eastAsia="zh-CN" w:bidi="zh-CN"/>
              </w:rPr>
              <w:t>2022年</w:t>
            </w:r>
          </w:p>
        </w:tc>
        <w:tc>
          <w:tcPr>
            <w:tcW w:w="515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pacing w:val="0"/>
                <w:kern w:val="2"/>
                <w:sz w:val="21"/>
                <w:szCs w:val="21"/>
                <w:highlight w:val="none"/>
                <w:vertAlign w:val="baseline"/>
                <w:lang w:val="en-US" w:eastAsia="zh-CN" w:bidi="zh-CN"/>
              </w:rPr>
            </w:pPr>
            <w:r>
              <w:rPr>
                <w:rFonts w:hint="default" w:ascii="Times New Roman" w:hAnsi="Times New Roman" w:cs="Times New Roman" w:eastAsiaTheme="minorEastAsia"/>
                <w:color w:val="auto"/>
                <w:spacing w:val="0"/>
                <w:sz w:val="21"/>
                <w:szCs w:val="21"/>
                <w:highlight w:val="none"/>
                <w:vertAlign w:val="baseline"/>
                <w:lang w:val="en-US" w:eastAsia="zh-CN" w:bidi="zh-CN"/>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504"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河流名称</w:t>
            </w:r>
          </w:p>
        </w:tc>
        <w:tc>
          <w:tcPr>
            <w:tcW w:w="515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实测水质类别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504"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恩阳河（石城小元村断面）</w:t>
            </w:r>
          </w:p>
        </w:tc>
        <w:tc>
          <w:tcPr>
            <w:tcW w:w="515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pacing w:val="0"/>
                <w:kern w:val="2"/>
                <w:sz w:val="21"/>
                <w:szCs w:val="21"/>
                <w:highlight w:val="none"/>
                <w:vertAlign w:val="baseline"/>
                <w:lang w:val="en-US" w:eastAsia="zh-CN" w:bidi="zh-CN"/>
              </w:rPr>
            </w:pPr>
            <w:r>
              <w:rPr>
                <w:rFonts w:hint="default" w:ascii="Times New Roman" w:hAnsi="Times New Roman" w:cs="Times New Roman" w:eastAsiaTheme="minorEastAsia"/>
                <w:color w:val="auto"/>
                <w:spacing w:val="0"/>
                <w:sz w:val="21"/>
                <w:szCs w:val="21"/>
                <w:highlight w:val="none"/>
                <w:vertAlign w:val="baseline"/>
                <w:lang w:val="en-US" w:eastAsia="zh-CN" w:bidi="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504"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鳌溪河省控断面</w:t>
            </w:r>
          </w:p>
        </w:tc>
        <w:tc>
          <w:tcPr>
            <w:tcW w:w="515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pacing w:val="0"/>
                <w:sz w:val="21"/>
                <w:szCs w:val="21"/>
                <w:highlight w:val="none"/>
                <w:vertAlign w:val="baseline"/>
                <w:lang w:val="en-US" w:eastAsia="zh-CN" w:bidi="zh-CN"/>
              </w:rPr>
            </w:pPr>
            <w:r>
              <w:rPr>
                <w:rFonts w:hint="default" w:ascii="Times New Roman" w:hAnsi="Times New Roman" w:cs="Times New Roman" w:eastAsiaTheme="minorEastAsia"/>
                <w:color w:val="auto"/>
                <w:spacing w:val="0"/>
                <w:sz w:val="21"/>
                <w:szCs w:val="21"/>
                <w:highlight w:val="none"/>
                <w:vertAlign w:val="baseline"/>
                <w:lang w:val="en-US" w:eastAsia="zh-CN" w:bidi="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504"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13条河流26个断面</w:t>
            </w:r>
          </w:p>
        </w:tc>
        <w:tc>
          <w:tcPr>
            <w:tcW w:w="515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bidi="zh-CN"/>
              </w:rPr>
              <w:t>Ⅲ</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textAlignment w:val="auto"/>
        <w:rPr>
          <w:rFonts w:hint="default" w:ascii="Times New Roman" w:hAnsi="Times New Roman" w:eastAsia="宋体" w:cs="Times New Roman"/>
          <w:color w:val="auto"/>
          <w:sz w:val="24"/>
          <w:lang w:val="zh-CN" w:eastAsia="zh-CN"/>
        </w:rPr>
      </w:pPr>
      <w:r>
        <w:rPr>
          <w:rFonts w:hint="eastAsia" w:cs="Times New Roman"/>
          <w:color w:val="auto"/>
          <w:sz w:val="24"/>
          <w:lang w:val="en-US" w:eastAsia="zh-CN"/>
        </w:rPr>
        <w:t>由上表可知恩阳区地表水水质良好，</w:t>
      </w:r>
      <w:r>
        <w:rPr>
          <w:rFonts w:hint="eastAsia" w:ascii="Times New Roman" w:hAnsi="Times New Roman" w:eastAsia="宋体" w:cs="Times New Roman"/>
          <w:color w:val="auto"/>
          <w:sz w:val="24"/>
        </w:rPr>
        <w:t>本项目废水</w:t>
      </w:r>
      <w:r>
        <w:rPr>
          <w:rFonts w:hint="eastAsia" w:ascii="Times New Roman" w:hAnsi="Times New Roman" w:eastAsia="宋体" w:cs="Times New Roman"/>
          <w:color w:val="auto"/>
          <w:sz w:val="24"/>
          <w:lang w:val="en-US" w:eastAsia="zh-CN"/>
        </w:rPr>
        <w:t>不外排</w:t>
      </w:r>
      <w:r>
        <w:rPr>
          <w:rFonts w:hint="eastAsia" w:ascii="Times New Roman" w:hAnsi="Times New Roman" w:eastAsia="宋体" w:cs="Times New Roman"/>
          <w:color w:val="auto"/>
          <w:sz w:val="24"/>
        </w:rPr>
        <w:t>，不会加重</w:t>
      </w:r>
      <w:r>
        <w:rPr>
          <w:rFonts w:hint="eastAsia" w:ascii="Times New Roman" w:hAnsi="Times New Roman" w:eastAsia="宋体" w:cs="Times New Roman"/>
          <w:color w:val="auto"/>
          <w:sz w:val="24"/>
          <w:lang w:val="en-US" w:eastAsia="zh-CN"/>
        </w:rPr>
        <w:t>地表</w:t>
      </w:r>
      <w:r>
        <w:rPr>
          <w:rFonts w:hint="eastAsia" w:ascii="Times New Roman" w:hAnsi="Times New Roman" w:eastAsia="宋体" w:cs="Times New Roman"/>
          <w:color w:val="auto"/>
          <w:sz w:val="24"/>
        </w:rPr>
        <w:t>水体污染</w:t>
      </w:r>
      <w:r>
        <w:rPr>
          <w:rFonts w:hint="default" w:ascii="Times New Roman" w:hAnsi="Times New Roman" w:eastAsia="宋体" w:cs="Times New Roman"/>
          <w:color w:val="auto"/>
          <w:sz w:val="24"/>
          <w:lang w:val="zh-CN" w:eastAsia="zh-CN"/>
        </w:rPr>
        <w:t>。</w:t>
      </w:r>
    </w:p>
    <w:p>
      <w:pPr>
        <w:pStyle w:val="7"/>
        <w:spacing w:before="120"/>
        <w:rPr>
          <w:color w:val="auto"/>
          <w:sz w:val="24"/>
          <w:szCs w:val="24"/>
        </w:rPr>
      </w:pPr>
      <w:bookmarkStart w:id="339" w:name="_Toc10123"/>
      <w:r>
        <w:rPr>
          <w:color w:val="auto"/>
          <w:sz w:val="24"/>
          <w:szCs w:val="24"/>
        </w:rPr>
        <w:t>地下水质量现状监测及评价</w:t>
      </w:r>
      <w:bookmarkEnd w:id="339"/>
    </w:p>
    <w:bookmarkEnd w:id="298"/>
    <w:bookmarkEnd w:id="299"/>
    <w:bookmarkEnd w:id="300"/>
    <w:bookmarkEnd w:id="301"/>
    <w:bookmarkEnd w:id="302"/>
    <w:bookmarkEnd w:id="303"/>
    <w:bookmarkEnd w:id="304"/>
    <w:bookmarkEnd w:id="305"/>
    <w:bookmarkEnd w:id="306"/>
    <w:bookmarkEnd w:id="307"/>
    <w:bookmarkEnd w:id="314"/>
    <w:bookmarkEnd w:id="315"/>
    <w:bookmarkEnd w:id="316"/>
    <w:bookmarkEnd w:id="317"/>
    <w:p>
      <w:pPr>
        <w:spacing w:line="360" w:lineRule="auto"/>
        <w:ind w:firstLine="480" w:firstLineChars="200"/>
        <w:rPr>
          <w:color w:val="auto"/>
          <w:sz w:val="24"/>
        </w:rPr>
      </w:pPr>
      <w:bookmarkStart w:id="340" w:name="_Toc422562160"/>
      <w:bookmarkStart w:id="341" w:name="_Toc484402656"/>
      <w:bookmarkStart w:id="342" w:name="_Toc436130166"/>
      <w:bookmarkStart w:id="343" w:name="_Toc424983445"/>
      <w:bookmarkStart w:id="344" w:name="_Toc483623002"/>
      <w:bookmarkStart w:id="345" w:name="_Toc453167175"/>
      <w:bookmarkStart w:id="346" w:name="_Toc422563424"/>
      <w:bookmarkStart w:id="347" w:name="_Toc453129278"/>
      <w:bookmarkStart w:id="348" w:name="_Toc424995974"/>
      <w:bookmarkStart w:id="349" w:name="_Toc436191263"/>
      <w:r>
        <w:rPr>
          <w:color w:val="auto"/>
          <w:sz w:val="24"/>
        </w:rPr>
        <w:t>为了了解项目所在地的</w:t>
      </w:r>
      <w:r>
        <w:rPr>
          <w:color w:val="auto"/>
          <w:sz w:val="24"/>
          <w:szCs w:val="24"/>
        </w:rPr>
        <w:t>地下水质量现状</w:t>
      </w:r>
      <w:r>
        <w:rPr>
          <w:rFonts w:hint="eastAsia"/>
          <w:color w:val="auto"/>
          <w:sz w:val="24"/>
          <w:szCs w:val="24"/>
          <w:lang w:eastAsia="zh-CN"/>
        </w:rPr>
        <w:t>，</w:t>
      </w:r>
      <w:r>
        <w:rPr>
          <w:color w:val="auto"/>
          <w:sz w:val="24"/>
        </w:rPr>
        <w:t>建设单位委托</w:t>
      </w:r>
      <w:r>
        <w:rPr>
          <w:rFonts w:hint="eastAsia"/>
          <w:color w:val="auto"/>
          <w:sz w:val="24"/>
          <w:lang w:eastAsia="zh-CN"/>
        </w:rPr>
        <w:t>四川海德汇环保科技有限公司</w:t>
      </w:r>
      <w:r>
        <w:rPr>
          <w:color w:val="auto"/>
          <w:sz w:val="24"/>
        </w:rPr>
        <w:t>于</w:t>
      </w:r>
      <w:r>
        <w:rPr>
          <w:rFonts w:hint="eastAsia"/>
          <w:color w:val="auto"/>
          <w:sz w:val="24"/>
        </w:rPr>
        <w:t>202</w:t>
      </w:r>
      <w:r>
        <w:rPr>
          <w:rFonts w:hint="eastAsia"/>
          <w:color w:val="auto"/>
          <w:sz w:val="24"/>
          <w:lang w:val="en-US" w:eastAsia="zh-CN"/>
        </w:rPr>
        <w:t>3</w:t>
      </w:r>
      <w:r>
        <w:rPr>
          <w:color w:val="auto"/>
          <w:sz w:val="24"/>
        </w:rPr>
        <w:t>年</w:t>
      </w:r>
      <w:r>
        <w:rPr>
          <w:rFonts w:hint="eastAsia"/>
          <w:color w:val="auto"/>
          <w:sz w:val="24"/>
          <w:lang w:val="en-US" w:eastAsia="zh-CN"/>
        </w:rPr>
        <w:t>1</w:t>
      </w:r>
      <w:r>
        <w:rPr>
          <w:color w:val="auto"/>
          <w:sz w:val="24"/>
        </w:rPr>
        <w:t>月</w:t>
      </w:r>
      <w:r>
        <w:rPr>
          <w:rFonts w:hint="eastAsia"/>
          <w:color w:val="auto"/>
          <w:sz w:val="24"/>
          <w:lang w:val="en-US" w:eastAsia="zh-CN"/>
        </w:rPr>
        <w:t>5</w:t>
      </w:r>
      <w:r>
        <w:rPr>
          <w:color w:val="auto"/>
          <w:sz w:val="24"/>
        </w:rPr>
        <w:t>日在项目建设地点周边水井进行了采样监测。</w:t>
      </w:r>
    </w:p>
    <w:p>
      <w:pPr>
        <w:spacing w:line="360" w:lineRule="auto"/>
        <w:ind w:firstLine="480"/>
        <w:rPr>
          <w:b/>
          <w:bCs/>
          <w:color w:val="auto"/>
          <w:sz w:val="24"/>
        </w:rPr>
      </w:pPr>
      <w:r>
        <w:rPr>
          <w:b/>
          <w:bCs/>
          <w:color w:val="auto"/>
          <w:sz w:val="24"/>
        </w:rPr>
        <w:t>1、监测</w:t>
      </w:r>
      <w:r>
        <w:rPr>
          <w:rFonts w:hint="eastAsia"/>
          <w:b/>
          <w:bCs/>
          <w:color w:val="auto"/>
          <w:sz w:val="24"/>
          <w:lang w:val="en-US" w:eastAsia="zh-CN"/>
        </w:rPr>
        <w:t>点位</w:t>
      </w:r>
      <w:r>
        <w:rPr>
          <w:b/>
          <w:bCs/>
          <w:color w:val="auto"/>
          <w:sz w:val="24"/>
        </w:rPr>
        <w:t>设置</w:t>
      </w:r>
    </w:p>
    <w:p>
      <w:pPr>
        <w:pStyle w:val="4"/>
        <w:spacing w:line="360" w:lineRule="auto"/>
        <w:ind w:left="840" w:firstLine="480" w:firstLineChars="200"/>
        <w:rPr>
          <w:rFonts w:ascii="Times New Roman"/>
          <w:color w:val="auto"/>
          <w:szCs w:val="24"/>
        </w:rPr>
      </w:pPr>
      <w:r>
        <w:rPr>
          <w:rFonts w:ascii="Times New Roman"/>
          <w:color w:val="auto"/>
        </w:rPr>
        <w:t>设置</w:t>
      </w:r>
      <w:r>
        <w:rPr>
          <w:rFonts w:hint="eastAsia" w:ascii="Times New Roman"/>
          <w:color w:val="auto"/>
          <w:lang w:val="en-US" w:eastAsia="zh-CN"/>
        </w:rPr>
        <w:t>6</w:t>
      </w:r>
      <w:r>
        <w:rPr>
          <w:rFonts w:ascii="Times New Roman"/>
          <w:color w:val="auto"/>
        </w:rPr>
        <w:t>个监测点，具体位置见表</w:t>
      </w:r>
      <w:r>
        <w:rPr>
          <w:rFonts w:hint="eastAsia" w:ascii="Times New Roman"/>
          <w:color w:val="auto"/>
          <w:lang w:val="en-US" w:eastAsia="zh-CN"/>
        </w:rPr>
        <w:t>4</w:t>
      </w:r>
      <w:r>
        <w:rPr>
          <w:rFonts w:hint="eastAsia" w:ascii="Times New Roman"/>
          <w:color w:val="auto"/>
        </w:rPr>
        <w:t>.3</w:t>
      </w:r>
      <w:r>
        <w:rPr>
          <w:rFonts w:ascii="Times New Roman"/>
          <w:color w:val="auto"/>
        </w:rPr>
        <w:t>-</w:t>
      </w:r>
      <w:r>
        <w:rPr>
          <w:rFonts w:hint="eastAsia" w:ascii="Times New Roman"/>
          <w:color w:val="auto"/>
          <w:lang w:val="en-US" w:eastAsia="zh-CN"/>
        </w:rPr>
        <w:t>2</w:t>
      </w:r>
      <w:r>
        <w:rPr>
          <w:rFonts w:ascii="Times New Roman"/>
          <w:color w:val="auto"/>
        </w:rPr>
        <w:t>，点位详见附图。</w:t>
      </w:r>
    </w:p>
    <w:p>
      <w:pPr>
        <w:pStyle w:val="4"/>
        <w:ind w:left="1260" w:hanging="420"/>
        <w:jc w:val="center"/>
        <w:rPr>
          <w:rFonts w:ascii="Times New Roman" w:eastAsia="黑体"/>
          <w:color w:val="auto"/>
          <w:sz w:val="21"/>
          <w:szCs w:val="21"/>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lang w:val="en-US" w:eastAsia="zh-CN"/>
        </w:rPr>
        <w:t>2</w:t>
      </w:r>
      <w:r>
        <w:rPr>
          <w:rFonts w:ascii="Times New Roman" w:eastAsia="黑体"/>
          <w:color w:val="auto"/>
          <w:sz w:val="21"/>
          <w:szCs w:val="21"/>
        </w:rPr>
        <w:t xml:space="preserve">  地下水现状监测点布设表</w:t>
      </w:r>
    </w:p>
    <w:tbl>
      <w:tblPr>
        <w:tblStyle w:val="89"/>
        <w:tblW w:w="8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5354"/>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Cs w:val="21"/>
              </w:rPr>
            </w:pPr>
            <w:r>
              <w:rPr>
                <w:rFonts w:hint="default"/>
                <w:color w:val="auto"/>
              </w:rPr>
              <w:t>编号</w:t>
            </w:r>
          </w:p>
        </w:tc>
        <w:tc>
          <w:tcPr>
            <w:tcW w:w="535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Cs w:val="21"/>
              </w:rPr>
            </w:pPr>
            <w:r>
              <w:rPr>
                <w:rFonts w:hint="default"/>
                <w:color w:val="auto"/>
              </w:rPr>
              <w:t>断面（取样点）位置</w:t>
            </w:r>
          </w:p>
        </w:tc>
        <w:tc>
          <w:tcPr>
            <w:tcW w:w="123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Cs w:val="21"/>
                <w:lang w:val="en-US" w:eastAsia="zh-CN"/>
              </w:rPr>
            </w:pPr>
            <w:r>
              <w:rPr>
                <w:rFonts w:hint="eastAsia"/>
                <w:color w:val="auto"/>
                <w:szCs w:val="21"/>
                <w:lang w:val="en-US" w:eastAsia="zh-CN"/>
              </w:rPr>
              <w:t>水位高程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Cs w:val="21"/>
              </w:rPr>
            </w:pPr>
            <w:r>
              <w:rPr>
                <w:rFonts w:hint="default"/>
                <w:color w:val="auto"/>
              </w:rPr>
              <w:t>1#</w:t>
            </w:r>
          </w:p>
        </w:tc>
        <w:tc>
          <w:tcPr>
            <w:tcW w:w="5354" w:type="dxa"/>
            <w:tcBorders>
              <w:top w:val="single" w:color="auto" w:sz="4" w:space="0"/>
              <w:left w:val="nil"/>
              <w:bottom w:val="single" w:color="auto" w:sz="4" w:space="0"/>
              <w:right w:val="single" w:color="auto" w:sz="4" w:space="0"/>
            </w:tcBorders>
            <w:vAlign w:val="center"/>
          </w:tcPr>
          <w:p>
            <w:pPr>
              <w:pStyle w:val="489"/>
              <w:suppressLineNumbers w:val="0"/>
              <w:tabs>
                <w:tab w:val="left" w:pos="1535"/>
                <w:tab w:val="left" w:pos="3105"/>
                <w:tab w:val="left" w:pos="4676"/>
                <w:tab w:val="left" w:pos="6247"/>
                <w:tab w:val="left" w:pos="7740"/>
                <w:tab w:val="left" w:pos="9288"/>
                <w:tab w:val="clear" w:pos="-145"/>
                <w:tab w:val="clear" w:pos="0"/>
                <w:tab w:val="clear" w:pos="37"/>
                <w:tab w:val="clear" w:pos="580"/>
                <w:tab w:val="clear" w:pos="4500"/>
                <w:tab w:val="clear" w:pos="5160"/>
                <w:tab w:val="clear" w:pos="8460"/>
                <w:tab w:val="clear" w:pos="9000"/>
              </w:tabs>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sz w:val="21"/>
                <w:szCs w:val="21"/>
              </w:rPr>
              <w:t>项目</w:t>
            </w:r>
            <w:r>
              <w:rPr>
                <w:rFonts w:hint="default" w:ascii="Times New Roman" w:hAnsi="Times New Roman" w:eastAsia="宋体" w:cs="Times New Roman"/>
                <w:i w:val="0"/>
                <w:iCs w:val="0"/>
                <w:color w:val="auto"/>
                <w:sz w:val="21"/>
                <w:szCs w:val="21"/>
                <w:lang w:val="en-US" w:eastAsia="zh-CN"/>
              </w:rPr>
              <w:t>区域</w:t>
            </w:r>
            <w:r>
              <w:rPr>
                <w:rFonts w:hint="default" w:ascii="Times New Roman" w:hAnsi="Times New Roman" w:eastAsia="宋体" w:cs="Times New Roman"/>
                <w:i w:val="0"/>
                <w:iCs w:val="0"/>
                <w:color w:val="auto"/>
                <w:sz w:val="21"/>
                <w:szCs w:val="21"/>
              </w:rPr>
              <w:t>上游</w:t>
            </w:r>
          </w:p>
        </w:tc>
        <w:tc>
          <w:tcPr>
            <w:tcW w:w="123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Cs w:val="21"/>
              </w:rPr>
            </w:pPr>
            <w:r>
              <w:rPr>
                <w:rFonts w:hint="default"/>
                <w:color w:val="auto"/>
              </w:rPr>
              <w:t>2#</w:t>
            </w:r>
          </w:p>
        </w:tc>
        <w:tc>
          <w:tcPr>
            <w:tcW w:w="5354" w:type="dxa"/>
            <w:tcBorders>
              <w:top w:val="single" w:color="auto" w:sz="4" w:space="0"/>
              <w:left w:val="nil"/>
              <w:bottom w:val="single" w:color="auto" w:sz="4" w:space="0"/>
              <w:right w:val="single" w:color="auto" w:sz="4" w:space="0"/>
            </w:tcBorders>
            <w:vAlign w:val="center"/>
          </w:tcPr>
          <w:p>
            <w:pPr>
              <w:pStyle w:val="489"/>
              <w:suppressLineNumbers w:val="0"/>
              <w:tabs>
                <w:tab w:val="left" w:pos="1535"/>
                <w:tab w:val="left" w:pos="3105"/>
                <w:tab w:val="left" w:pos="4676"/>
                <w:tab w:val="left" w:pos="6247"/>
                <w:tab w:val="left" w:pos="7740"/>
                <w:tab w:val="left" w:pos="9288"/>
                <w:tab w:val="clear" w:pos="-145"/>
                <w:tab w:val="clear" w:pos="0"/>
                <w:tab w:val="clear" w:pos="37"/>
                <w:tab w:val="clear" w:pos="580"/>
                <w:tab w:val="clear" w:pos="4500"/>
                <w:tab w:val="clear" w:pos="5160"/>
                <w:tab w:val="clear" w:pos="8460"/>
                <w:tab w:val="clear" w:pos="9000"/>
              </w:tabs>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sz w:val="21"/>
                <w:szCs w:val="21"/>
              </w:rPr>
              <w:t>项目</w:t>
            </w:r>
            <w:r>
              <w:rPr>
                <w:rFonts w:hint="default" w:ascii="Times New Roman" w:hAnsi="Times New Roman" w:eastAsia="宋体" w:cs="Times New Roman"/>
                <w:i w:val="0"/>
                <w:iCs w:val="0"/>
                <w:color w:val="auto"/>
                <w:sz w:val="21"/>
                <w:szCs w:val="21"/>
                <w:lang w:val="en-US" w:eastAsia="zh-CN"/>
              </w:rPr>
              <w:t>区域侧面</w:t>
            </w:r>
          </w:p>
        </w:tc>
        <w:tc>
          <w:tcPr>
            <w:tcW w:w="123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Cs w:val="21"/>
              </w:rPr>
            </w:pPr>
            <w:r>
              <w:rPr>
                <w:rFonts w:hint="default"/>
                <w:color w:val="auto"/>
              </w:rPr>
              <w:t>3#</w:t>
            </w:r>
          </w:p>
        </w:tc>
        <w:tc>
          <w:tcPr>
            <w:tcW w:w="5354" w:type="dxa"/>
            <w:tcBorders>
              <w:top w:val="single" w:color="auto" w:sz="4" w:space="0"/>
              <w:left w:val="nil"/>
              <w:bottom w:val="single" w:color="auto" w:sz="4" w:space="0"/>
              <w:right w:val="single" w:color="auto" w:sz="4" w:space="0"/>
            </w:tcBorders>
            <w:vAlign w:val="center"/>
          </w:tcPr>
          <w:p>
            <w:pPr>
              <w:pStyle w:val="489"/>
              <w:suppressLineNumbers w:val="0"/>
              <w:tabs>
                <w:tab w:val="left" w:pos="1535"/>
                <w:tab w:val="left" w:pos="3105"/>
                <w:tab w:val="left" w:pos="4676"/>
                <w:tab w:val="left" w:pos="6247"/>
                <w:tab w:val="left" w:pos="7740"/>
                <w:tab w:val="left" w:pos="9288"/>
                <w:tab w:val="clear" w:pos="-145"/>
                <w:tab w:val="clear" w:pos="0"/>
                <w:tab w:val="clear" w:pos="37"/>
                <w:tab w:val="clear" w:pos="580"/>
                <w:tab w:val="clear" w:pos="4500"/>
                <w:tab w:val="clear" w:pos="5160"/>
                <w:tab w:val="clear" w:pos="8460"/>
                <w:tab w:val="clear" w:pos="9000"/>
              </w:tabs>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sz w:val="21"/>
                <w:szCs w:val="21"/>
              </w:rPr>
              <w:t>项目</w:t>
            </w:r>
            <w:r>
              <w:rPr>
                <w:rFonts w:hint="default" w:ascii="Times New Roman" w:hAnsi="Times New Roman" w:eastAsia="宋体" w:cs="Times New Roman"/>
                <w:i w:val="0"/>
                <w:iCs w:val="0"/>
                <w:color w:val="auto"/>
                <w:sz w:val="21"/>
                <w:szCs w:val="21"/>
                <w:lang w:val="en-US" w:eastAsia="zh-CN"/>
              </w:rPr>
              <w:t>区域</w:t>
            </w:r>
            <w:r>
              <w:rPr>
                <w:rFonts w:hint="default" w:ascii="Times New Roman" w:hAnsi="Times New Roman" w:eastAsia="宋体" w:cs="Times New Roman"/>
                <w:i w:val="0"/>
                <w:iCs w:val="0"/>
                <w:color w:val="auto"/>
                <w:sz w:val="21"/>
                <w:szCs w:val="21"/>
              </w:rPr>
              <w:t>下游</w:t>
            </w:r>
          </w:p>
        </w:tc>
        <w:tc>
          <w:tcPr>
            <w:tcW w:w="123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4#</w:t>
            </w:r>
          </w:p>
        </w:tc>
        <w:tc>
          <w:tcPr>
            <w:tcW w:w="5354" w:type="dxa"/>
            <w:tcBorders>
              <w:top w:val="single" w:color="auto" w:sz="4" w:space="0"/>
              <w:left w:val="nil"/>
              <w:bottom w:val="single" w:color="auto" w:sz="4" w:space="0"/>
              <w:right w:val="single" w:color="auto" w:sz="4" w:space="0"/>
            </w:tcBorders>
            <w:vAlign w:val="center"/>
          </w:tcPr>
          <w:p>
            <w:pPr>
              <w:pStyle w:val="12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sz w:val="21"/>
                <w:szCs w:val="21"/>
              </w:rPr>
              <w:t>项目</w:t>
            </w:r>
            <w:r>
              <w:rPr>
                <w:rFonts w:hint="default" w:ascii="Times New Roman" w:hAnsi="Times New Roman" w:eastAsia="宋体" w:cs="Times New Roman"/>
                <w:i w:val="0"/>
                <w:iCs w:val="0"/>
                <w:color w:val="auto"/>
                <w:sz w:val="21"/>
                <w:szCs w:val="21"/>
                <w:lang w:val="en-US" w:eastAsia="zh-CN"/>
              </w:rPr>
              <w:t>区域</w:t>
            </w:r>
            <w:r>
              <w:rPr>
                <w:rFonts w:hint="default" w:ascii="Times New Roman" w:hAnsi="Times New Roman" w:eastAsia="宋体" w:cs="Times New Roman"/>
                <w:i w:val="0"/>
                <w:iCs w:val="0"/>
                <w:color w:val="auto"/>
                <w:sz w:val="21"/>
                <w:szCs w:val="21"/>
              </w:rPr>
              <w:t>上游</w:t>
            </w:r>
          </w:p>
        </w:tc>
        <w:tc>
          <w:tcPr>
            <w:tcW w:w="123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5#</w:t>
            </w:r>
          </w:p>
        </w:tc>
        <w:tc>
          <w:tcPr>
            <w:tcW w:w="5354" w:type="dxa"/>
            <w:tcBorders>
              <w:top w:val="single" w:color="auto" w:sz="4" w:space="0"/>
              <w:left w:val="nil"/>
              <w:bottom w:val="single" w:color="auto" w:sz="4" w:space="0"/>
              <w:right w:val="single" w:color="auto" w:sz="4" w:space="0"/>
            </w:tcBorders>
            <w:vAlign w:val="center"/>
          </w:tcPr>
          <w:p>
            <w:pPr>
              <w:pStyle w:val="12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sz w:val="21"/>
                <w:szCs w:val="21"/>
              </w:rPr>
              <w:t>项目</w:t>
            </w:r>
            <w:r>
              <w:rPr>
                <w:rFonts w:hint="default" w:ascii="Times New Roman" w:hAnsi="Times New Roman" w:eastAsia="宋体" w:cs="Times New Roman"/>
                <w:i w:val="0"/>
                <w:iCs w:val="0"/>
                <w:color w:val="auto"/>
                <w:sz w:val="21"/>
                <w:szCs w:val="21"/>
                <w:lang w:val="en-US" w:eastAsia="zh-CN"/>
              </w:rPr>
              <w:t>区域侧面</w:t>
            </w:r>
          </w:p>
        </w:tc>
        <w:tc>
          <w:tcPr>
            <w:tcW w:w="123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lang w:val="en-US" w:eastAsia="zh-CN"/>
              </w:rPr>
            </w:pPr>
            <w:r>
              <w:rPr>
                <w:rFonts w:hint="eastAsia"/>
                <w:color w:val="auto"/>
                <w:lang w:val="en-US" w:eastAsia="zh-CN"/>
              </w:rPr>
              <w:t>6#</w:t>
            </w:r>
          </w:p>
        </w:tc>
        <w:tc>
          <w:tcPr>
            <w:tcW w:w="5354" w:type="dxa"/>
            <w:tcBorders>
              <w:top w:val="single" w:color="auto" w:sz="4" w:space="0"/>
              <w:left w:val="nil"/>
              <w:bottom w:val="single" w:color="auto" w:sz="4" w:space="0"/>
              <w:right w:val="single" w:color="auto" w:sz="4" w:space="0"/>
            </w:tcBorders>
            <w:vAlign w:val="center"/>
          </w:tcPr>
          <w:p>
            <w:pPr>
              <w:pStyle w:val="12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sz w:val="21"/>
                <w:szCs w:val="21"/>
              </w:rPr>
              <w:t>项目</w:t>
            </w:r>
            <w:r>
              <w:rPr>
                <w:rFonts w:hint="default" w:ascii="Times New Roman" w:hAnsi="Times New Roman" w:eastAsia="宋体" w:cs="Times New Roman"/>
                <w:i w:val="0"/>
                <w:iCs w:val="0"/>
                <w:color w:val="auto"/>
                <w:sz w:val="21"/>
                <w:szCs w:val="21"/>
                <w:lang w:val="en-US" w:eastAsia="zh-CN"/>
              </w:rPr>
              <w:t>区域</w:t>
            </w:r>
            <w:r>
              <w:rPr>
                <w:rFonts w:hint="default" w:ascii="Times New Roman" w:hAnsi="Times New Roman" w:eastAsia="宋体" w:cs="Times New Roman"/>
                <w:i w:val="0"/>
                <w:iCs w:val="0"/>
                <w:color w:val="auto"/>
                <w:sz w:val="21"/>
                <w:szCs w:val="21"/>
              </w:rPr>
              <w:t>下游</w:t>
            </w:r>
          </w:p>
        </w:tc>
        <w:tc>
          <w:tcPr>
            <w:tcW w:w="123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450.06</w:t>
            </w:r>
          </w:p>
        </w:tc>
      </w:tr>
    </w:tbl>
    <w:p>
      <w:pPr>
        <w:spacing w:line="360" w:lineRule="auto"/>
        <w:ind w:firstLine="480"/>
        <w:rPr>
          <w:rFonts w:hint="default" w:eastAsia="宋体"/>
          <w:b/>
          <w:bCs/>
          <w:color w:val="auto"/>
          <w:sz w:val="24"/>
          <w:lang w:val="en-US" w:eastAsia="zh-CN"/>
        </w:rPr>
      </w:pPr>
      <w:r>
        <w:rPr>
          <w:b/>
          <w:bCs/>
          <w:color w:val="auto"/>
          <w:sz w:val="24"/>
        </w:rPr>
        <w:t>2、监测因子</w:t>
      </w:r>
    </w:p>
    <w:p>
      <w:pPr>
        <w:spacing w:line="360" w:lineRule="auto"/>
        <w:ind w:firstLine="525"/>
        <w:rPr>
          <w:color w:val="auto"/>
          <w:sz w:val="24"/>
        </w:rPr>
      </w:pPr>
      <w:r>
        <w:rPr>
          <w:color w:val="auto"/>
          <w:sz w:val="24"/>
        </w:rPr>
        <w:t>监测因子为：钾、钠、钙、镁、碳酸根、重碳酸根、氯化物、硫酸盐、pH值、氨氮（以N计）、硝酸盐（以N计）、亚硝酸盐（以N计）、挥发性酚类（以苯酚计）、氰化物、总硬度（以CaCO</w:t>
      </w:r>
      <w:r>
        <w:rPr>
          <w:color w:val="auto"/>
          <w:sz w:val="24"/>
          <w:vertAlign w:val="subscript"/>
        </w:rPr>
        <w:t>3</w:t>
      </w:r>
      <w:r>
        <w:rPr>
          <w:color w:val="auto"/>
          <w:sz w:val="24"/>
        </w:rPr>
        <w:t>计）、氟化物、溶解性总固体、耗氧量（COD</w:t>
      </w:r>
      <w:r>
        <w:rPr>
          <w:color w:val="auto"/>
          <w:sz w:val="24"/>
          <w:vertAlign w:val="subscript"/>
        </w:rPr>
        <w:t>Mn</w:t>
      </w:r>
      <w:r>
        <w:rPr>
          <w:color w:val="auto"/>
          <w:sz w:val="24"/>
        </w:rPr>
        <w:t>法，以O</w:t>
      </w:r>
      <w:r>
        <w:rPr>
          <w:color w:val="auto"/>
          <w:sz w:val="24"/>
          <w:vertAlign w:val="subscript"/>
        </w:rPr>
        <w:t>2</w:t>
      </w:r>
      <w:r>
        <w:rPr>
          <w:color w:val="auto"/>
          <w:sz w:val="24"/>
        </w:rPr>
        <w:t>计）、总大肠菌群、菌落总数</w:t>
      </w:r>
      <w:r>
        <w:rPr>
          <w:rFonts w:hint="eastAsia"/>
          <w:color w:val="auto"/>
          <w:sz w:val="24"/>
          <w:lang w:eastAsia="zh-CN"/>
        </w:rPr>
        <w:t>、</w:t>
      </w:r>
      <w:r>
        <w:rPr>
          <w:rFonts w:hint="eastAsia"/>
          <w:color w:val="auto"/>
          <w:sz w:val="24"/>
          <w:lang w:val="en-US" w:eastAsia="zh-CN"/>
        </w:rPr>
        <w:t>砷、汞、铬（六价）、铅、镉、锰、铁等</w:t>
      </w:r>
      <w:r>
        <w:rPr>
          <w:color w:val="auto"/>
          <w:sz w:val="24"/>
        </w:rPr>
        <w:t>。</w:t>
      </w:r>
    </w:p>
    <w:p>
      <w:pPr>
        <w:spacing w:line="360" w:lineRule="auto"/>
        <w:ind w:firstLine="480"/>
        <w:rPr>
          <w:b/>
          <w:bCs/>
          <w:color w:val="auto"/>
          <w:sz w:val="24"/>
        </w:rPr>
      </w:pPr>
      <w:r>
        <w:rPr>
          <w:b/>
          <w:bCs/>
          <w:color w:val="auto"/>
          <w:sz w:val="24"/>
        </w:rPr>
        <w:t>3、采样时间、频率</w:t>
      </w:r>
    </w:p>
    <w:p>
      <w:pPr>
        <w:spacing w:line="360" w:lineRule="auto"/>
        <w:ind w:firstLine="480" w:firstLineChars="200"/>
        <w:rPr>
          <w:color w:val="auto"/>
          <w:sz w:val="24"/>
        </w:rPr>
      </w:pPr>
      <w:r>
        <w:rPr>
          <w:color w:val="auto"/>
          <w:sz w:val="24"/>
        </w:rPr>
        <w:t>采样时间为</w:t>
      </w:r>
      <w:r>
        <w:rPr>
          <w:rFonts w:hint="eastAsia"/>
          <w:color w:val="auto"/>
          <w:sz w:val="24"/>
        </w:rPr>
        <w:t>202</w:t>
      </w:r>
      <w:r>
        <w:rPr>
          <w:rFonts w:hint="eastAsia"/>
          <w:color w:val="auto"/>
          <w:sz w:val="24"/>
          <w:lang w:val="en-US" w:eastAsia="zh-CN"/>
        </w:rPr>
        <w:t>3</w:t>
      </w:r>
      <w:r>
        <w:rPr>
          <w:color w:val="auto"/>
          <w:sz w:val="24"/>
        </w:rPr>
        <w:t>年</w:t>
      </w:r>
      <w:r>
        <w:rPr>
          <w:rFonts w:hint="eastAsia"/>
          <w:color w:val="auto"/>
          <w:sz w:val="24"/>
          <w:lang w:val="en-US" w:eastAsia="zh-CN"/>
        </w:rPr>
        <w:t>1</w:t>
      </w:r>
      <w:r>
        <w:rPr>
          <w:color w:val="auto"/>
          <w:sz w:val="24"/>
        </w:rPr>
        <w:t>月</w:t>
      </w:r>
      <w:r>
        <w:rPr>
          <w:rFonts w:hint="eastAsia"/>
          <w:color w:val="auto"/>
          <w:sz w:val="24"/>
          <w:lang w:val="en-US" w:eastAsia="zh-CN"/>
        </w:rPr>
        <w:t>5</w:t>
      </w:r>
      <w:r>
        <w:rPr>
          <w:color w:val="auto"/>
          <w:sz w:val="24"/>
        </w:rPr>
        <w:t>日，监测频率为监测1天，每天采样一次。</w:t>
      </w:r>
    </w:p>
    <w:p>
      <w:pPr>
        <w:spacing w:before="120" w:beforeLines="50" w:line="360" w:lineRule="auto"/>
        <w:ind w:firstLine="482"/>
        <w:rPr>
          <w:b/>
          <w:bCs/>
          <w:color w:val="auto"/>
          <w:sz w:val="24"/>
        </w:rPr>
      </w:pPr>
      <w:r>
        <w:rPr>
          <w:b/>
          <w:bCs/>
          <w:color w:val="auto"/>
          <w:sz w:val="24"/>
        </w:rPr>
        <w:t>4、评价标准</w:t>
      </w:r>
    </w:p>
    <w:p>
      <w:pPr>
        <w:spacing w:line="360" w:lineRule="auto"/>
        <w:ind w:firstLine="525"/>
        <w:rPr>
          <w:color w:val="auto"/>
          <w:sz w:val="24"/>
        </w:rPr>
      </w:pPr>
      <w:r>
        <w:rPr>
          <w:color w:val="auto"/>
          <w:sz w:val="24"/>
        </w:rPr>
        <w:t>执行《地下水质量标准》（GB/T14848-2017）中Ⅲ类水质标准。</w:t>
      </w:r>
    </w:p>
    <w:p>
      <w:pPr>
        <w:spacing w:line="360" w:lineRule="auto"/>
        <w:ind w:firstLine="525"/>
        <w:rPr>
          <w:b/>
          <w:bCs/>
          <w:color w:val="auto"/>
          <w:sz w:val="24"/>
        </w:rPr>
      </w:pPr>
      <w:r>
        <w:rPr>
          <w:b/>
          <w:bCs/>
          <w:color w:val="auto"/>
          <w:sz w:val="24"/>
        </w:rPr>
        <w:t>5、评价方法</w:t>
      </w:r>
    </w:p>
    <w:p>
      <w:pPr>
        <w:spacing w:line="360" w:lineRule="auto"/>
        <w:ind w:firstLine="480" w:firstLineChars="200"/>
        <w:rPr>
          <w:color w:val="auto"/>
          <w:sz w:val="24"/>
        </w:rPr>
      </w:pPr>
      <w:r>
        <w:rPr>
          <w:color w:val="auto"/>
          <w:sz w:val="24"/>
        </w:rPr>
        <w:t>根据《环境影响评价技术导则地下水环境》(HJ 610-2016)，地下水环境质量现状评价方法采用标准指数法。标准指数计算公式分为以下两种情况：</w:t>
      </w:r>
    </w:p>
    <w:p>
      <w:pPr>
        <w:spacing w:line="360" w:lineRule="auto"/>
        <w:ind w:firstLine="480" w:firstLineChars="200"/>
        <w:rPr>
          <w:color w:val="auto"/>
          <w:sz w:val="24"/>
        </w:rPr>
      </w:pPr>
      <w:r>
        <w:rPr>
          <w:color w:val="auto"/>
          <w:sz w:val="24"/>
        </w:rPr>
        <w:t>①对于评价标准为定值的水质因子，其标准指数计算方法为：</w:t>
      </w:r>
    </w:p>
    <w:p>
      <w:pPr>
        <w:spacing w:line="360" w:lineRule="auto"/>
        <w:jc w:val="center"/>
        <w:rPr>
          <w:color w:val="auto"/>
          <w:sz w:val="24"/>
          <w:vertAlign w:val="subscript"/>
        </w:rPr>
      </w:pPr>
      <w:r>
        <w:rPr>
          <w:color w:val="auto"/>
        </w:rPr>
        <w:drawing>
          <wp:inline distT="0" distB="0" distL="0" distR="0">
            <wp:extent cx="668020" cy="469265"/>
            <wp:effectExtent l="0" t="0" r="17780" b="6350"/>
            <wp:docPr id="23" name="图片 23" descr="C:\Users\ADMINI~1\AppData\Local\Temp\ksohtml101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ksohtml10120\wps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68020" cy="469265"/>
                    </a:xfrm>
                    <a:prstGeom prst="rect">
                      <a:avLst/>
                    </a:prstGeom>
                    <a:noFill/>
                    <a:ln>
                      <a:noFill/>
                    </a:ln>
                  </pic:spPr>
                </pic:pic>
              </a:graphicData>
            </a:graphic>
          </wp:inline>
        </w:drawing>
      </w:r>
    </w:p>
    <w:p>
      <w:pPr>
        <w:spacing w:line="360" w:lineRule="auto"/>
        <w:ind w:firstLine="360" w:firstLineChars="150"/>
        <w:rPr>
          <w:color w:val="auto"/>
          <w:sz w:val="24"/>
        </w:rPr>
      </w:pPr>
      <w:r>
        <w:rPr>
          <w:color w:val="auto"/>
          <w:sz w:val="24"/>
        </w:rPr>
        <w:t>式中：P</w:t>
      </w:r>
      <w:r>
        <w:rPr>
          <w:color w:val="auto"/>
          <w:sz w:val="24"/>
          <w:vertAlign w:val="subscript"/>
        </w:rPr>
        <w:t>i</w:t>
      </w:r>
      <w:r>
        <w:rPr>
          <w:color w:val="auto"/>
          <w:sz w:val="24"/>
        </w:rPr>
        <w:t>—第i个水质因子的标准指数，无量纲；</w:t>
      </w:r>
    </w:p>
    <w:p>
      <w:pPr>
        <w:spacing w:line="360" w:lineRule="auto"/>
        <w:ind w:left="795" w:firstLine="264" w:firstLineChars="110"/>
        <w:rPr>
          <w:color w:val="auto"/>
          <w:sz w:val="24"/>
          <w:vertAlign w:val="subscript"/>
        </w:rPr>
      </w:pPr>
      <w:r>
        <w:rPr>
          <w:color w:val="auto"/>
          <w:sz w:val="24"/>
        </w:rPr>
        <w:t>C</w:t>
      </w:r>
      <w:r>
        <w:rPr>
          <w:color w:val="auto"/>
          <w:sz w:val="24"/>
          <w:vertAlign w:val="subscript"/>
        </w:rPr>
        <w:t>i</w:t>
      </w:r>
      <w:r>
        <w:rPr>
          <w:color w:val="auto"/>
          <w:sz w:val="24"/>
        </w:rPr>
        <w:t>—第i个水质因子的监测质量浓度值，</w:t>
      </w:r>
      <w:r>
        <w:rPr>
          <w:color w:val="auto"/>
          <w:kern w:val="0"/>
          <w:sz w:val="24"/>
        </w:rPr>
        <w:t>mg/L；</w:t>
      </w:r>
    </w:p>
    <w:p>
      <w:pPr>
        <w:spacing w:line="360" w:lineRule="auto"/>
        <w:ind w:left="580" w:firstLine="480" w:firstLineChars="200"/>
        <w:rPr>
          <w:color w:val="auto"/>
          <w:sz w:val="24"/>
        </w:rPr>
      </w:pPr>
      <w:r>
        <w:rPr>
          <w:color w:val="auto"/>
          <w:sz w:val="24"/>
        </w:rPr>
        <w:t>C</w:t>
      </w:r>
      <w:r>
        <w:rPr>
          <w:color w:val="auto"/>
          <w:sz w:val="24"/>
          <w:vertAlign w:val="subscript"/>
        </w:rPr>
        <w:t>si</w:t>
      </w:r>
      <w:r>
        <w:rPr>
          <w:color w:val="auto"/>
          <w:sz w:val="24"/>
        </w:rPr>
        <w:t>—第i个水质因子的标准质量浓度值，</w:t>
      </w:r>
      <w:r>
        <w:rPr>
          <w:color w:val="auto"/>
          <w:kern w:val="0"/>
          <w:sz w:val="24"/>
        </w:rPr>
        <w:t>mg/L。</w:t>
      </w:r>
    </w:p>
    <w:p>
      <w:pPr>
        <w:spacing w:line="360" w:lineRule="auto"/>
        <w:ind w:firstLine="480" w:firstLineChars="200"/>
        <w:rPr>
          <w:color w:val="auto"/>
          <w:sz w:val="24"/>
        </w:rPr>
      </w:pPr>
      <w:r>
        <w:rPr>
          <w:color w:val="auto"/>
          <w:sz w:val="24"/>
        </w:rPr>
        <w:t>②对于评价标准为区间值的水质因子（如pH值），其标准指数计算方法为：</w:t>
      </w:r>
    </w:p>
    <w:p>
      <w:pPr>
        <w:spacing w:line="360" w:lineRule="auto"/>
        <w:jc w:val="center"/>
        <w:rPr>
          <w:color w:val="auto"/>
          <w:sz w:val="24"/>
        </w:rPr>
      </w:pPr>
      <w:r>
        <w:rPr>
          <w:color w:val="auto"/>
        </w:rPr>
        <w:drawing>
          <wp:inline distT="0" distB="0" distL="0" distR="0">
            <wp:extent cx="1296035" cy="469265"/>
            <wp:effectExtent l="0" t="0" r="0" b="6350"/>
            <wp:docPr id="22" name="图片 22" descr="C:\Users\ADMINI~1\AppData\Local\Temp\ksohtml1012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ksohtml10120\wps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96035" cy="469265"/>
                    </a:xfrm>
                    <a:prstGeom prst="rect">
                      <a:avLst/>
                    </a:prstGeom>
                    <a:noFill/>
                    <a:ln>
                      <a:noFill/>
                    </a:ln>
                  </pic:spPr>
                </pic:pic>
              </a:graphicData>
            </a:graphic>
          </wp:inline>
        </w:drawing>
      </w:r>
      <w:r>
        <w:rPr>
          <w:color w:val="auto"/>
          <w:sz w:val="24"/>
        </w:rPr>
        <w:t xml:space="preserve">     pH≤7.0时；</w:t>
      </w:r>
    </w:p>
    <w:p>
      <w:pPr>
        <w:spacing w:line="360" w:lineRule="auto"/>
        <w:jc w:val="center"/>
        <w:rPr>
          <w:color w:val="auto"/>
          <w:sz w:val="24"/>
        </w:rPr>
      </w:pPr>
      <w:r>
        <w:rPr>
          <w:color w:val="auto"/>
        </w:rPr>
        <w:drawing>
          <wp:inline distT="0" distB="0" distL="0" distR="0">
            <wp:extent cx="1296035" cy="469265"/>
            <wp:effectExtent l="0" t="0" r="18415" b="6350"/>
            <wp:docPr id="21" name="图片 21" descr="C:\Users\ADMINI~1\AppData\Local\Temp\ksohtml1012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ksohtml10120\wps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96035" cy="469265"/>
                    </a:xfrm>
                    <a:prstGeom prst="rect">
                      <a:avLst/>
                    </a:prstGeom>
                    <a:noFill/>
                    <a:ln>
                      <a:noFill/>
                    </a:ln>
                  </pic:spPr>
                </pic:pic>
              </a:graphicData>
            </a:graphic>
          </wp:inline>
        </w:drawing>
      </w:r>
      <w:r>
        <w:rPr>
          <w:color w:val="auto"/>
          <w:sz w:val="24"/>
        </w:rPr>
        <w:t xml:space="preserve">     pH＞7.0时；</w:t>
      </w:r>
    </w:p>
    <w:p>
      <w:pPr>
        <w:spacing w:line="360" w:lineRule="auto"/>
        <w:jc w:val="left"/>
        <w:rPr>
          <w:color w:val="auto"/>
          <w:sz w:val="24"/>
        </w:rPr>
      </w:pPr>
      <w:r>
        <w:rPr>
          <w:color w:val="auto"/>
          <w:sz w:val="24"/>
        </w:rPr>
        <w:t>式中：P</w:t>
      </w:r>
      <w:r>
        <w:rPr>
          <w:color w:val="auto"/>
          <w:sz w:val="24"/>
          <w:vertAlign w:val="subscript"/>
        </w:rPr>
        <w:t xml:space="preserve">pH  </w:t>
      </w:r>
      <w:r>
        <w:rPr>
          <w:color w:val="auto"/>
          <w:sz w:val="24"/>
        </w:rPr>
        <w:t>—pH的标准指数，无量纲</w:t>
      </w:r>
    </w:p>
    <w:p>
      <w:pPr>
        <w:spacing w:line="360" w:lineRule="auto"/>
        <w:ind w:left="795" w:firstLine="384" w:firstLineChars="160"/>
        <w:rPr>
          <w:color w:val="auto"/>
          <w:sz w:val="24"/>
          <w:vertAlign w:val="subscript"/>
        </w:rPr>
      </w:pPr>
      <w:r>
        <w:rPr>
          <w:color w:val="auto"/>
          <w:sz w:val="24"/>
        </w:rPr>
        <w:t>pH —pH监测值，</w:t>
      </w:r>
      <w:r>
        <w:rPr>
          <w:color w:val="auto"/>
          <w:kern w:val="0"/>
          <w:sz w:val="24"/>
        </w:rPr>
        <w:t>无量纲；</w:t>
      </w:r>
    </w:p>
    <w:p>
      <w:pPr>
        <w:spacing w:line="360" w:lineRule="auto"/>
        <w:ind w:firstLine="1200" w:firstLineChars="500"/>
        <w:rPr>
          <w:color w:val="auto"/>
          <w:sz w:val="24"/>
        </w:rPr>
      </w:pPr>
      <w:r>
        <w:rPr>
          <w:color w:val="auto"/>
          <w:sz w:val="24"/>
        </w:rPr>
        <w:t>pH</w:t>
      </w:r>
      <w:r>
        <w:rPr>
          <w:color w:val="auto"/>
          <w:sz w:val="24"/>
          <w:vertAlign w:val="subscript"/>
        </w:rPr>
        <w:t>sd</w:t>
      </w:r>
      <w:r>
        <w:rPr>
          <w:color w:val="auto"/>
          <w:sz w:val="24"/>
        </w:rPr>
        <w:t>—标准中pH的下限值，本次评价取6.5</w:t>
      </w:r>
      <w:r>
        <w:rPr>
          <w:color w:val="auto"/>
          <w:kern w:val="0"/>
          <w:sz w:val="24"/>
        </w:rPr>
        <w:t>。</w:t>
      </w:r>
    </w:p>
    <w:p>
      <w:pPr>
        <w:spacing w:line="360" w:lineRule="auto"/>
        <w:ind w:firstLine="525"/>
        <w:rPr>
          <w:b/>
          <w:bCs/>
          <w:color w:val="auto"/>
          <w:sz w:val="24"/>
        </w:rPr>
      </w:pPr>
      <w:r>
        <w:rPr>
          <w:color w:val="auto"/>
          <w:sz w:val="24"/>
        </w:rPr>
        <w:t>pH</w:t>
      </w:r>
      <w:r>
        <w:rPr>
          <w:color w:val="auto"/>
          <w:sz w:val="24"/>
          <w:vertAlign w:val="subscript"/>
        </w:rPr>
        <w:t>su</w:t>
      </w:r>
      <w:r>
        <w:rPr>
          <w:color w:val="auto"/>
          <w:sz w:val="24"/>
        </w:rPr>
        <w:t>—标准中pH的上限值，本次评价取8.5</w:t>
      </w:r>
      <w:r>
        <w:rPr>
          <w:color w:val="auto"/>
          <w:kern w:val="0"/>
          <w:sz w:val="24"/>
        </w:rPr>
        <w:t>。</w:t>
      </w:r>
    </w:p>
    <w:p>
      <w:pPr>
        <w:spacing w:line="360" w:lineRule="auto"/>
        <w:ind w:firstLine="480"/>
        <w:rPr>
          <w:b/>
          <w:bCs/>
          <w:color w:val="auto"/>
          <w:sz w:val="24"/>
        </w:rPr>
      </w:pPr>
      <w:r>
        <w:rPr>
          <w:b/>
          <w:bCs/>
          <w:color w:val="auto"/>
          <w:sz w:val="24"/>
        </w:rPr>
        <w:t>6、监测结果与分析</w:t>
      </w:r>
    </w:p>
    <w:p>
      <w:pPr>
        <w:spacing w:line="360" w:lineRule="auto"/>
        <w:ind w:firstLine="600" w:firstLineChars="250"/>
        <w:rPr>
          <w:color w:val="auto"/>
          <w:kern w:val="0"/>
          <w:sz w:val="24"/>
        </w:rPr>
      </w:pPr>
      <w:r>
        <w:rPr>
          <w:color w:val="auto"/>
          <w:kern w:val="0"/>
          <w:sz w:val="24"/>
        </w:rPr>
        <w:t>地下水监测结果与分析见表</w:t>
      </w:r>
      <w:r>
        <w:rPr>
          <w:rFonts w:hint="eastAsia"/>
          <w:color w:val="auto"/>
          <w:kern w:val="0"/>
          <w:sz w:val="24"/>
          <w:lang w:val="en-US" w:eastAsia="zh-CN"/>
        </w:rPr>
        <w:t>4</w:t>
      </w:r>
      <w:r>
        <w:rPr>
          <w:rFonts w:hint="eastAsia"/>
          <w:color w:val="auto"/>
          <w:kern w:val="0"/>
          <w:sz w:val="24"/>
        </w:rPr>
        <w:t>.3</w:t>
      </w:r>
      <w:r>
        <w:rPr>
          <w:color w:val="auto"/>
          <w:kern w:val="0"/>
          <w:sz w:val="24"/>
        </w:rPr>
        <w:t>-</w:t>
      </w:r>
      <w:r>
        <w:rPr>
          <w:rFonts w:hint="eastAsia"/>
          <w:color w:val="auto"/>
          <w:kern w:val="0"/>
          <w:sz w:val="24"/>
          <w:lang w:val="en-US" w:eastAsia="zh-CN"/>
        </w:rPr>
        <w:t>3</w:t>
      </w:r>
      <w:r>
        <w:rPr>
          <w:color w:val="auto"/>
          <w:kern w:val="0"/>
          <w:sz w:val="24"/>
        </w:rPr>
        <w:t>。</w:t>
      </w:r>
    </w:p>
    <w:p>
      <w:pPr>
        <w:pStyle w:val="4"/>
        <w:ind w:left="1260" w:hanging="420"/>
        <w:jc w:val="center"/>
        <w:rPr>
          <w:rFonts w:ascii="Times New Roman" w:eastAsia="黑体"/>
          <w:color w:val="auto"/>
          <w:sz w:val="21"/>
          <w:szCs w:val="21"/>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lang w:val="en-US" w:eastAsia="zh-CN"/>
        </w:rPr>
        <w:t>3</w:t>
      </w:r>
      <w:r>
        <w:rPr>
          <w:rFonts w:ascii="Times New Roman" w:eastAsia="黑体"/>
          <w:color w:val="auto"/>
          <w:sz w:val="21"/>
          <w:szCs w:val="21"/>
        </w:rPr>
        <w:t xml:space="preserve">  地下水环境现状监测结果</w:t>
      </w:r>
    </w:p>
    <w:tbl>
      <w:tblPr>
        <w:tblStyle w:val="89"/>
        <w:tblW w:w="8592"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48"/>
        <w:gridCol w:w="2330"/>
        <w:gridCol w:w="1350"/>
        <w:gridCol w:w="1425"/>
        <w:gridCol w:w="1500"/>
        <w:gridCol w:w="123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723" w:hRule="atLeast"/>
          <w:jc w:val="center"/>
        </w:trPr>
        <w:tc>
          <w:tcPr>
            <w:tcW w:w="748" w:type="dxa"/>
            <w:tcBorders>
              <w:top w:val="single" w:color="auto" w:sz="2" w:space="0"/>
              <w:left w:val="single" w:color="auto" w:sz="2"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w:t>
            </w:r>
          </w:p>
        </w:tc>
        <w:tc>
          <w:tcPr>
            <w:tcW w:w="2330" w:type="dxa"/>
            <w:tcBorders>
              <w:top w:val="single" w:color="auto" w:sz="2"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1350" w:type="dxa"/>
            <w:tcBorders>
              <w:top w:val="single" w:color="auto" w:sz="2"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425" w:type="dxa"/>
            <w:tcBorders>
              <w:top w:val="single" w:color="auto" w:sz="2"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监测值</w:t>
            </w:r>
          </w:p>
        </w:tc>
        <w:tc>
          <w:tcPr>
            <w:tcW w:w="1500" w:type="dxa"/>
            <w:tcBorders>
              <w:top w:val="single" w:color="auto" w:sz="2"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1239" w:type="dxa"/>
            <w:tcBorders>
              <w:top w:val="single" w:color="auto" w:sz="2"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标准指数（Si）</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48" w:type="dxa"/>
            <w:vMerge w:val="restart"/>
            <w:tcBorders>
              <w:top w:val="single" w:color="auto" w:sz="6" w:space="0"/>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pH（无量纲）</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6.5-8.5</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4"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钾</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1.13</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2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钠</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8.28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钙</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19.2</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镁</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4.79</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0"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重碳酸根</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0"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碳酸根</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1"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铁</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0.02</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锰</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0.05</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总硬度</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403</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89.6%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1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溶解性总固体</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444</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1"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氯化物</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32.9</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4"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硫酸盐</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38.8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7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氟化物</w:t>
            </w:r>
          </w:p>
        </w:tc>
        <w:tc>
          <w:tcPr>
            <w:tcW w:w="1350"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0.258</w:t>
            </w:r>
          </w:p>
        </w:tc>
        <w:tc>
          <w:tcPr>
            <w:tcW w:w="1500"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1"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硝酸盐（以N计）</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9.70</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29"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亚硝酸盐（以N计）</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0.290</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43"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w:t>
            </w:r>
            <w:r>
              <w:rPr>
                <w:rFonts w:hint="default" w:ascii="Times New Roman" w:hAnsi="Times New Roman" w:eastAsia="宋体" w:cs="Times New Roman"/>
                <w:color w:val="auto"/>
                <w:sz w:val="21"/>
                <w:szCs w:val="21"/>
                <w:lang w:val="en-US" w:eastAsia="zh-CN"/>
              </w:rPr>
              <w:t>（μg/L）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2.7</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1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w:t>
            </w:r>
            <w:r>
              <w:rPr>
                <w:rFonts w:hint="default" w:ascii="Times New Roman" w:hAnsi="Times New Roman" w:eastAsia="宋体" w:cs="Times New Roman"/>
                <w:color w:val="auto"/>
                <w:sz w:val="21"/>
                <w:szCs w:val="21"/>
                <w:lang w:val="en-US" w:eastAsia="zh-CN"/>
              </w:rPr>
              <w:t>（μg/L）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0.25</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8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六价铬</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0.004</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挥发</w:t>
            </w:r>
            <w:r>
              <w:rPr>
                <w:rFonts w:hint="eastAsia" w:ascii="Times New Roman" w:hAnsi="Times New Roman" w:eastAsia="宋体" w:cs="Times New Roman"/>
                <w:color w:val="auto"/>
                <w:sz w:val="21"/>
                <w:szCs w:val="21"/>
                <w:lang w:val="en-US" w:eastAsia="zh-CN"/>
              </w:rPr>
              <w:t>性</w:t>
            </w:r>
            <w:r>
              <w:rPr>
                <w:rFonts w:hint="default" w:ascii="Times New Roman" w:hAnsi="Times New Roman" w:eastAsia="宋体" w:cs="Times New Roman"/>
                <w:color w:val="auto"/>
                <w:sz w:val="21"/>
                <w:szCs w:val="21"/>
                <w:lang w:val="en-US" w:eastAsia="zh-CN"/>
              </w:rPr>
              <w:t>酚</w:t>
            </w:r>
            <w:r>
              <w:rPr>
                <w:rFonts w:hint="eastAsia" w:ascii="Times New Roman" w:hAnsi="Times New Roman" w:eastAsia="宋体" w:cs="Times New Roman"/>
                <w:color w:val="auto"/>
                <w:sz w:val="21"/>
                <w:szCs w:val="21"/>
                <w:lang w:val="en-US" w:eastAsia="zh-CN"/>
              </w:rPr>
              <w:t>类</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CFU/L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0.0003</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高锰酸盐指数</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ug/L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1.06</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氨氮</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0.167</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氰化物</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0.002</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铅（μg/L）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2.5</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镉（μg/L）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0.5</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总大肠菌群</w:t>
            </w:r>
            <w:r>
              <w:rPr>
                <w:rFonts w:hint="default" w:ascii="Times New Roman" w:hAnsi="Times New Roman" w:eastAsia="宋体" w:cs="Times New Roman"/>
                <w:color w:val="auto"/>
                <w:w w:val="90"/>
                <w:sz w:val="21"/>
                <w:szCs w:val="21"/>
                <w:lang w:val="en-US" w:eastAsia="zh-CN"/>
              </w:rPr>
              <w:t>（</w:t>
            </w:r>
            <w:r>
              <w:rPr>
                <w:rFonts w:hint="default" w:ascii="Times New Roman" w:hAnsi="Times New Roman" w:eastAsia="宋体" w:cs="Times New Roman"/>
                <w:color w:val="auto"/>
                <w:w w:val="100"/>
                <w:sz w:val="21"/>
                <w:szCs w:val="21"/>
                <w:lang w:val="en-US" w:eastAsia="zh-CN"/>
              </w:rPr>
              <w:t>MPN/100mL</w:t>
            </w:r>
            <w:r>
              <w:rPr>
                <w:rFonts w:hint="default" w:ascii="Times New Roman" w:hAnsi="Times New Roman" w:eastAsia="宋体" w:cs="Times New Roman"/>
                <w:color w:val="auto"/>
                <w:w w:val="90"/>
                <w:sz w:val="21"/>
                <w:szCs w:val="21"/>
                <w:lang w:val="en-US" w:eastAsia="zh-CN"/>
              </w:rPr>
              <w:t>）</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1.0</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48" w:type="dxa"/>
            <w:vMerge w:val="continue"/>
            <w:tcBorders>
              <w:left w:val="single" w:color="auto" w:sz="2"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细菌总数（CFU/mL）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60</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48" w:type="dxa"/>
            <w:vMerge w:val="restart"/>
            <w:tcBorders>
              <w:top w:val="single" w:color="auto" w:sz="6" w:space="0"/>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pH（无量纲）</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钾</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1.35</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2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钠</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28.1</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钙</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84.1</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镁</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15.2</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0"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重碳酸根</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0"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碳酸根</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329</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铁</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锰</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总硬度</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81.8%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1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溶解性总固体</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1"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氯化物</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17.2</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6.9%</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4"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硫酸盐</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19.2</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7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氟化物</w:t>
            </w:r>
          </w:p>
        </w:tc>
        <w:tc>
          <w:tcPr>
            <w:tcW w:w="1350"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0.170</w:t>
            </w:r>
          </w:p>
        </w:tc>
        <w:tc>
          <w:tcPr>
            <w:tcW w:w="1500"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1"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硝酸盐（以N计）</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14.5</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29"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亚硝酸盐（以N计）</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0.212</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43"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w:t>
            </w:r>
            <w:r>
              <w:rPr>
                <w:rFonts w:hint="default" w:ascii="Times New Roman" w:hAnsi="Times New Roman" w:eastAsia="宋体" w:cs="Times New Roman"/>
                <w:color w:val="auto"/>
                <w:sz w:val="21"/>
                <w:szCs w:val="21"/>
                <w:lang w:val="en-US" w:eastAsia="zh-CN"/>
              </w:rPr>
              <w:t>（μg/L）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1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w:t>
            </w:r>
            <w:r>
              <w:rPr>
                <w:rFonts w:hint="default" w:ascii="Times New Roman" w:hAnsi="Times New Roman" w:eastAsia="宋体" w:cs="Times New Roman"/>
                <w:color w:val="auto"/>
                <w:sz w:val="21"/>
                <w:szCs w:val="21"/>
                <w:lang w:val="en-US" w:eastAsia="zh-CN"/>
              </w:rPr>
              <w:t>（μg/L）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0.29</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8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六价铬</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0.004</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挥发</w:t>
            </w:r>
            <w:r>
              <w:rPr>
                <w:rFonts w:hint="eastAsia" w:ascii="Times New Roman" w:hAnsi="Times New Roman" w:eastAsia="宋体" w:cs="Times New Roman"/>
                <w:color w:val="auto"/>
                <w:sz w:val="21"/>
                <w:szCs w:val="21"/>
                <w:lang w:val="en-US" w:eastAsia="zh-CN"/>
              </w:rPr>
              <w:t>性</w:t>
            </w:r>
            <w:r>
              <w:rPr>
                <w:rFonts w:hint="default" w:ascii="Times New Roman" w:hAnsi="Times New Roman" w:eastAsia="宋体" w:cs="Times New Roman"/>
                <w:color w:val="auto"/>
                <w:sz w:val="21"/>
                <w:szCs w:val="21"/>
                <w:lang w:val="en-US" w:eastAsia="zh-CN"/>
              </w:rPr>
              <w:t>酚</w:t>
            </w:r>
            <w:r>
              <w:rPr>
                <w:rFonts w:hint="eastAsia" w:ascii="Times New Roman" w:hAnsi="Times New Roman" w:eastAsia="宋体" w:cs="Times New Roman"/>
                <w:color w:val="auto"/>
                <w:sz w:val="21"/>
                <w:szCs w:val="21"/>
                <w:lang w:val="en-US" w:eastAsia="zh-CN"/>
              </w:rPr>
              <w:t>类</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CFU/mL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高锰酸盐指数</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0.96</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氨氮</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0.204</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氰化物</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铅（μg/L）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镉（μg/L）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总大肠菌群</w:t>
            </w:r>
            <w:r>
              <w:rPr>
                <w:rFonts w:hint="default" w:ascii="Times New Roman" w:hAnsi="Times New Roman" w:eastAsia="宋体" w:cs="Times New Roman"/>
                <w:color w:val="auto"/>
                <w:w w:val="90"/>
                <w:sz w:val="21"/>
                <w:szCs w:val="21"/>
                <w:lang w:val="en-US" w:eastAsia="zh-CN"/>
              </w:rPr>
              <w:t>（</w:t>
            </w:r>
            <w:r>
              <w:rPr>
                <w:rFonts w:hint="default" w:ascii="Times New Roman" w:hAnsi="Times New Roman" w:eastAsia="宋体" w:cs="Times New Roman"/>
                <w:color w:val="auto"/>
                <w:w w:val="100"/>
                <w:sz w:val="21"/>
                <w:szCs w:val="21"/>
                <w:lang w:val="en-US" w:eastAsia="zh-CN"/>
              </w:rPr>
              <w:t>MPN/100mL</w:t>
            </w:r>
            <w:r>
              <w:rPr>
                <w:rFonts w:hint="default" w:ascii="Times New Roman" w:hAnsi="Times New Roman" w:eastAsia="宋体" w:cs="Times New Roman"/>
                <w:color w:val="auto"/>
                <w:w w:val="90"/>
                <w:sz w:val="21"/>
                <w:szCs w:val="21"/>
                <w:lang w:val="en-US" w:eastAsia="zh-CN"/>
              </w:rPr>
              <w:t>）</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细菌总数（CFU/mL）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81</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48" w:type="dxa"/>
            <w:vMerge w:val="restart"/>
            <w:tcBorders>
              <w:top w:val="single" w:color="auto" w:sz="6" w:space="0"/>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pH（无量纲）</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6.5</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4"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钾</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2.07</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2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钠</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钙</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37.7</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镁</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9.03</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重碳酸根</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0"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碳酸根</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63</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1"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铁</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锰</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总硬度</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77.3%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1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溶解性总固体</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391</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1"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氯化物</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29.6</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4"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6"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硫酸盐</w:t>
            </w:r>
          </w:p>
        </w:tc>
        <w:tc>
          <w:tcPr>
            <w:tcW w:w="13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26.8</w:t>
            </w:r>
          </w:p>
        </w:tc>
        <w:tc>
          <w:tcPr>
            <w:tcW w:w="1500"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w:t>
            </w:r>
          </w:p>
        </w:tc>
        <w:tc>
          <w:tcPr>
            <w:tcW w:w="1239" w:type="dxa"/>
            <w:tcBorders>
              <w:top w:val="single" w:color="auto" w:sz="6" w:space="0"/>
              <w:left w:val="single" w:color="auto" w:sz="6" w:space="0"/>
              <w:bottom w:val="single" w:color="auto" w:sz="6"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7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氟化物</w:t>
            </w:r>
          </w:p>
        </w:tc>
        <w:tc>
          <w:tcPr>
            <w:tcW w:w="1350"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0.224</w:t>
            </w:r>
          </w:p>
        </w:tc>
        <w:tc>
          <w:tcPr>
            <w:tcW w:w="1500"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6"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01"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硝酸盐（以N计）</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1.76</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29"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亚硝酸盐（以N计）</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0.318</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43"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w:t>
            </w:r>
            <w:r>
              <w:rPr>
                <w:rFonts w:hint="default" w:ascii="Times New Roman" w:hAnsi="Times New Roman" w:eastAsia="宋体" w:cs="Times New Roman"/>
                <w:color w:val="auto"/>
                <w:sz w:val="21"/>
                <w:szCs w:val="21"/>
                <w:lang w:val="en-US" w:eastAsia="zh-CN"/>
              </w:rPr>
              <w:t>（μg/L）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16"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w:t>
            </w:r>
            <w:r>
              <w:rPr>
                <w:rFonts w:hint="default" w:ascii="Times New Roman" w:hAnsi="Times New Roman" w:eastAsia="宋体" w:cs="Times New Roman"/>
                <w:color w:val="auto"/>
                <w:sz w:val="21"/>
                <w:szCs w:val="21"/>
                <w:lang w:val="en-US" w:eastAsia="zh-CN"/>
              </w:rPr>
              <w:t>（μg/L）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0.25</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8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六价铬</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0.004</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挥发</w:t>
            </w:r>
            <w:r>
              <w:rPr>
                <w:rFonts w:hint="eastAsia" w:ascii="Times New Roman" w:hAnsi="Times New Roman" w:eastAsia="宋体" w:cs="Times New Roman"/>
                <w:color w:val="auto"/>
                <w:sz w:val="21"/>
                <w:szCs w:val="21"/>
                <w:lang w:val="en-US" w:eastAsia="zh-CN"/>
              </w:rPr>
              <w:t>性</w:t>
            </w:r>
            <w:r>
              <w:rPr>
                <w:rFonts w:hint="default" w:ascii="Times New Roman" w:hAnsi="Times New Roman" w:eastAsia="宋体" w:cs="Times New Roman"/>
                <w:color w:val="auto"/>
                <w:sz w:val="21"/>
                <w:szCs w:val="21"/>
                <w:lang w:val="en-US" w:eastAsia="zh-CN"/>
              </w:rPr>
              <w:t>酚</w:t>
            </w:r>
            <w:r>
              <w:rPr>
                <w:rFonts w:hint="eastAsia" w:ascii="Times New Roman" w:hAnsi="Times New Roman" w:eastAsia="宋体" w:cs="Times New Roman"/>
                <w:color w:val="auto"/>
                <w:sz w:val="21"/>
                <w:szCs w:val="21"/>
                <w:lang w:val="en-US" w:eastAsia="zh-CN"/>
              </w:rPr>
              <w:t>类</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CFU/mL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高锰酸盐指数</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0.99</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氨氮</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0.193</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38.6%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氰化物</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铅（μg/L）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镉（μg/L）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rPr>
              <w:t>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r>
              <w:rPr>
                <w:rFonts w:hint="eastAsia" w:ascii="Times New Roman" w:hAnsi="Times New Roman" w:eastAsia="宋体" w:cs="Times New Roman"/>
                <w:color w:val="auto"/>
                <w:kern w:val="2"/>
                <w:sz w:val="21"/>
                <w:szCs w:val="21"/>
                <w:vertAlign w:val="superscript"/>
                <w:lang w:val="en-US" w:eastAsia="zh-CN" w:bidi="ar-SA"/>
              </w:rPr>
              <w:t>L</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总大肠菌群</w:t>
            </w:r>
            <w:r>
              <w:rPr>
                <w:rFonts w:hint="default" w:ascii="Times New Roman" w:hAnsi="Times New Roman" w:eastAsia="宋体" w:cs="Times New Roman"/>
                <w:color w:val="auto"/>
                <w:w w:val="90"/>
                <w:sz w:val="21"/>
                <w:szCs w:val="21"/>
                <w:lang w:val="en-US" w:eastAsia="zh-CN"/>
              </w:rPr>
              <w:t>（</w:t>
            </w:r>
            <w:r>
              <w:rPr>
                <w:rFonts w:hint="default" w:ascii="Times New Roman" w:hAnsi="Times New Roman" w:eastAsia="宋体" w:cs="Times New Roman"/>
                <w:color w:val="auto"/>
                <w:w w:val="100"/>
                <w:sz w:val="21"/>
                <w:szCs w:val="21"/>
                <w:lang w:val="en-US" w:eastAsia="zh-CN"/>
              </w:rPr>
              <w:t>MPN/100mL</w:t>
            </w:r>
            <w:r>
              <w:rPr>
                <w:rFonts w:hint="default" w:ascii="Times New Roman" w:hAnsi="Times New Roman" w:eastAsia="宋体" w:cs="Times New Roman"/>
                <w:color w:val="auto"/>
                <w:w w:val="90"/>
                <w:sz w:val="21"/>
                <w:szCs w:val="21"/>
                <w:lang w:val="en-US" w:eastAsia="zh-CN"/>
              </w:rPr>
              <w:t>）</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748" w:type="dxa"/>
            <w:vMerge w:val="continue"/>
            <w:tcBorders>
              <w:left w:val="single" w:color="auto" w:sz="2"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30" w:type="dxa"/>
            <w:tcBorders>
              <w:top w:val="single" w:color="auto" w:sz="4" w:space="0"/>
              <w:left w:val="single" w:color="auto" w:sz="6" w:space="0"/>
              <w:bottom w:val="single" w:color="auto" w:sz="4" w:space="0"/>
              <w:right w:val="single" w:color="auto" w:sz="6" w:space="0"/>
            </w:tcBorders>
            <w:vAlign w:val="center"/>
          </w:tcPr>
          <w:p>
            <w:pPr>
              <w:pStyle w:val="126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细菌总数（CFU/mL）</w:t>
            </w:r>
          </w:p>
        </w:tc>
        <w:tc>
          <w:tcPr>
            <w:tcW w:w="1350"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425" w:type="dxa"/>
            <w:tcBorders>
              <w:top w:val="single" w:color="auto" w:sz="4" w:space="0"/>
              <w:left w:val="single" w:color="auto" w:sz="6" w:space="0"/>
              <w:bottom w:val="single" w:color="auto" w:sz="4"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1500"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c>
          <w:tcPr>
            <w:tcW w:w="1239"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55.0%</w:t>
            </w:r>
          </w:p>
        </w:tc>
      </w:tr>
    </w:tbl>
    <w:p>
      <w:pPr>
        <w:spacing w:before="120" w:beforeLines="50" w:line="360" w:lineRule="auto"/>
        <w:ind w:firstLine="482"/>
        <w:rPr>
          <w:rFonts w:hint="default" w:ascii="Times New Roman" w:hAnsi="Times New Roman" w:eastAsia="宋体" w:cs="Times New Roman"/>
          <w:color w:val="auto"/>
          <w:kern w:val="0"/>
          <w:sz w:val="24"/>
          <w:lang w:val="en-US" w:eastAsia="zh-CN"/>
        </w:rPr>
      </w:pPr>
      <w:r>
        <w:rPr>
          <w:color w:val="auto"/>
          <w:kern w:val="0"/>
          <w:sz w:val="24"/>
        </w:rPr>
        <w:t>监测和评价结果表明：</w:t>
      </w:r>
      <w:r>
        <w:rPr>
          <w:rFonts w:hint="eastAsia"/>
          <w:color w:val="auto"/>
          <w:kern w:val="0"/>
          <w:sz w:val="24"/>
          <w:lang w:val="en-US" w:eastAsia="zh-CN"/>
        </w:rPr>
        <w:t>3口监测水井</w:t>
      </w:r>
      <w:r>
        <w:rPr>
          <w:color w:val="auto"/>
          <w:kern w:val="0"/>
          <w:sz w:val="24"/>
        </w:rPr>
        <w:t>监测指标均满足《地下水质量标准》（GB/T14848-2017）Ⅲ类标准要求</w:t>
      </w:r>
      <w:r>
        <w:rPr>
          <w:rFonts w:hint="eastAsia"/>
          <w:color w:val="auto"/>
          <w:kern w:val="0"/>
          <w:sz w:val="24"/>
          <w:lang w:eastAsia="zh-CN"/>
        </w:rPr>
        <w:t>，</w:t>
      </w:r>
      <w:r>
        <w:rPr>
          <w:rFonts w:hint="eastAsia"/>
          <w:color w:val="auto"/>
          <w:kern w:val="0"/>
          <w:sz w:val="24"/>
          <w:lang w:val="en-US" w:eastAsia="zh-CN"/>
        </w:rPr>
        <w:t>项目周边地下水质良好</w:t>
      </w:r>
      <w:r>
        <w:rPr>
          <w:rFonts w:hint="eastAsia" w:ascii="Times New Roman" w:hAnsi="Times New Roman" w:eastAsia="宋体" w:cs="Times New Roman"/>
          <w:color w:val="auto"/>
          <w:kern w:val="0"/>
          <w:sz w:val="24"/>
          <w:lang w:val="en-US" w:eastAsia="zh-CN"/>
        </w:rPr>
        <w:t>。</w:t>
      </w:r>
    </w:p>
    <w:p>
      <w:pPr>
        <w:pStyle w:val="7"/>
        <w:spacing w:before="120"/>
        <w:rPr>
          <w:color w:val="auto"/>
          <w:sz w:val="24"/>
          <w:szCs w:val="24"/>
        </w:rPr>
      </w:pPr>
      <w:bookmarkStart w:id="350" w:name="_Toc32191"/>
      <w:r>
        <w:rPr>
          <w:color w:val="auto"/>
          <w:sz w:val="24"/>
          <w:szCs w:val="24"/>
        </w:rPr>
        <w:t>环境空气现状监测与评价</w:t>
      </w:r>
      <w:bookmarkEnd w:id="350"/>
    </w:p>
    <w:p>
      <w:pPr>
        <w:spacing w:line="360" w:lineRule="auto"/>
        <w:ind w:firstLine="480" w:firstLineChars="200"/>
        <w:rPr>
          <w:color w:val="auto"/>
          <w:sz w:val="24"/>
        </w:rPr>
      </w:pPr>
      <w:r>
        <w:rPr>
          <w:rFonts w:hint="eastAsia"/>
          <w:color w:val="auto"/>
          <w:sz w:val="24"/>
        </w:rPr>
        <w:t>根据《环境影响评价技术导则 大气环境》（HJ2.2-2018），本项目采用ARESCREEN模式估算，大气评价等级为</w:t>
      </w:r>
      <w:r>
        <w:rPr>
          <w:rFonts w:hint="eastAsia"/>
          <w:color w:val="auto"/>
          <w:sz w:val="24"/>
          <w:lang w:val="en-US" w:eastAsia="zh-CN"/>
        </w:rPr>
        <w:t>二</w:t>
      </w:r>
      <w:r>
        <w:rPr>
          <w:rFonts w:hint="eastAsia"/>
          <w:color w:val="auto"/>
          <w:sz w:val="24"/>
        </w:rPr>
        <w:t>级。</w:t>
      </w:r>
    </w:p>
    <w:p>
      <w:pPr>
        <w:spacing w:line="360" w:lineRule="auto"/>
        <w:ind w:firstLine="480" w:firstLineChars="200"/>
        <w:rPr>
          <w:color w:val="auto"/>
          <w:sz w:val="24"/>
        </w:rPr>
      </w:pPr>
      <w:r>
        <w:rPr>
          <w:color w:val="auto"/>
          <w:sz w:val="24"/>
        </w:rPr>
        <w:t>为了了解项目所在地的</w:t>
      </w:r>
      <w:r>
        <w:rPr>
          <w:rFonts w:hint="eastAsia"/>
          <w:color w:val="auto"/>
          <w:sz w:val="24"/>
        </w:rPr>
        <w:t>环境空气</w:t>
      </w:r>
      <w:r>
        <w:rPr>
          <w:color w:val="auto"/>
          <w:sz w:val="24"/>
        </w:rPr>
        <w:t>环境质量现状</w:t>
      </w:r>
      <w:r>
        <w:rPr>
          <w:rFonts w:hint="eastAsia"/>
          <w:color w:val="auto"/>
          <w:sz w:val="24"/>
        </w:rPr>
        <w:t>，本次引用</w:t>
      </w:r>
      <w:r>
        <w:rPr>
          <w:bCs/>
          <w:color w:val="auto"/>
          <w:sz w:val="24"/>
        </w:rPr>
        <w:t>《</w:t>
      </w:r>
      <w:r>
        <w:rPr>
          <w:rFonts w:hint="eastAsia" w:ascii="Times New Roman" w:hAnsi="Times New Roman" w:eastAsia="宋体" w:cs="Times New Roman"/>
          <w:color w:val="auto"/>
          <w:kern w:val="0"/>
          <w:sz w:val="24"/>
          <w:szCs w:val="24"/>
          <w:lang w:val="en-US" w:eastAsia="zh-CN" w:bidi="ar-SA"/>
        </w:rPr>
        <w:t>2021年巴中市生态环境状况公报</w:t>
      </w:r>
      <w:r>
        <w:rPr>
          <w:bCs/>
          <w:color w:val="auto"/>
          <w:sz w:val="24"/>
        </w:rPr>
        <w:t>》</w:t>
      </w:r>
      <w:r>
        <w:rPr>
          <w:rFonts w:hint="eastAsia"/>
          <w:color w:val="auto"/>
          <w:sz w:val="24"/>
        </w:rPr>
        <w:t>及</w:t>
      </w:r>
      <w:r>
        <w:rPr>
          <w:color w:val="auto"/>
          <w:sz w:val="24"/>
        </w:rPr>
        <w:t>建设单位委托</w:t>
      </w:r>
      <w:r>
        <w:rPr>
          <w:rFonts w:hint="eastAsia"/>
          <w:color w:val="auto"/>
          <w:sz w:val="24"/>
        </w:rPr>
        <w:t>四川海德汇环保科技有限公司</w:t>
      </w:r>
      <w:r>
        <w:rPr>
          <w:color w:val="auto"/>
          <w:sz w:val="24"/>
        </w:rPr>
        <w:t>对项目所在地</w:t>
      </w:r>
      <w:r>
        <w:rPr>
          <w:rFonts w:hint="eastAsia"/>
          <w:color w:val="auto"/>
          <w:sz w:val="24"/>
        </w:rPr>
        <w:t>环境空气现状</w:t>
      </w:r>
      <w:r>
        <w:rPr>
          <w:color w:val="auto"/>
          <w:sz w:val="24"/>
        </w:rPr>
        <w:t>进行了监测。</w:t>
      </w:r>
    </w:p>
    <w:p>
      <w:pPr>
        <w:spacing w:line="360" w:lineRule="auto"/>
        <w:ind w:firstLine="480"/>
        <w:rPr>
          <w:color w:val="auto"/>
          <w:kern w:val="0"/>
          <w:sz w:val="24"/>
        </w:rPr>
      </w:pPr>
      <w:r>
        <w:rPr>
          <w:rFonts w:hint="eastAsia"/>
          <w:color w:val="auto"/>
          <w:kern w:val="0"/>
          <w:sz w:val="24"/>
        </w:rPr>
        <w:t>1、项目所在区域达标区判断</w:t>
      </w:r>
    </w:p>
    <w:p>
      <w:pPr>
        <w:pStyle w:val="52"/>
        <w:adjustRightInd w:val="0"/>
        <w:snapToGrid w:val="0"/>
        <w:spacing w:after="0" w:line="360" w:lineRule="auto"/>
        <w:ind w:left="0" w:leftChars="0" w:firstLine="480" w:firstLineChars="200"/>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w:t>
      </w:r>
      <w:r>
        <w:rPr>
          <w:rFonts w:ascii="Times New Roman" w:hAnsi="Times New Roman" w:eastAsia="宋体" w:cs="Times New Roman"/>
          <w:color w:val="auto"/>
          <w:kern w:val="0"/>
          <w:sz w:val="24"/>
          <w:szCs w:val="24"/>
          <w:lang w:val="en-US" w:eastAsia="zh-CN" w:bidi="ar-SA"/>
        </w:rPr>
        <w:t>据《环境影响评价技术导则</w:t>
      </w:r>
      <w:r>
        <w:rPr>
          <w:rFonts w:hint="eastAsia" w:ascii="Times New Roman" w:hAnsi="Times New Roman" w:eastAsia="宋体" w:cs="Times New Roman"/>
          <w:color w:val="auto"/>
          <w:kern w:val="0"/>
          <w:sz w:val="24"/>
          <w:szCs w:val="24"/>
          <w:lang w:val="en-US" w:eastAsia="zh-CN" w:bidi="ar-SA"/>
        </w:rPr>
        <w:t xml:space="preserve"> </w:t>
      </w:r>
      <w:r>
        <w:rPr>
          <w:rFonts w:ascii="Times New Roman" w:hAnsi="Times New Roman" w:eastAsia="宋体" w:cs="Times New Roman"/>
          <w:color w:val="auto"/>
          <w:kern w:val="0"/>
          <w:sz w:val="24"/>
          <w:szCs w:val="24"/>
          <w:lang w:val="en-US" w:eastAsia="zh-CN" w:bidi="ar-SA"/>
        </w:rPr>
        <w:t>大气环境》</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HJ2.2-2018</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中6.2.1.1</w:t>
      </w:r>
      <w:r>
        <w:rPr>
          <w:rFonts w:hint="eastAsia" w:ascii="Times New Roman" w:hAnsi="Times New Roman" w:eastAsia="宋体" w:cs="Times New Roman"/>
          <w:color w:val="auto"/>
          <w:kern w:val="0"/>
          <w:sz w:val="24"/>
          <w:szCs w:val="24"/>
          <w:lang w:val="en-US" w:eastAsia="zh-CN" w:bidi="ar-SA"/>
        </w:rPr>
        <w:t>规定</w:t>
      </w:r>
      <w:r>
        <w:rPr>
          <w:rFonts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项目所在区域达标判定，优先采用国家或地方生态环境主管部门公开发布的评价基准年环境质量公告或环境质量报告中的数据或结论。</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因此，</w:t>
      </w:r>
      <w:r>
        <w:rPr>
          <w:rFonts w:hint="eastAsia" w:ascii="Times New Roman" w:hAnsi="Times New Roman" w:eastAsia="宋体" w:cs="Times New Roman"/>
          <w:color w:val="auto"/>
          <w:kern w:val="0"/>
          <w:sz w:val="24"/>
          <w:szCs w:val="24"/>
          <w:lang w:val="en-US" w:eastAsia="zh-CN" w:bidi="ar-SA"/>
        </w:rPr>
        <w:t>本次评价采用巴中市生态环境局发布的《2021年巴中市生态环境状况公报》中的数据</w:t>
      </w:r>
      <w:r>
        <w:rPr>
          <w:rFonts w:ascii="Times New Roman" w:hAnsi="Times New Roman" w:eastAsia="宋体" w:cs="Times New Roman"/>
          <w:color w:val="auto"/>
          <w:kern w:val="0"/>
          <w:sz w:val="24"/>
          <w:szCs w:val="24"/>
          <w:lang w:val="en-US" w:eastAsia="zh-CN" w:bidi="ar-SA"/>
        </w:rPr>
        <w:t>进行区域达标判断。</w:t>
      </w:r>
    </w:p>
    <w:p>
      <w:pPr>
        <w:pStyle w:val="52"/>
        <w:adjustRightInd w:val="0"/>
        <w:snapToGrid w:val="0"/>
        <w:spacing w:after="0" w:line="360" w:lineRule="auto"/>
        <w:ind w:left="0" w:leftChars="0" w:firstLine="480" w:firstLineChars="20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w:t>
      </w:r>
      <w:r>
        <w:rPr>
          <w:rFonts w:hint="default" w:ascii="Times New Roman" w:hAnsi="Times New Roman" w:eastAsia="宋体" w:cs="Times New Roman"/>
          <w:color w:val="auto"/>
          <w:sz w:val="24"/>
          <w:szCs w:val="24"/>
        </w:rPr>
        <w:t>巴中市生态环境局发布的</w:t>
      </w:r>
      <w:r>
        <w:rPr>
          <w:rFonts w:hint="eastAsia" w:ascii="Times New Roman" w:hAnsi="Times New Roman" w:eastAsia="宋体" w:cs="Times New Roman"/>
          <w:color w:val="auto"/>
          <w:kern w:val="0"/>
          <w:sz w:val="24"/>
          <w:szCs w:val="24"/>
          <w:lang w:val="en-US" w:eastAsia="zh-CN" w:bidi="ar-SA"/>
        </w:rPr>
        <w:t>《2021年巴中市生态环境状况公报》可知，区县环境空气质量状况：全市各区县优良天数比例均达到了90%以上，区县环境空气六项主要污染物年均浓度全部达标。</w:t>
      </w:r>
    </w:p>
    <w:p>
      <w:pPr>
        <w:adjustRightInd w:val="0"/>
        <w:snapToGrid w:val="0"/>
        <w:spacing w:line="360" w:lineRule="auto"/>
        <w:ind w:firstLine="480" w:firstLineChars="200"/>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因此，</w:t>
      </w:r>
      <w:r>
        <w:rPr>
          <w:rFonts w:ascii="Times New Roman" w:hAnsi="Times New Roman" w:eastAsia="宋体" w:cs="Times New Roman"/>
          <w:color w:val="auto"/>
          <w:kern w:val="0"/>
          <w:sz w:val="24"/>
          <w:szCs w:val="24"/>
          <w:lang w:val="en-US" w:eastAsia="zh-CN" w:bidi="ar-SA"/>
        </w:rPr>
        <w:t>判定</w:t>
      </w:r>
      <w:r>
        <w:rPr>
          <w:rFonts w:hint="eastAsia" w:ascii="Times New Roman" w:hAnsi="Times New Roman" w:eastAsia="宋体" w:cs="Times New Roman"/>
          <w:color w:val="auto"/>
          <w:kern w:val="0"/>
          <w:sz w:val="24"/>
          <w:szCs w:val="24"/>
          <w:lang w:val="en-US" w:eastAsia="zh-CN" w:bidi="ar-SA"/>
        </w:rPr>
        <w:t>巴中市</w:t>
      </w:r>
      <w:r>
        <w:rPr>
          <w:rFonts w:hint="eastAsia" w:cs="Times New Roman"/>
          <w:color w:val="auto"/>
          <w:kern w:val="0"/>
          <w:sz w:val="24"/>
          <w:szCs w:val="24"/>
          <w:lang w:val="en-US" w:eastAsia="zh-CN" w:bidi="ar-SA"/>
        </w:rPr>
        <w:t>恩阳区</w:t>
      </w:r>
      <w:r>
        <w:rPr>
          <w:rFonts w:ascii="Times New Roman" w:hAnsi="Times New Roman" w:eastAsia="宋体" w:cs="Times New Roman"/>
          <w:color w:val="auto"/>
          <w:kern w:val="0"/>
          <w:sz w:val="24"/>
          <w:szCs w:val="24"/>
          <w:lang w:val="en-US" w:eastAsia="zh-CN" w:bidi="ar-SA"/>
        </w:rPr>
        <w:t>环境空气质量状况达标，本项目所在区域为达标区。</w:t>
      </w:r>
    </w:p>
    <w:p>
      <w:pPr>
        <w:spacing w:line="360" w:lineRule="auto"/>
        <w:ind w:firstLine="480"/>
        <w:rPr>
          <w:color w:val="auto"/>
          <w:kern w:val="0"/>
          <w:sz w:val="24"/>
        </w:rPr>
      </w:pPr>
      <w:r>
        <w:rPr>
          <w:color w:val="auto"/>
          <w:kern w:val="0"/>
          <w:sz w:val="24"/>
        </w:rPr>
        <w:t>2、其他污染物环境质量现状</w:t>
      </w:r>
    </w:p>
    <w:p>
      <w:pPr>
        <w:spacing w:line="360" w:lineRule="auto"/>
        <w:ind w:firstLine="480" w:firstLineChars="200"/>
        <w:rPr>
          <w:color w:val="auto"/>
          <w:sz w:val="24"/>
        </w:rPr>
      </w:pPr>
      <w:r>
        <w:rPr>
          <w:color w:val="auto"/>
          <w:sz w:val="24"/>
        </w:rPr>
        <w:t>为了了解项目所在地的</w:t>
      </w:r>
      <w:r>
        <w:rPr>
          <w:rFonts w:hint="eastAsia"/>
          <w:color w:val="auto"/>
          <w:sz w:val="24"/>
          <w:lang w:val="en-US" w:eastAsia="zh-CN"/>
        </w:rPr>
        <w:t>硫化氢、氨、臭气浓度、TSP</w:t>
      </w:r>
      <w:r>
        <w:rPr>
          <w:rFonts w:hint="eastAsia"/>
          <w:color w:val="auto"/>
          <w:sz w:val="24"/>
        </w:rPr>
        <w:t>现状</w:t>
      </w:r>
      <w:r>
        <w:rPr>
          <w:color w:val="auto"/>
          <w:sz w:val="24"/>
        </w:rPr>
        <w:t>，建设单位委托</w:t>
      </w:r>
      <w:r>
        <w:rPr>
          <w:rFonts w:hint="eastAsia"/>
          <w:color w:val="auto"/>
          <w:sz w:val="24"/>
        </w:rPr>
        <w:t>四川海德汇环保科技有限公司</w:t>
      </w:r>
      <w:r>
        <w:rPr>
          <w:color w:val="auto"/>
          <w:sz w:val="24"/>
        </w:rPr>
        <w:t>对项目所在地</w:t>
      </w:r>
      <w:r>
        <w:rPr>
          <w:rFonts w:hint="eastAsia"/>
          <w:color w:val="auto"/>
          <w:sz w:val="24"/>
          <w:lang w:val="en-US" w:eastAsia="zh-CN"/>
        </w:rPr>
        <w:t>硫化氢、氨、臭气浓度</w:t>
      </w:r>
      <w:r>
        <w:rPr>
          <w:rFonts w:hint="eastAsia"/>
          <w:color w:val="auto"/>
          <w:sz w:val="24"/>
        </w:rPr>
        <w:t>进行了监测，</w:t>
      </w:r>
      <w:r>
        <w:rPr>
          <w:rFonts w:hint="eastAsia"/>
          <w:color w:val="auto"/>
          <w:sz w:val="24"/>
          <w:lang w:val="en-US" w:eastAsia="zh-CN"/>
        </w:rPr>
        <w:t>采样</w:t>
      </w:r>
      <w:r>
        <w:rPr>
          <w:rFonts w:hint="eastAsia"/>
          <w:color w:val="auto"/>
          <w:sz w:val="24"/>
        </w:rPr>
        <w:t>时间为</w:t>
      </w:r>
      <w:r>
        <w:rPr>
          <w:rFonts w:hint="eastAsia"/>
          <w:color w:val="auto"/>
          <w:sz w:val="24"/>
          <w:lang w:val="en-US" w:eastAsia="zh-CN"/>
        </w:rPr>
        <w:t>2023年1</w:t>
      </w:r>
      <w:r>
        <w:rPr>
          <w:rFonts w:hint="eastAsia"/>
          <w:color w:val="auto"/>
          <w:sz w:val="24"/>
        </w:rPr>
        <w:t>月</w:t>
      </w:r>
      <w:r>
        <w:rPr>
          <w:rFonts w:hint="eastAsia"/>
          <w:color w:val="auto"/>
          <w:sz w:val="24"/>
          <w:lang w:val="en-US" w:eastAsia="zh-CN"/>
        </w:rPr>
        <w:t>5</w:t>
      </w:r>
      <w:r>
        <w:rPr>
          <w:rFonts w:hint="eastAsia"/>
          <w:color w:val="auto"/>
          <w:sz w:val="24"/>
        </w:rPr>
        <w:t>日至</w:t>
      </w:r>
      <w:r>
        <w:rPr>
          <w:rFonts w:hint="eastAsia"/>
          <w:color w:val="auto"/>
          <w:sz w:val="24"/>
          <w:lang w:val="en-US" w:eastAsia="zh-CN"/>
        </w:rPr>
        <w:t>1</w:t>
      </w:r>
      <w:r>
        <w:rPr>
          <w:rFonts w:hint="eastAsia"/>
          <w:color w:val="auto"/>
          <w:sz w:val="24"/>
        </w:rPr>
        <w:t>月</w:t>
      </w:r>
      <w:r>
        <w:rPr>
          <w:rFonts w:hint="eastAsia"/>
          <w:color w:val="auto"/>
          <w:sz w:val="24"/>
          <w:lang w:val="en-US" w:eastAsia="zh-CN"/>
        </w:rPr>
        <w:t>11</w:t>
      </w:r>
      <w:r>
        <w:rPr>
          <w:rFonts w:hint="eastAsia"/>
          <w:color w:val="auto"/>
          <w:sz w:val="24"/>
        </w:rPr>
        <w:t>日</w:t>
      </w:r>
      <w:r>
        <w:rPr>
          <w:color w:val="auto"/>
          <w:sz w:val="24"/>
        </w:rPr>
        <w:t>。</w:t>
      </w:r>
    </w:p>
    <w:p>
      <w:pPr>
        <w:spacing w:line="360" w:lineRule="auto"/>
        <w:ind w:firstLine="480"/>
        <w:rPr>
          <w:b/>
          <w:bCs/>
          <w:color w:val="auto"/>
          <w:sz w:val="24"/>
        </w:rPr>
      </w:pPr>
      <w:r>
        <w:rPr>
          <w:b/>
          <w:bCs/>
          <w:color w:val="auto"/>
          <w:sz w:val="24"/>
        </w:rPr>
        <w:t>1、监测断面设置</w:t>
      </w:r>
    </w:p>
    <w:p>
      <w:pPr>
        <w:pStyle w:val="4"/>
        <w:spacing w:line="360" w:lineRule="auto"/>
        <w:ind w:left="840" w:firstLine="480" w:firstLineChars="200"/>
        <w:rPr>
          <w:rFonts w:ascii="Times New Roman"/>
          <w:color w:val="auto"/>
          <w:szCs w:val="24"/>
        </w:rPr>
      </w:pPr>
      <w:r>
        <w:rPr>
          <w:rFonts w:ascii="Times New Roman"/>
          <w:color w:val="auto"/>
        </w:rPr>
        <w:t>设置</w:t>
      </w:r>
      <w:r>
        <w:rPr>
          <w:rFonts w:hint="eastAsia" w:ascii="Times New Roman"/>
          <w:color w:val="auto"/>
          <w:lang w:val="en-US" w:eastAsia="zh-CN"/>
        </w:rPr>
        <w:t>2</w:t>
      </w:r>
      <w:r>
        <w:rPr>
          <w:rFonts w:ascii="Times New Roman"/>
          <w:color w:val="auto"/>
        </w:rPr>
        <w:t>个监测点，具体位置见表</w:t>
      </w:r>
      <w:r>
        <w:rPr>
          <w:rFonts w:hint="eastAsia" w:ascii="Times New Roman"/>
          <w:color w:val="auto"/>
          <w:lang w:val="en-US" w:eastAsia="zh-CN"/>
        </w:rPr>
        <w:t>4</w:t>
      </w:r>
      <w:r>
        <w:rPr>
          <w:rFonts w:hint="eastAsia" w:ascii="Times New Roman"/>
          <w:color w:val="auto"/>
        </w:rPr>
        <w:t>.3</w:t>
      </w:r>
      <w:r>
        <w:rPr>
          <w:rFonts w:ascii="Times New Roman"/>
          <w:color w:val="auto"/>
        </w:rPr>
        <w:t>-</w:t>
      </w:r>
      <w:r>
        <w:rPr>
          <w:rFonts w:hint="eastAsia" w:ascii="Times New Roman"/>
          <w:color w:val="auto"/>
          <w:lang w:val="en-US" w:eastAsia="zh-CN"/>
        </w:rPr>
        <w:t>4</w:t>
      </w:r>
      <w:r>
        <w:rPr>
          <w:rFonts w:ascii="Times New Roman"/>
          <w:color w:val="auto"/>
        </w:rPr>
        <w:t>，点位详见附图。</w:t>
      </w:r>
    </w:p>
    <w:p>
      <w:pPr>
        <w:pStyle w:val="4"/>
        <w:ind w:left="1260" w:hanging="420"/>
        <w:jc w:val="center"/>
        <w:rPr>
          <w:rFonts w:ascii="Times New Roman" w:eastAsia="黑体"/>
          <w:color w:val="auto"/>
          <w:sz w:val="21"/>
          <w:szCs w:val="21"/>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lang w:val="en-US" w:eastAsia="zh-CN"/>
        </w:rPr>
        <w:t>4</w:t>
      </w:r>
      <w:r>
        <w:rPr>
          <w:rFonts w:ascii="Times New Roman" w:eastAsia="黑体"/>
          <w:color w:val="auto"/>
          <w:sz w:val="21"/>
          <w:szCs w:val="21"/>
        </w:rPr>
        <w:t xml:space="preserve">  </w:t>
      </w:r>
      <w:r>
        <w:rPr>
          <w:rFonts w:hint="eastAsia" w:ascii="Times New Roman" w:eastAsia="黑体"/>
          <w:color w:val="auto"/>
          <w:sz w:val="21"/>
          <w:szCs w:val="21"/>
          <w:lang w:val="en-US" w:eastAsia="zh-CN"/>
        </w:rPr>
        <w:t>环境空气质量</w:t>
      </w:r>
      <w:r>
        <w:rPr>
          <w:rFonts w:ascii="Times New Roman" w:eastAsia="黑体"/>
          <w:color w:val="auto"/>
          <w:sz w:val="21"/>
          <w:szCs w:val="21"/>
        </w:rPr>
        <w:t>现状监测点布设表</w:t>
      </w:r>
    </w:p>
    <w:tbl>
      <w:tblPr>
        <w:tblStyle w:val="89"/>
        <w:tblW w:w="7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5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rPr>
              <w:t>编号</w:t>
            </w:r>
          </w:p>
        </w:tc>
        <w:tc>
          <w:tcPr>
            <w:tcW w:w="535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0" w:lineRule="atLeast"/>
              <w:ind w:left="0" w:right="0"/>
              <w:jc w:val="center"/>
              <w:rPr>
                <w:rFonts w:hint="default" w:eastAsia="宋体"/>
                <w:color w:val="auto"/>
                <w:szCs w:val="21"/>
                <w:lang w:val="en-US" w:eastAsia="zh-CN"/>
              </w:rPr>
            </w:pPr>
            <w:r>
              <w:rPr>
                <w:rFonts w:hint="eastAsia"/>
                <w:color w:val="auto"/>
                <w:lang w:val="en-US" w:eastAsia="zh-CN"/>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0" w:lineRule="atLeast"/>
              <w:ind w:left="0" w:right="0"/>
              <w:jc w:val="center"/>
              <w:rPr>
                <w:rFonts w:hint="default"/>
                <w:color w:val="auto"/>
                <w:szCs w:val="21"/>
              </w:rPr>
            </w:pPr>
            <w:r>
              <w:rPr>
                <w:rFonts w:hint="default"/>
                <w:color w:val="auto"/>
              </w:rPr>
              <w:t>1#</w:t>
            </w:r>
          </w:p>
        </w:tc>
        <w:tc>
          <w:tcPr>
            <w:tcW w:w="535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lang w:val="en-US" w:eastAsia="zh-CN"/>
              </w:rPr>
            </w:pPr>
            <w:r>
              <w:rPr>
                <w:rFonts w:hint="default" w:ascii="Times New Roman" w:hAnsi="Times New Roman" w:eastAsia="宋体" w:cs="Times New Roman"/>
                <w:i w:val="0"/>
                <w:iCs w:val="0"/>
                <w:color w:val="auto"/>
                <w:sz w:val="21"/>
                <w:szCs w:val="21"/>
              </w:rPr>
              <w:t>场地内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0" w:lineRule="atLeast"/>
              <w:ind w:left="0" w:right="0"/>
              <w:jc w:val="center"/>
              <w:rPr>
                <w:rFonts w:hint="default" w:eastAsia="宋体"/>
                <w:color w:val="auto"/>
                <w:lang w:val="en-US" w:eastAsia="zh-CN"/>
              </w:rPr>
            </w:pPr>
            <w:r>
              <w:rPr>
                <w:rFonts w:hint="eastAsia"/>
                <w:color w:val="auto"/>
                <w:lang w:val="en-US" w:eastAsia="zh-CN"/>
              </w:rPr>
              <w:t>2#</w:t>
            </w:r>
          </w:p>
        </w:tc>
        <w:tc>
          <w:tcPr>
            <w:tcW w:w="535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color w:val="auto"/>
                <w:szCs w:val="21"/>
                <w:lang w:val="en-US" w:eastAsia="zh-CN"/>
              </w:rPr>
            </w:pPr>
            <w:r>
              <w:rPr>
                <w:rFonts w:hint="eastAsia"/>
                <w:color w:val="auto"/>
                <w:lang w:val="en-US" w:eastAsia="zh-CN"/>
              </w:rPr>
              <w:t>项目下风向</w:t>
            </w:r>
          </w:p>
        </w:tc>
      </w:tr>
    </w:tbl>
    <w:p>
      <w:pPr>
        <w:spacing w:line="360" w:lineRule="auto"/>
        <w:ind w:firstLine="480"/>
        <w:rPr>
          <w:b/>
          <w:bCs/>
          <w:color w:val="auto"/>
          <w:sz w:val="24"/>
        </w:rPr>
      </w:pPr>
      <w:r>
        <w:rPr>
          <w:b/>
          <w:bCs/>
          <w:color w:val="auto"/>
          <w:sz w:val="24"/>
        </w:rPr>
        <w:t>2、监测因子</w:t>
      </w:r>
    </w:p>
    <w:p>
      <w:pPr>
        <w:spacing w:line="360" w:lineRule="auto"/>
        <w:ind w:firstLine="525"/>
        <w:rPr>
          <w:color w:val="auto"/>
          <w:sz w:val="24"/>
        </w:rPr>
      </w:pPr>
      <w:r>
        <w:rPr>
          <w:color w:val="auto"/>
          <w:sz w:val="24"/>
        </w:rPr>
        <w:t>监测因子为：</w:t>
      </w:r>
      <w:r>
        <w:rPr>
          <w:rFonts w:hint="eastAsia"/>
          <w:color w:val="auto"/>
          <w:sz w:val="24"/>
          <w:lang w:val="en-US" w:eastAsia="zh-CN"/>
        </w:rPr>
        <w:t>硫化氢、氨、臭气浓度、TSP</w:t>
      </w:r>
      <w:r>
        <w:rPr>
          <w:color w:val="auto"/>
          <w:sz w:val="24"/>
        </w:rPr>
        <w:t>。</w:t>
      </w:r>
    </w:p>
    <w:p>
      <w:pPr>
        <w:spacing w:line="360" w:lineRule="auto"/>
        <w:ind w:firstLine="480"/>
        <w:rPr>
          <w:b/>
          <w:bCs/>
          <w:color w:val="auto"/>
          <w:sz w:val="24"/>
        </w:rPr>
      </w:pPr>
      <w:r>
        <w:rPr>
          <w:b/>
          <w:bCs/>
          <w:color w:val="auto"/>
          <w:sz w:val="24"/>
        </w:rPr>
        <w:t>3、采样时间、频率</w:t>
      </w:r>
    </w:p>
    <w:p>
      <w:pPr>
        <w:spacing w:line="360" w:lineRule="auto"/>
        <w:ind w:firstLine="480" w:firstLineChars="200"/>
        <w:rPr>
          <w:color w:val="auto"/>
          <w:sz w:val="24"/>
        </w:rPr>
      </w:pPr>
      <w:r>
        <w:rPr>
          <w:color w:val="auto"/>
          <w:sz w:val="24"/>
        </w:rPr>
        <w:t>采样时间为</w:t>
      </w:r>
      <w:r>
        <w:rPr>
          <w:rFonts w:hint="eastAsia"/>
          <w:color w:val="auto"/>
          <w:sz w:val="24"/>
          <w:lang w:val="en-US" w:eastAsia="zh-CN"/>
        </w:rPr>
        <w:t>2023年1</w:t>
      </w:r>
      <w:r>
        <w:rPr>
          <w:rFonts w:hint="eastAsia"/>
          <w:color w:val="auto"/>
          <w:sz w:val="24"/>
        </w:rPr>
        <w:t>月</w:t>
      </w:r>
      <w:r>
        <w:rPr>
          <w:rFonts w:hint="eastAsia"/>
          <w:color w:val="auto"/>
          <w:sz w:val="24"/>
          <w:lang w:val="en-US" w:eastAsia="zh-CN"/>
        </w:rPr>
        <w:t>5</w:t>
      </w:r>
      <w:r>
        <w:rPr>
          <w:rFonts w:hint="eastAsia"/>
          <w:color w:val="auto"/>
          <w:sz w:val="24"/>
        </w:rPr>
        <w:t>日至</w:t>
      </w:r>
      <w:r>
        <w:rPr>
          <w:rFonts w:hint="eastAsia"/>
          <w:color w:val="auto"/>
          <w:sz w:val="24"/>
          <w:lang w:val="en-US" w:eastAsia="zh-CN"/>
        </w:rPr>
        <w:t>1</w:t>
      </w:r>
      <w:r>
        <w:rPr>
          <w:rFonts w:hint="eastAsia"/>
          <w:color w:val="auto"/>
          <w:sz w:val="24"/>
        </w:rPr>
        <w:t>月</w:t>
      </w:r>
      <w:r>
        <w:rPr>
          <w:rFonts w:hint="eastAsia"/>
          <w:color w:val="auto"/>
          <w:sz w:val="24"/>
          <w:lang w:val="en-US" w:eastAsia="zh-CN"/>
        </w:rPr>
        <w:t>11</w:t>
      </w:r>
      <w:r>
        <w:rPr>
          <w:rFonts w:hint="eastAsia"/>
          <w:color w:val="auto"/>
          <w:sz w:val="24"/>
        </w:rPr>
        <w:t>日</w:t>
      </w:r>
      <w:r>
        <w:rPr>
          <w:color w:val="auto"/>
          <w:sz w:val="24"/>
        </w:rPr>
        <w:t>，监测频率为监测</w:t>
      </w:r>
      <w:r>
        <w:rPr>
          <w:rFonts w:hint="eastAsia"/>
          <w:color w:val="auto"/>
          <w:sz w:val="24"/>
          <w:lang w:val="en-US" w:eastAsia="zh-CN"/>
        </w:rPr>
        <w:t>7</w:t>
      </w:r>
      <w:r>
        <w:rPr>
          <w:color w:val="auto"/>
          <w:sz w:val="24"/>
        </w:rPr>
        <w:t>天，每天采样</w:t>
      </w:r>
      <w:r>
        <w:rPr>
          <w:rFonts w:hint="eastAsia"/>
          <w:color w:val="auto"/>
          <w:sz w:val="24"/>
          <w:lang w:val="en-US" w:eastAsia="zh-CN"/>
        </w:rPr>
        <w:t>4</w:t>
      </w:r>
      <w:r>
        <w:rPr>
          <w:color w:val="auto"/>
          <w:sz w:val="24"/>
        </w:rPr>
        <w:t>次。</w:t>
      </w:r>
    </w:p>
    <w:p>
      <w:pPr>
        <w:spacing w:before="120" w:beforeLines="50" w:line="360" w:lineRule="auto"/>
        <w:ind w:firstLine="482"/>
        <w:rPr>
          <w:b/>
          <w:bCs/>
          <w:color w:val="auto"/>
          <w:sz w:val="24"/>
        </w:rPr>
      </w:pPr>
      <w:r>
        <w:rPr>
          <w:b/>
          <w:bCs/>
          <w:color w:val="auto"/>
          <w:sz w:val="24"/>
        </w:rPr>
        <w:t>4、评价标准</w:t>
      </w:r>
    </w:p>
    <w:p>
      <w:pPr>
        <w:spacing w:line="360" w:lineRule="auto"/>
        <w:ind w:firstLine="480"/>
        <w:rPr>
          <w:color w:val="auto"/>
          <w:kern w:val="0"/>
          <w:sz w:val="24"/>
        </w:rPr>
      </w:pPr>
      <w:r>
        <w:rPr>
          <w:color w:val="auto"/>
          <w:kern w:val="0"/>
          <w:sz w:val="24"/>
        </w:rPr>
        <w:t>氨和硫化氢执行《环境影响评价技术导则大气环境》（HJ2.2-2018）附录D其他污染物空气质量浓度参考限值中的标准。</w:t>
      </w:r>
      <w:r>
        <w:rPr>
          <w:rFonts w:hint="eastAsia"/>
          <w:color w:val="auto"/>
          <w:kern w:val="0"/>
          <w:sz w:val="24"/>
          <w:lang w:val="en-US" w:eastAsia="zh-CN"/>
        </w:rPr>
        <w:t>TSP</w:t>
      </w:r>
      <w:r>
        <w:rPr>
          <w:color w:val="auto"/>
          <w:kern w:val="0"/>
          <w:sz w:val="24"/>
        </w:rPr>
        <w:t>执行</w:t>
      </w:r>
      <w:r>
        <w:rPr>
          <w:rFonts w:hint="eastAsia"/>
          <w:color w:val="auto"/>
          <w:sz w:val="24"/>
        </w:rPr>
        <w:t>《环境空气质量标准》（GB3095-2012）中二级标准</w:t>
      </w:r>
    </w:p>
    <w:p>
      <w:pPr>
        <w:spacing w:line="360" w:lineRule="auto"/>
        <w:ind w:firstLine="525"/>
        <w:rPr>
          <w:b/>
          <w:bCs/>
          <w:color w:val="auto"/>
          <w:sz w:val="24"/>
        </w:rPr>
      </w:pPr>
      <w:r>
        <w:rPr>
          <w:b/>
          <w:bCs/>
          <w:color w:val="auto"/>
          <w:sz w:val="24"/>
        </w:rPr>
        <w:t>5、评价方法</w:t>
      </w:r>
    </w:p>
    <w:p>
      <w:pPr>
        <w:spacing w:line="360" w:lineRule="auto"/>
        <w:ind w:firstLine="480"/>
        <w:rPr>
          <w:color w:val="auto"/>
          <w:kern w:val="0"/>
          <w:sz w:val="24"/>
        </w:rPr>
      </w:pPr>
      <w:r>
        <w:rPr>
          <w:color w:val="auto"/>
          <w:kern w:val="0"/>
          <w:sz w:val="24"/>
        </w:rPr>
        <w:t>通过计算各污染因子最大浓度占标率以判断环境空气质量达标情况，最大浓度占标率定义公式为：</w:t>
      </w:r>
    </w:p>
    <w:p>
      <w:pPr>
        <w:spacing w:line="360" w:lineRule="auto"/>
        <w:ind w:firstLine="480"/>
        <w:jc w:val="center"/>
        <w:rPr>
          <w:color w:val="auto"/>
          <w:kern w:val="0"/>
          <w:sz w:val="24"/>
        </w:rPr>
      </w:pPr>
      <w:r>
        <w:rPr>
          <w:color w:val="auto"/>
        </w:rPr>
        <w:drawing>
          <wp:inline distT="0" distB="0" distL="0" distR="0">
            <wp:extent cx="1121410" cy="485140"/>
            <wp:effectExtent l="0" t="0" r="2540" b="10160"/>
            <wp:docPr id="2" name="图片 2" descr="C:\Users\ADMINI~1\AppData\Local\Temp\ksohtml1012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10120\wps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21410" cy="485140"/>
                    </a:xfrm>
                    <a:prstGeom prst="rect">
                      <a:avLst/>
                    </a:prstGeom>
                    <a:noFill/>
                    <a:ln>
                      <a:noFill/>
                    </a:ln>
                  </pic:spPr>
                </pic:pic>
              </a:graphicData>
            </a:graphic>
          </wp:inline>
        </w:drawing>
      </w:r>
    </w:p>
    <w:p>
      <w:pPr>
        <w:spacing w:line="360" w:lineRule="auto"/>
        <w:ind w:firstLine="480"/>
        <w:rPr>
          <w:color w:val="auto"/>
          <w:kern w:val="0"/>
          <w:sz w:val="24"/>
        </w:rPr>
      </w:pPr>
      <w:r>
        <w:rPr>
          <w:color w:val="auto"/>
          <w:kern w:val="0"/>
          <w:sz w:val="24"/>
        </w:rPr>
        <w:t>式中：P</w:t>
      </w:r>
      <w:r>
        <w:rPr>
          <w:color w:val="auto"/>
          <w:kern w:val="0"/>
          <w:sz w:val="24"/>
          <w:vertAlign w:val="subscript"/>
        </w:rPr>
        <w:t>i</w:t>
      </w:r>
      <w:r>
        <w:rPr>
          <w:color w:val="auto"/>
          <w:kern w:val="0"/>
          <w:sz w:val="24"/>
        </w:rPr>
        <w:t>---最大浓度占标率；</w:t>
      </w:r>
    </w:p>
    <w:p>
      <w:pPr>
        <w:spacing w:line="360" w:lineRule="auto"/>
        <w:ind w:firstLine="480"/>
        <w:rPr>
          <w:color w:val="auto"/>
          <w:kern w:val="0"/>
          <w:sz w:val="24"/>
        </w:rPr>
      </w:pPr>
      <w:r>
        <w:rPr>
          <w:color w:val="auto"/>
          <w:kern w:val="0"/>
          <w:sz w:val="24"/>
        </w:rPr>
        <w:t>C</w:t>
      </w:r>
      <w:r>
        <w:rPr>
          <w:color w:val="auto"/>
          <w:kern w:val="0"/>
          <w:sz w:val="24"/>
          <w:vertAlign w:val="subscript"/>
        </w:rPr>
        <w:t>i</w:t>
      </w:r>
      <w:r>
        <w:rPr>
          <w:color w:val="auto"/>
          <w:kern w:val="0"/>
          <w:sz w:val="24"/>
        </w:rPr>
        <w:t>---污染物的最大监测浓度，μg/m</w:t>
      </w:r>
      <w:r>
        <w:rPr>
          <w:color w:val="auto"/>
          <w:kern w:val="0"/>
          <w:sz w:val="24"/>
          <w:vertAlign w:val="superscript"/>
        </w:rPr>
        <w:t>3</w:t>
      </w:r>
      <w:r>
        <w:rPr>
          <w:color w:val="auto"/>
          <w:kern w:val="0"/>
          <w:sz w:val="24"/>
        </w:rPr>
        <w:t>；</w:t>
      </w:r>
    </w:p>
    <w:p>
      <w:pPr>
        <w:spacing w:line="360" w:lineRule="auto"/>
        <w:ind w:firstLine="480"/>
        <w:rPr>
          <w:color w:val="auto"/>
          <w:kern w:val="0"/>
          <w:sz w:val="24"/>
        </w:rPr>
      </w:pPr>
      <w:r>
        <w:rPr>
          <w:color w:val="auto"/>
          <w:kern w:val="0"/>
          <w:sz w:val="24"/>
        </w:rPr>
        <w:t>C</w:t>
      </w:r>
      <w:r>
        <w:rPr>
          <w:color w:val="auto"/>
          <w:kern w:val="0"/>
          <w:sz w:val="24"/>
          <w:vertAlign w:val="subscript"/>
        </w:rPr>
        <w:t>oi</w:t>
      </w:r>
      <w:r>
        <w:rPr>
          <w:color w:val="auto"/>
          <w:kern w:val="0"/>
          <w:sz w:val="24"/>
        </w:rPr>
        <w:t>---污染物的环境空气质量标准，μg/m</w:t>
      </w:r>
      <w:r>
        <w:rPr>
          <w:color w:val="auto"/>
          <w:kern w:val="0"/>
          <w:sz w:val="24"/>
          <w:vertAlign w:val="superscript"/>
        </w:rPr>
        <w:t>3</w:t>
      </w:r>
      <w:r>
        <w:rPr>
          <w:color w:val="auto"/>
          <w:kern w:val="0"/>
          <w:sz w:val="24"/>
        </w:rPr>
        <w:t>；</w:t>
      </w:r>
    </w:p>
    <w:p>
      <w:pPr>
        <w:spacing w:line="360" w:lineRule="auto"/>
        <w:ind w:firstLine="480"/>
        <w:rPr>
          <w:b/>
          <w:bCs/>
          <w:color w:val="auto"/>
          <w:sz w:val="24"/>
        </w:rPr>
      </w:pPr>
      <w:r>
        <w:rPr>
          <w:b/>
          <w:bCs/>
          <w:color w:val="auto"/>
          <w:sz w:val="24"/>
        </w:rPr>
        <w:t>6、监测结果与分析</w:t>
      </w:r>
    </w:p>
    <w:p>
      <w:pPr>
        <w:pStyle w:val="4"/>
        <w:ind w:left="840" w:hanging="420"/>
        <w:jc w:val="center"/>
        <w:rPr>
          <w:rFonts w:ascii="Times New Roman" w:eastAsia="黑体"/>
          <w:color w:val="auto"/>
          <w:sz w:val="21"/>
          <w:szCs w:val="21"/>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lang w:val="en-US" w:eastAsia="zh-CN"/>
        </w:rPr>
        <w:t xml:space="preserve">5 </w:t>
      </w:r>
      <w:r>
        <w:rPr>
          <w:rFonts w:ascii="Times New Roman" w:eastAsia="黑体"/>
          <w:color w:val="auto"/>
          <w:sz w:val="21"/>
          <w:szCs w:val="21"/>
        </w:rPr>
        <w:t xml:space="preserve"> </w:t>
      </w:r>
      <w:r>
        <w:rPr>
          <w:rFonts w:hint="eastAsia" w:ascii="Times New Roman" w:eastAsia="黑体"/>
          <w:color w:val="auto"/>
          <w:sz w:val="21"/>
          <w:szCs w:val="21"/>
          <w:lang w:val="en-US" w:eastAsia="zh-CN"/>
        </w:rPr>
        <w:t>环境空气</w:t>
      </w:r>
      <w:r>
        <w:rPr>
          <w:rFonts w:ascii="Times New Roman" w:eastAsia="黑体"/>
          <w:color w:val="auto"/>
          <w:sz w:val="21"/>
          <w:szCs w:val="21"/>
        </w:rPr>
        <w:t>其他污染物环境质量现状监测结果表</w:t>
      </w:r>
    </w:p>
    <w:tbl>
      <w:tblPr>
        <w:tblStyle w:val="90"/>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093"/>
        <w:gridCol w:w="1365"/>
        <w:gridCol w:w="975"/>
        <w:gridCol w:w="1373"/>
        <w:gridCol w:w="1310"/>
        <w:gridCol w:w="941"/>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3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r>
              <w:rPr>
                <w:rFonts w:hint="default"/>
                <w:b/>
                <w:bCs/>
                <w:color w:val="auto"/>
              </w:rPr>
              <w:t>监测点位</w:t>
            </w:r>
          </w:p>
        </w:tc>
        <w:tc>
          <w:tcPr>
            <w:tcW w:w="109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r>
              <w:rPr>
                <w:rFonts w:hint="default"/>
                <w:b/>
                <w:bCs/>
                <w:color w:val="auto"/>
              </w:rPr>
              <w:t>污染物</w:t>
            </w:r>
          </w:p>
        </w:tc>
        <w:tc>
          <w:tcPr>
            <w:tcW w:w="136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r>
              <w:rPr>
                <w:rFonts w:hint="default"/>
                <w:b/>
                <w:bCs/>
                <w:color w:val="auto"/>
              </w:rPr>
              <w:t>平均时间</w:t>
            </w:r>
          </w:p>
        </w:tc>
        <w:tc>
          <w:tcPr>
            <w:tcW w:w="97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r>
              <w:rPr>
                <w:rFonts w:hint="default"/>
                <w:b/>
                <w:bCs/>
                <w:color w:val="auto"/>
              </w:rPr>
              <w:t>评价标准（μg/m</w:t>
            </w:r>
            <w:r>
              <w:rPr>
                <w:rFonts w:hint="default"/>
                <w:b/>
                <w:bCs/>
                <w:color w:val="auto"/>
                <w:vertAlign w:val="superscript"/>
              </w:rPr>
              <w:t>3</w:t>
            </w:r>
            <w:r>
              <w:rPr>
                <w:rFonts w:hint="default"/>
                <w:b/>
                <w:bCs/>
                <w:color w:val="auto"/>
              </w:rPr>
              <w:t>）</w:t>
            </w:r>
          </w:p>
        </w:tc>
        <w:tc>
          <w:tcPr>
            <w:tcW w:w="137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r>
              <w:rPr>
                <w:rFonts w:hint="default"/>
                <w:b/>
                <w:bCs/>
                <w:color w:val="auto"/>
              </w:rPr>
              <w:t>监测浓度范围/（μg/m</w:t>
            </w:r>
            <w:r>
              <w:rPr>
                <w:rFonts w:hint="default"/>
                <w:b/>
                <w:bCs/>
                <w:color w:val="auto"/>
                <w:vertAlign w:val="superscript"/>
              </w:rPr>
              <w:t>3</w:t>
            </w:r>
            <w:r>
              <w:rPr>
                <w:rFonts w:hint="default"/>
                <w:b/>
                <w:bCs/>
                <w:color w:val="auto"/>
              </w:rPr>
              <w:t>）</w:t>
            </w:r>
          </w:p>
        </w:tc>
        <w:tc>
          <w:tcPr>
            <w:tcW w:w="131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r>
              <w:rPr>
                <w:rFonts w:hint="default"/>
                <w:b/>
                <w:bCs/>
                <w:color w:val="auto"/>
              </w:rPr>
              <w:t>最大浓度占标率/%</w:t>
            </w:r>
          </w:p>
        </w:tc>
        <w:tc>
          <w:tcPr>
            <w:tcW w:w="941"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r>
              <w:rPr>
                <w:rFonts w:hint="default"/>
                <w:b/>
                <w:bCs/>
                <w:color w:val="auto"/>
              </w:rPr>
              <w:t>超标率/%</w:t>
            </w:r>
          </w:p>
        </w:tc>
        <w:tc>
          <w:tcPr>
            <w:tcW w:w="85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r>
              <w:rPr>
                <w:rFonts w:hint="default"/>
                <w:b/>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p>
        </w:tc>
        <w:tc>
          <w:tcPr>
            <w:tcW w:w="109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p>
        </w:tc>
        <w:tc>
          <w:tcPr>
            <w:tcW w:w="136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p>
        </w:tc>
        <w:tc>
          <w:tcPr>
            <w:tcW w:w="97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p>
        </w:tc>
        <w:tc>
          <w:tcPr>
            <w:tcW w:w="137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p>
        </w:tc>
        <w:tc>
          <w:tcPr>
            <w:tcW w:w="131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p>
        </w:tc>
        <w:tc>
          <w:tcPr>
            <w:tcW w:w="94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p>
        </w:tc>
        <w:tc>
          <w:tcPr>
            <w:tcW w:w="85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4" w:type="dxa"/>
            <w:vMerge w:val="restart"/>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eastAsia" w:ascii="Times New Roman" w:hAnsi="Times New Roman" w:eastAsia="宋体" w:cs="Times New Roman"/>
                <w:bCs/>
                <w:color w:val="auto"/>
                <w:kern w:val="2"/>
                <w:sz w:val="21"/>
                <w:szCs w:val="24"/>
                <w:lang w:eastAsia="zh-CN"/>
              </w:rPr>
            </w:pPr>
            <w:r>
              <w:rPr>
                <w:rFonts w:hint="eastAsia" w:ascii="Times New Roman" w:hAnsi="Times New Roman" w:eastAsia="宋体" w:cs="Times New Roman"/>
                <w:bCs/>
                <w:color w:val="auto"/>
                <w:kern w:val="2"/>
                <w:sz w:val="21"/>
                <w:szCs w:val="24"/>
              </w:rPr>
              <w:t>1#场地内</w:t>
            </w:r>
          </w:p>
        </w:tc>
        <w:tc>
          <w:tcPr>
            <w:tcW w:w="109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氨</w:t>
            </w:r>
          </w:p>
        </w:tc>
        <w:tc>
          <w:tcPr>
            <w:tcW w:w="13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1h平均</w:t>
            </w:r>
          </w:p>
        </w:tc>
        <w:tc>
          <w:tcPr>
            <w:tcW w:w="97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200</w:t>
            </w:r>
          </w:p>
        </w:tc>
        <w:tc>
          <w:tcPr>
            <w:tcW w:w="137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cs="Times New Roman"/>
                <w:bCs/>
                <w:color w:val="auto"/>
                <w:kern w:val="2"/>
                <w:sz w:val="21"/>
                <w:szCs w:val="24"/>
                <w:lang w:val="en-US" w:eastAsia="zh-CN"/>
              </w:rPr>
              <w:t>60</w:t>
            </w:r>
            <w:r>
              <w:rPr>
                <w:rFonts w:hint="default" w:ascii="Times New Roman" w:hAnsi="Times New Roman" w:eastAsia="宋体" w:cs="Times New Roman"/>
                <w:bCs/>
                <w:color w:val="auto"/>
                <w:kern w:val="2"/>
                <w:sz w:val="21"/>
                <w:szCs w:val="24"/>
              </w:rPr>
              <w:t>~</w:t>
            </w:r>
            <w:r>
              <w:rPr>
                <w:rFonts w:hint="eastAsia" w:cs="Times New Roman"/>
                <w:bCs/>
                <w:color w:val="auto"/>
                <w:kern w:val="2"/>
                <w:sz w:val="21"/>
                <w:szCs w:val="24"/>
                <w:lang w:val="en-US" w:eastAsia="zh-CN"/>
              </w:rPr>
              <w:t>90</w:t>
            </w:r>
          </w:p>
        </w:tc>
        <w:tc>
          <w:tcPr>
            <w:tcW w:w="1310"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cs="Times New Roman"/>
                <w:bCs/>
                <w:color w:val="auto"/>
                <w:kern w:val="2"/>
                <w:sz w:val="21"/>
                <w:szCs w:val="24"/>
                <w:lang w:val="en-US" w:eastAsia="zh-CN"/>
              </w:rPr>
              <w:t>45</w:t>
            </w:r>
          </w:p>
        </w:tc>
        <w:tc>
          <w:tcPr>
            <w:tcW w:w="941"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0</w:t>
            </w:r>
          </w:p>
        </w:tc>
        <w:tc>
          <w:tcPr>
            <w:tcW w:w="8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Cs/>
                <w:color w:val="auto"/>
              </w:rPr>
            </w:pPr>
            <w:r>
              <w:rPr>
                <w:rFonts w:hint="default"/>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4" w:type="dxa"/>
            <w:vMerge w:val="continue"/>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p>
        </w:tc>
        <w:tc>
          <w:tcPr>
            <w:tcW w:w="109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硫化氢</w:t>
            </w:r>
          </w:p>
        </w:tc>
        <w:tc>
          <w:tcPr>
            <w:tcW w:w="13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1h平均</w:t>
            </w:r>
          </w:p>
        </w:tc>
        <w:tc>
          <w:tcPr>
            <w:tcW w:w="97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10</w:t>
            </w:r>
          </w:p>
        </w:tc>
        <w:tc>
          <w:tcPr>
            <w:tcW w:w="137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w:t>
            </w:r>
            <w:r>
              <w:rPr>
                <w:rFonts w:hint="eastAsia" w:ascii="Times New Roman" w:hAnsi="Times New Roman" w:eastAsia="宋体" w:cs="Times New Roman"/>
                <w:bCs/>
                <w:color w:val="auto"/>
                <w:kern w:val="2"/>
                <w:sz w:val="21"/>
                <w:szCs w:val="24"/>
                <w:lang w:val="en-US" w:eastAsia="zh-CN"/>
              </w:rPr>
              <w:t>0.2</w:t>
            </w:r>
          </w:p>
        </w:tc>
        <w:tc>
          <w:tcPr>
            <w:tcW w:w="1310"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eastAsia" w:ascii="Times New Roman" w:hAnsi="Times New Roman" w:eastAsia="宋体" w:cs="Times New Roman"/>
                <w:bCs/>
                <w:color w:val="auto"/>
                <w:kern w:val="2"/>
                <w:sz w:val="21"/>
                <w:szCs w:val="24"/>
                <w:lang w:val="en-US" w:eastAsia="zh-CN"/>
              </w:rPr>
            </w:pPr>
            <w:r>
              <w:rPr>
                <w:rFonts w:hint="eastAsia" w:cs="Times New Roman"/>
                <w:bCs/>
                <w:color w:val="auto"/>
                <w:kern w:val="2"/>
                <w:sz w:val="21"/>
                <w:szCs w:val="24"/>
                <w:lang w:val="en-US" w:eastAsia="zh-CN"/>
              </w:rPr>
              <w:t>/</w:t>
            </w:r>
          </w:p>
        </w:tc>
        <w:tc>
          <w:tcPr>
            <w:tcW w:w="941"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eastAsia" w:ascii="Times New Roman" w:hAnsi="Times New Roman" w:eastAsia="宋体" w:cs="Times New Roman"/>
                <w:bCs/>
                <w:color w:val="auto"/>
                <w:kern w:val="2"/>
                <w:sz w:val="21"/>
                <w:szCs w:val="24"/>
              </w:rPr>
              <w:t>0</w:t>
            </w:r>
          </w:p>
        </w:tc>
        <w:tc>
          <w:tcPr>
            <w:tcW w:w="8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Cs/>
                <w:color w:val="auto"/>
              </w:rPr>
            </w:pPr>
            <w:r>
              <w:rPr>
                <w:rFonts w:hint="default"/>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034" w:type="dxa"/>
            <w:vMerge w:val="continue"/>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p>
        </w:tc>
        <w:tc>
          <w:tcPr>
            <w:tcW w:w="109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ascii="Times New Roman" w:hAnsi="Times New Roman" w:eastAsia="宋体" w:cs="Times New Roman"/>
                <w:bCs/>
                <w:color w:val="auto"/>
                <w:kern w:val="2"/>
                <w:sz w:val="21"/>
                <w:szCs w:val="24"/>
                <w:lang w:val="en-US" w:eastAsia="zh-CN"/>
              </w:rPr>
              <w:t>TSP</w:t>
            </w:r>
          </w:p>
        </w:tc>
        <w:tc>
          <w:tcPr>
            <w:tcW w:w="13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eastAsia" w:ascii="Times New Roman" w:hAnsi="Times New Roman" w:eastAsia="宋体" w:cs="Times New Roman"/>
                <w:bCs/>
                <w:color w:val="auto"/>
                <w:kern w:val="2"/>
                <w:sz w:val="21"/>
                <w:szCs w:val="24"/>
              </w:rPr>
              <w:t>24小时平均</w:t>
            </w:r>
          </w:p>
        </w:tc>
        <w:tc>
          <w:tcPr>
            <w:tcW w:w="97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ascii="Times New Roman" w:hAnsi="Times New Roman" w:eastAsia="宋体" w:cs="Times New Roman"/>
                <w:bCs/>
                <w:color w:val="auto"/>
                <w:kern w:val="2"/>
                <w:sz w:val="21"/>
                <w:szCs w:val="24"/>
                <w:lang w:val="en-US" w:eastAsia="zh-CN"/>
              </w:rPr>
              <w:t>300</w:t>
            </w:r>
          </w:p>
        </w:tc>
        <w:tc>
          <w:tcPr>
            <w:tcW w:w="137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ascii="Times New Roman" w:hAnsi="Times New Roman" w:eastAsia="宋体" w:cs="Times New Roman"/>
                <w:bCs/>
                <w:color w:val="auto"/>
                <w:kern w:val="2"/>
                <w:sz w:val="21"/>
                <w:szCs w:val="24"/>
                <w:lang w:val="en-US" w:eastAsia="zh-CN"/>
              </w:rPr>
              <w:t>1</w:t>
            </w:r>
            <w:r>
              <w:rPr>
                <w:rFonts w:hint="eastAsia" w:cs="Times New Roman"/>
                <w:bCs/>
                <w:color w:val="auto"/>
                <w:kern w:val="2"/>
                <w:sz w:val="21"/>
                <w:szCs w:val="24"/>
                <w:lang w:val="en-US" w:eastAsia="zh-CN"/>
              </w:rPr>
              <w:t>27</w:t>
            </w:r>
            <w:r>
              <w:rPr>
                <w:rFonts w:hint="default" w:ascii="Times New Roman" w:hAnsi="Times New Roman" w:eastAsia="宋体" w:cs="Times New Roman"/>
                <w:bCs/>
                <w:color w:val="auto"/>
                <w:kern w:val="2"/>
                <w:sz w:val="21"/>
                <w:szCs w:val="24"/>
              </w:rPr>
              <w:t>~</w:t>
            </w:r>
            <w:r>
              <w:rPr>
                <w:rFonts w:hint="eastAsia" w:ascii="Times New Roman" w:hAnsi="Times New Roman" w:eastAsia="宋体" w:cs="Times New Roman"/>
                <w:bCs/>
                <w:color w:val="auto"/>
                <w:kern w:val="2"/>
                <w:sz w:val="21"/>
                <w:szCs w:val="24"/>
                <w:lang w:val="en-US" w:eastAsia="zh-CN"/>
              </w:rPr>
              <w:t>1</w:t>
            </w:r>
            <w:r>
              <w:rPr>
                <w:rFonts w:hint="eastAsia" w:cs="Times New Roman"/>
                <w:bCs/>
                <w:color w:val="auto"/>
                <w:kern w:val="2"/>
                <w:sz w:val="21"/>
                <w:szCs w:val="24"/>
                <w:lang w:val="en-US" w:eastAsia="zh-CN"/>
              </w:rPr>
              <w:t>45</w:t>
            </w:r>
          </w:p>
        </w:tc>
        <w:tc>
          <w:tcPr>
            <w:tcW w:w="1310"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cs="Times New Roman"/>
                <w:bCs/>
                <w:color w:val="auto"/>
                <w:kern w:val="2"/>
                <w:sz w:val="21"/>
                <w:szCs w:val="24"/>
                <w:lang w:val="en-US" w:eastAsia="zh-CN"/>
              </w:rPr>
              <w:t>48.3</w:t>
            </w:r>
          </w:p>
        </w:tc>
        <w:tc>
          <w:tcPr>
            <w:tcW w:w="941"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eastAsia="宋体" w:cs="Times New Roman"/>
                <w:bCs/>
                <w:color w:val="auto"/>
                <w:kern w:val="2"/>
                <w:sz w:val="21"/>
                <w:szCs w:val="24"/>
              </w:rPr>
              <w:t>0</w:t>
            </w:r>
          </w:p>
        </w:tc>
        <w:tc>
          <w:tcPr>
            <w:tcW w:w="8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4"/>
                <w:lang w:val="en-US" w:eastAsia="zh-CN" w:bidi="ar-SA"/>
              </w:rPr>
            </w:pPr>
            <w:r>
              <w:rPr>
                <w:rFonts w:hint="default"/>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34" w:type="dxa"/>
            <w:vMerge w:val="continue"/>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p>
        </w:tc>
        <w:tc>
          <w:tcPr>
            <w:tcW w:w="109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eastAsia" w:ascii="Times New Roman" w:hAnsi="Times New Roman" w:eastAsia="宋体" w:cs="Times New Roman"/>
                <w:bCs/>
                <w:color w:val="auto"/>
                <w:kern w:val="2"/>
                <w:sz w:val="21"/>
                <w:szCs w:val="24"/>
              </w:rPr>
              <w:t>臭气浓度</w:t>
            </w:r>
          </w:p>
        </w:tc>
        <w:tc>
          <w:tcPr>
            <w:tcW w:w="13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1次值</w:t>
            </w:r>
          </w:p>
        </w:tc>
        <w:tc>
          <w:tcPr>
            <w:tcW w:w="97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w:t>
            </w:r>
          </w:p>
        </w:tc>
        <w:tc>
          <w:tcPr>
            <w:tcW w:w="137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＜10</w:t>
            </w:r>
          </w:p>
        </w:tc>
        <w:tc>
          <w:tcPr>
            <w:tcW w:w="1310"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w:t>
            </w:r>
          </w:p>
        </w:tc>
        <w:tc>
          <w:tcPr>
            <w:tcW w:w="941"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default" w:ascii="Times New Roman" w:hAnsi="Times New Roman" w:eastAsia="宋体" w:cs="Times New Roman"/>
                <w:bCs/>
                <w:color w:val="auto"/>
                <w:kern w:val="2"/>
                <w:sz w:val="21"/>
                <w:szCs w:val="24"/>
              </w:rPr>
              <w:t>/</w:t>
            </w:r>
          </w:p>
        </w:tc>
        <w:tc>
          <w:tcPr>
            <w:tcW w:w="857"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bCs/>
                <w:color w:val="auto"/>
                <w:kern w:val="2"/>
                <w:sz w:val="21"/>
                <w:szCs w:val="24"/>
              </w:rPr>
            </w:pPr>
            <w:r>
              <w:rPr>
                <w:rFonts w:hint="default"/>
                <w:bCs/>
                <w:color w:val="auto"/>
                <w:kern w:val="2"/>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34" w:type="dxa"/>
            <w:vMerge w:val="restart"/>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rPr>
            </w:pPr>
            <w:r>
              <w:rPr>
                <w:rFonts w:hint="eastAsia" w:ascii="Times New Roman" w:hAnsi="Times New Roman" w:eastAsia="宋体" w:cs="Times New Roman"/>
                <w:bCs/>
                <w:color w:val="auto"/>
                <w:kern w:val="2"/>
                <w:sz w:val="21"/>
                <w:szCs w:val="24"/>
                <w:lang w:val="en-US" w:eastAsia="zh-CN"/>
              </w:rPr>
              <w:t>2</w:t>
            </w:r>
            <w:r>
              <w:rPr>
                <w:rFonts w:hint="eastAsia" w:ascii="Times New Roman" w:hAnsi="Times New Roman" w:eastAsia="宋体" w:cs="Times New Roman"/>
                <w:bCs/>
                <w:color w:val="auto"/>
                <w:kern w:val="2"/>
                <w:sz w:val="21"/>
                <w:szCs w:val="24"/>
              </w:rPr>
              <w:t>#项目</w:t>
            </w:r>
            <w:r>
              <w:rPr>
                <w:rFonts w:hint="eastAsia" w:ascii="Times New Roman" w:hAnsi="Times New Roman" w:eastAsia="宋体" w:cs="Times New Roman"/>
                <w:bCs/>
                <w:color w:val="auto"/>
                <w:kern w:val="2"/>
                <w:sz w:val="21"/>
                <w:szCs w:val="24"/>
                <w:lang w:val="en-US" w:eastAsia="zh-CN"/>
              </w:rPr>
              <w:t>下风向</w:t>
            </w:r>
          </w:p>
        </w:tc>
        <w:tc>
          <w:tcPr>
            <w:tcW w:w="109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eastAsia"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氨</w:t>
            </w:r>
          </w:p>
        </w:tc>
        <w:tc>
          <w:tcPr>
            <w:tcW w:w="13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1h平均</w:t>
            </w:r>
          </w:p>
        </w:tc>
        <w:tc>
          <w:tcPr>
            <w:tcW w:w="97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200</w:t>
            </w:r>
          </w:p>
        </w:tc>
        <w:tc>
          <w:tcPr>
            <w:tcW w:w="137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rPr>
            </w:pPr>
            <w:r>
              <w:rPr>
                <w:rFonts w:hint="eastAsia" w:cs="Times New Roman"/>
                <w:bCs/>
                <w:color w:val="auto"/>
                <w:kern w:val="2"/>
                <w:sz w:val="21"/>
                <w:szCs w:val="24"/>
                <w:lang w:val="en-US" w:eastAsia="zh-CN"/>
              </w:rPr>
              <w:t>50</w:t>
            </w:r>
            <w:r>
              <w:rPr>
                <w:rFonts w:hint="default" w:ascii="Times New Roman" w:hAnsi="Times New Roman" w:eastAsia="宋体" w:cs="Times New Roman"/>
                <w:bCs/>
                <w:color w:val="auto"/>
                <w:kern w:val="2"/>
                <w:sz w:val="21"/>
                <w:szCs w:val="24"/>
              </w:rPr>
              <w:t>~</w:t>
            </w:r>
            <w:r>
              <w:rPr>
                <w:rFonts w:hint="eastAsia" w:cs="Times New Roman"/>
                <w:bCs/>
                <w:color w:val="auto"/>
                <w:kern w:val="2"/>
                <w:sz w:val="21"/>
                <w:szCs w:val="24"/>
                <w:lang w:val="en-US" w:eastAsia="zh-CN"/>
              </w:rPr>
              <w:t>80</w:t>
            </w:r>
          </w:p>
        </w:tc>
        <w:tc>
          <w:tcPr>
            <w:tcW w:w="1310"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cs="Times New Roman"/>
                <w:bCs/>
                <w:color w:val="auto"/>
                <w:kern w:val="2"/>
                <w:sz w:val="21"/>
                <w:szCs w:val="24"/>
                <w:lang w:val="en-US" w:eastAsia="zh-CN"/>
              </w:rPr>
              <w:t>40</w:t>
            </w:r>
          </w:p>
        </w:tc>
        <w:tc>
          <w:tcPr>
            <w:tcW w:w="941"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0</w:t>
            </w:r>
          </w:p>
        </w:tc>
        <w:tc>
          <w:tcPr>
            <w:tcW w:w="8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4"/>
                <w:lang w:val="en-US" w:eastAsia="zh-CN" w:bidi="ar-SA"/>
              </w:rPr>
            </w:pPr>
            <w:r>
              <w:rPr>
                <w:rFonts w:hint="default"/>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3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Cs/>
                <w:color w:val="auto"/>
              </w:rPr>
            </w:pPr>
          </w:p>
        </w:tc>
        <w:tc>
          <w:tcPr>
            <w:tcW w:w="109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eastAsia"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硫化氢</w:t>
            </w:r>
          </w:p>
        </w:tc>
        <w:tc>
          <w:tcPr>
            <w:tcW w:w="13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1h平均</w:t>
            </w:r>
          </w:p>
        </w:tc>
        <w:tc>
          <w:tcPr>
            <w:tcW w:w="97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10</w:t>
            </w:r>
          </w:p>
        </w:tc>
        <w:tc>
          <w:tcPr>
            <w:tcW w:w="137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w:t>
            </w:r>
            <w:r>
              <w:rPr>
                <w:rFonts w:hint="eastAsia" w:ascii="Times New Roman" w:hAnsi="Times New Roman" w:eastAsia="宋体" w:cs="Times New Roman"/>
                <w:bCs/>
                <w:color w:val="auto"/>
                <w:kern w:val="2"/>
                <w:sz w:val="21"/>
                <w:szCs w:val="24"/>
                <w:lang w:val="en-US" w:eastAsia="zh-CN"/>
              </w:rPr>
              <w:t>0.2</w:t>
            </w:r>
          </w:p>
        </w:tc>
        <w:tc>
          <w:tcPr>
            <w:tcW w:w="1310"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cs="Times New Roman"/>
                <w:bCs/>
                <w:color w:val="auto"/>
                <w:kern w:val="2"/>
                <w:sz w:val="21"/>
                <w:szCs w:val="24"/>
                <w:lang w:val="en-US" w:eastAsia="zh-CN"/>
              </w:rPr>
              <w:t>/</w:t>
            </w:r>
          </w:p>
        </w:tc>
        <w:tc>
          <w:tcPr>
            <w:tcW w:w="941"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ascii="Times New Roman" w:hAnsi="Times New Roman" w:eastAsia="宋体" w:cs="Times New Roman"/>
                <w:bCs/>
                <w:color w:val="auto"/>
                <w:kern w:val="2"/>
                <w:sz w:val="21"/>
                <w:szCs w:val="24"/>
              </w:rPr>
              <w:t>0</w:t>
            </w:r>
          </w:p>
        </w:tc>
        <w:tc>
          <w:tcPr>
            <w:tcW w:w="8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4"/>
                <w:lang w:val="en-US" w:eastAsia="zh-CN" w:bidi="ar-SA"/>
              </w:rPr>
            </w:pPr>
            <w:r>
              <w:rPr>
                <w:rFonts w:hint="default"/>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3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Cs/>
                <w:color w:val="auto"/>
              </w:rPr>
            </w:pPr>
          </w:p>
        </w:tc>
        <w:tc>
          <w:tcPr>
            <w:tcW w:w="109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eastAsia" w:ascii="Times New Roman" w:hAnsi="Times New Roman" w:eastAsia="宋体" w:cs="Times New Roman"/>
                <w:bCs/>
                <w:color w:val="auto"/>
                <w:kern w:val="2"/>
                <w:sz w:val="21"/>
                <w:szCs w:val="24"/>
                <w:lang w:val="en-US" w:eastAsia="zh-CN"/>
              </w:rPr>
            </w:pPr>
            <w:r>
              <w:rPr>
                <w:rFonts w:hint="eastAsia" w:ascii="Times New Roman" w:hAnsi="Times New Roman" w:eastAsia="宋体" w:cs="Times New Roman"/>
                <w:bCs/>
                <w:color w:val="auto"/>
                <w:kern w:val="2"/>
                <w:sz w:val="21"/>
                <w:szCs w:val="24"/>
                <w:lang w:val="en-US" w:eastAsia="zh-CN"/>
              </w:rPr>
              <w:t>TSP</w:t>
            </w:r>
          </w:p>
        </w:tc>
        <w:tc>
          <w:tcPr>
            <w:tcW w:w="13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lang w:val="en-US" w:eastAsia="zh-CN"/>
              </w:rPr>
            </w:pPr>
            <w:r>
              <w:rPr>
                <w:rFonts w:hint="eastAsia" w:ascii="Times New Roman" w:hAnsi="Times New Roman" w:eastAsia="宋体" w:cs="Times New Roman"/>
                <w:bCs/>
                <w:color w:val="auto"/>
                <w:kern w:val="2"/>
                <w:sz w:val="21"/>
                <w:szCs w:val="24"/>
              </w:rPr>
              <w:t>24小时平均</w:t>
            </w:r>
          </w:p>
        </w:tc>
        <w:tc>
          <w:tcPr>
            <w:tcW w:w="97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lang w:val="en-US" w:eastAsia="zh-CN"/>
              </w:rPr>
            </w:pPr>
            <w:r>
              <w:rPr>
                <w:rFonts w:hint="eastAsia" w:ascii="Times New Roman" w:hAnsi="Times New Roman" w:eastAsia="宋体" w:cs="Times New Roman"/>
                <w:bCs/>
                <w:color w:val="auto"/>
                <w:kern w:val="2"/>
                <w:sz w:val="21"/>
                <w:szCs w:val="24"/>
                <w:lang w:val="en-US" w:eastAsia="zh-CN"/>
              </w:rPr>
              <w:t>300</w:t>
            </w:r>
          </w:p>
        </w:tc>
        <w:tc>
          <w:tcPr>
            <w:tcW w:w="137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cs="Times New Roman"/>
                <w:bCs/>
                <w:color w:val="auto"/>
                <w:kern w:val="2"/>
                <w:sz w:val="21"/>
                <w:szCs w:val="24"/>
                <w:lang w:val="en-US" w:eastAsia="zh-CN"/>
              </w:rPr>
              <w:t>138</w:t>
            </w:r>
            <w:r>
              <w:rPr>
                <w:rFonts w:hint="default" w:ascii="Times New Roman" w:hAnsi="Times New Roman" w:eastAsia="宋体" w:cs="Times New Roman"/>
                <w:bCs/>
                <w:color w:val="auto"/>
                <w:kern w:val="2"/>
                <w:sz w:val="21"/>
                <w:szCs w:val="24"/>
              </w:rPr>
              <w:t>~</w:t>
            </w:r>
            <w:r>
              <w:rPr>
                <w:rFonts w:hint="eastAsia" w:cs="Times New Roman"/>
                <w:bCs/>
                <w:color w:val="auto"/>
                <w:kern w:val="2"/>
                <w:sz w:val="21"/>
                <w:szCs w:val="24"/>
                <w:lang w:val="en-US" w:eastAsia="zh-CN"/>
              </w:rPr>
              <w:t>152</w:t>
            </w:r>
          </w:p>
        </w:tc>
        <w:tc>
          <w:tcPr>
            <w:tcW w:w="1310"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eastAsia" w:cs="Times New Roman"/>
                <w:bCs/>
                <w:color w:val="auto"/>
                <w:kern w:val="2"/>
                <w:sz w:val="21"/>
                <w:szCs w:val="24"/>
                <w:lang w:val="en-US" w:eastAsia="zh-CN"/>
              </w:rPr>
              <w:t>50.7</w:t>
            </w:r>
          </w:p>
        </w:tc>
        <w:tc>
          <w:tcPr>
            <w:tcW w:w="941"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lang w:val="en-US" w:eastAsia="zh-CN" w:bidi="ar-SA"/>
              </w:rPr>
            </w:pPr>
            <w:r>
              <w:rPr>
                <w:rFonts w:hint="eastAsia" w:ascii="Times New Roman" w:hAnsi="Times New Roman" w:eastAsia="宋体" w:cs="Times New Roman"/>
                <w:bCs/>
                <w:color w:val="auto"/>
                <w:kern w:val="2"/>
                <w:sz w:val="21"/>
                <w:szCs w:val="24"/>
              </w:rPr>
              <w:t>0</w:t>
            </w:r>
          </w:p>
        </w:tc>
        <w:tc>
          <w:tcPr>
            <w:tcW w:w="8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4"/>
                <w:lang w:val="en-US" w:eastAsia="zh-CN" w:bidi="ar-SA"/>
              </w:rPr>
            </w:pPr>
            <w:r>
              <w:rPr>
                <w:rFonts w:hint="default"/>
                <w:bCs/>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03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rPr>
                <w:rFonts w:hint="default"/>
                <w:bCs/>
                <w:color w:val="auto"/>
              </w:rPr>
            </w:pPr>
          </w:p>
        </w:tc>
        <w:tc>
          <w:tcPr>
            <w:tcW w:w="109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eastAsia" w:ascii="Times New Roman" w:hAnsi="Times New Roman" w:eastAsia="宋体" w:cs="Times New Roman"/>
                <w:bCs/>
                <w:color w:val="auto"/>
                <w:kern w:val="2"/>
                <w:sz w:val="21"/>
                <w:szCs w:val="24"/>
                <w:lang w:val="en-US" w:eastAsia="zh-CN"/>
              </w:rPr>
            </w:pPr>
            <w:r>
              <w:rPr>
                <w:rFonts w:hint="eastAsia" w:ascii="Times New Roman" w:hAnsi="Times New Roman" w:eastAsia="宋体" w:cs="Times New Roman"/>
                <w:bCs/>
                <w:color w:val="auto"/>
                <w:kern w:val="2"/>
                <w:sz w:val="21"/>
                <w:szCs w:val="24"/>
              </w:rPr>
              <w:t>臭气浓度</w:t>
            </w:r>
          </w:p>
        </w:tc>
        <w:tc>
          <w:tcPr>
            <w:tcW w:w="13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1次值</w:t>
            </w:r>
          </w:p>
        </w:tc>
        <w:tc>
          <w:tcPr>
            <w:tcW w:w="97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w:t>
            </w:r>
          </w:p>
        </w:tc>
        <w:tc>
          <w:tcPr>
            <w:tcW w:w="1373"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＜10</w:t>
            </w:r>
          </w:p>
        </w:tc>
        <w:tc>
          <w:tcPr>
            <w:tcW w:w="1310"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w:t>
            </w:r>
          </w:p>
        </w:tc>
        <w:tc>
          <w:tcPr>
            <w:tcW w:w="941"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jc w:val="center"/>
              <w:rPr>
                <w:rFonts w:hint="default" w:ascii="Times New Roman" w:hAnsi="Times New Roman" w:eastAsia="宋体" w:cs="Times New Roman"/>
                <w:bCs/>
                <w:color w:val="auto"/>
                <w:kern w:val="2"/>
                <w:sz w:val="21"/>
                <w:szCs w:val="24"/>
                <w:lang w:val="en-US" w:eastAsia="zh-CN"/>
              </w:rPr>
            </w:pPr>
            <w:r>
              <w:rPr>
                <w:rFonts w:hint="default" w:ascii="Times New Roman" w:hAnsi="Times New Roman" w:eastAsia="宋体" w:cs="Times New Roman"/>
                <w:bCs/>
                <w:color w:val="auto"/>
                <w:kern w:val="2"/>
                <w:sz w:val="21"/>
                <w:szCs w:val="24"/>
              </w:rPr>
              <w:t>/</w:t>
            </w:r>
          </w:p>
        </w:tc>
        <w:tc>
          <w:tcPr>
            <w:tcW w:w="857"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lang w:val="en-US" w:eastAsia="zh-CN" w:bidi="ar-SA"/>
              </w:rPr>
            </w:pPr>
            <w:r>
              <w:rPr>
                <w:rFonts w:hint="default"/>
                <w:bCs/>
                <w:color w:val="auto"/>
                <w:kern w:val="2"/>
                <w:sz w:val="21"/>
                <w:szCs w:val="24"/>
              </w:rPr>
              <w:t>/</w:t>
            </w:r>
          </w:p>
        </w:tc>
      </w:tr>
    </w:tbl>
    <w:p>
      <w:pPr>
        <w:spacing w:before="120" w:beforeLines="50" w:line="360" w:lineRule="auto"/>
        <w:ind w:firstLine="482"/>
        <w:rPr>
          <w:rFonts w:hint="default" w:eastAsia="宋体"/>
          <w:color w:val="auto"/>
          <w:kern w:val="0"/>
          <w:sz w:val="24"/>
          <w:lang w:val="en-US" w:eastAsia="zh-CN"/>
        </w:rPr>
      </w:pPr>
      <w:r>
        <w:rPr>
          <w:color w:val="auto"/>
          <w:kern w:val="0"/>
          <w:sz w:val="24"/>
        </w:rPr>
        <w:t>由上表可知，</w:t>
      </w:r>
      <w:r>
        <w:rPr>
          <w:rFonts w:hint="eastAsia"/>
          <w:color w:val="auto"/>
          <w:kern w:val="0"/>
          <w:sz w:val="24"/>
          <w:lang w:val="en-US" w:eastAsia="zh-CN"/>
        </w:rPr>
        <w:t>项目监测点</w:t>
      </w:r>
      <w:r>
        <w:rPr>
          <w:color w:val="auto"/>
          <w:kern w:val="0"/>
          <w:sz w:val="24"/>
        </w:rPr>
        <w:t>氨和硫化氢均不超标，满足《环境影响评价技术导则 大气环境》（HJ2.2-2018）附录D其他污染物空气质量浓度参考限值中的标准</w:t>
      </w:r>
      <w:r>
        <w:rPr>
          <w:rFonts w:hint="eastAsia"/>
          <w:color w:val="auto"/>
          <w:kern w:val="0"/>
          <w:sz w:val="24"/>
          <w:lang w:eastAsia="zh-CN"/>
        </w:rPr>
        <w:t>；</w:t>
      </w:r>
      <w:r>
        <w:rPr>
          <w:rFonts w:hint="eastAsia"/>
          <w:color w:val="auto"/>
          <w:kern w:val="0"/>
          <w:sz w:val="24"/>
          <w:lang w:val="en-US" w:eastAsia="zh-CN"/>
        </w:rPr>
        <w:t>TSP</w:t>
      </w:r>
      <w:r>
        <w:rPr>
          <w:rFonts w:hint="eastAsia"/>
          <w:color w:val="auto"/>
          <w:sz w:val="24"/>
        </w:rPr>
        <w:t>满足《环境空气质量标准》（GB3095-2012）中二级标准，区域环境空气质量较好。</w:t>
      </w:r>
    </w:p>
    <w:p>
      <w:pPr>
        <w:pStyle w:val="7"/>
        <w:spacing w:before="120"/>
        <w:rPr>
          <w:color w:val="auto"/>
          <w:sz w:val="24"/>
          <w:szCs w:val="24"/>
        </w:rPr>
      </w:pPr>
      <w:bookmarkStart w:id="351" w:name="_Toc17148"/>
      <w:r>
        <w:rPr>
          <w:color w:val="auto"/>
          <w:sz w:val="24"/>
          <w:szCs w:val="24"/>
        </w:rPr>
        <w:t>声环境质量现状评价</w:t>
      </w:r>
      <w:bookmarkEnd w:id="351"/>
    </w:p>
    <w:p>
      <w:pPr>
        <w:spacing w:line="360" w:lineRule="auto"/>
        <w:ind w:firstLine="480" w:firstLineChars="200"/>
        <w:rPr>
          <w:color w:val="auto"/>
          <w:kern w:val="0"/>
          <w:sz w:val="24"/>
        </w:rPr>
      </w:pPr>
      <w:r>
        <w:rPr>
          <w:color w:val="auto"/>
          <w:kern w:val="0"/>
          <w:sz w:val="24"/>
        </w:rPr>
        <w:t>为了解厂界环境噪声本底情况，</w:t>
      </w:r>
      <w:r>
        <w:rPr>
          <w:rFonts w:hint="eastAsia"/>
          <w:color w:val="auto"/>
          <w:sz w:val="24"/>
        </w:rPr>
        <w:t>四川海德汇环保科技有限公司</w:t>
      </w:r>
      <w:r>
        <w:rPr>
          <w:color w:val="auto"/>
          <w:sz w:val="24"/>
        </w:rPr>
        <w:t>于</w:t>
      </w:r>
      <w:r>
        <w:rPr>
          <w:rFonts w:hint="eastAsia"/>
          <w:color w:val="auto"/>
          <w:sz w:val="24"/>
        </w:rPr>
        <w:t>202</w:t>
      </w:r>
      <w:r>
        <w:rPr>
          <w:rFonts w:hint="eastAsia"/>
          <w:color w:val="auto"/>
          <w:sz w:val="24"/>
          <w:lang w:val="en-US" w:eastAsia="zh-CN"/>
        </w:rPr>
        <w:t>3</w:t>
      </w:r>
      <w:r>
        <w:rPr>
          <w:color w:val="auto"/>
          <w:sz w:val="24"/>
        </w:rPr>
        <w:t>年</w:t>
      </w:r>
      <w:r>
        <w:rPr>
          <w:rFonts w:hint="eastAsia"/>
          <w:color w:val="auto"/>
          <w:sz w:val="24"/>
          <w:lang w:val="en-US" w:eastAsia="zh-CN"/>
        </w:rPr>
        <w:t>4</w:t>
      </w:r>
      <w:r>
        <w:rPr>
          <w:color w:val="auto"/>
          <w:sz w:val="24"/>
        </w:rPr>
        <w:t>月</w:t>
      </w:r>
      <w:r>
        <w:rPr>
          <w:rFonts w:hint="eastAsia"/>
          <w:color w:val="auto"/>
          <w:sz w:val="24"/>
          <w:lang w:val="en-US" w:eastAsia="zh-CN"/>
        </w:rPr>
        <w:t>3</w:t>
      </w:r>
      <w:r>
        <w:rPr>
          <w:color w:val="auto"/>
          <w:sz w:val="24"/>
        </w:rPr>
        <w:t>日</w:t>
      </w:r>
      <w:r>
        <w:rPr>
          <w:rFonts w:hint="eastAsia"/>
          <w:color w:val="auto"/>
          <w:sz w:val="24"/>
        </w:rPr>
        <w:t>-</w:t>
      </w:r>
      <w:r>
        <w:rPr>
          <w:rFonts w:hint="eastAsia"/>
          <w:color w:val="auto"/>
          <w:sz w:val="24"/>
          <w:lang w:val="en-US" w:eastAsia="zh-CN"/>
        </w:rPr>
        <w:t>4</w:t>
      </w:r>
      <w:r>
        <w:rPr>
          <w:color w:val="auto"/>
          <w:sz w:val="24"/>
        </w:rPr>
        <w:t>月</w:t>
      </w:r>
      <w:r>
        <w:rPr>
          <w:rFonts w:hint="eastAsia"/>
          <w:color w:val="auto"/>
          <w:sz w:val="24"/>
          <w:lang w:val="en-US" w:eastAsia="zh-CN"/>
        </w:rPr>
        <w:t>4</w:t>
      </w:r>
      <w:r>
        <w:rPr>
          <w:color w:val="auto"/>
          <w:sz w:val="24"/>
        </w:rPr>
        <w:t>日</w:t>
      </w:r>
      <w:r>
        <w:rPr>
          <w:color w:val="auto"/>
          <w:kern w:val="0"/>
          <w:sz w:val="24"/>
        </w:rPr>
        <w:t>对项目场界四周进行了环境噪声监测，监测布点见附图。</w:t>
      </w:r>
    </w:p>
    <w:p>
      <w:pPr>
        <w:spacing w:line="360" w:lineRule="auto"/>
        <w:ind w:firstLine="480"/>
        <w:rPr>
          <w:b/>
          <w:bCs/>
          <w:color w:val="auto"/>
          <w:sz w:val="24"/>
        </w:rPr>
      </w:pPr>
      <w:r>
        <w:rPr>
          <w:b/>
          <w:bCs/>
          <w:color w:val="auto"/>
          <w:sz w:val="24"/>
        </w:rPr>
        <w:t>1、监测点位设置</w:t>
      </w:r>
    </w:p>
    <w:p>
      <w:pPr>
        <w:pStyle w:val="4"/>
        <w:spacing w:line="360" w:lineRule="auto"/>
        <w:ind w:firstLine="240" w:firstLineChars="100"/>
        <w:jc w:val="both"/>
        <w:rPr>
          <w:rFonts w:ascii="Times New Roman"/>
          <w:color w:val="auto"/>
          <w:szCs w:val="24"/>
        </w:rPr>
      </w:pPr>
      <w:r>
        <w:rPr>
          <w:rFonts w:ascii="Times New Roman"/>
          <w:color w:val="auto"/>
        </w:rPr>
        <w:t>在项目声环境评价范围内布设噪声监测点</w:t>
      </w:r>
      <w:r>
        <w:rPr>
          <w:rFonts w:hint="eastAsia" w:ascii="Times New Roman"/>
          <w:color w:val="auto"/>
          <w:lang w:val="en-US" w:eastAsia="zh-CN"/>
        </w:rPr>
        <w:t>8</w:t>
      </w:r>
      <w:r>
        <w:rPr>
          <w:rFonts w:ascii="Times New Roman"/>
          <w:color w:val="auto"/>
        </w:rPr>
        <w:t>个，见表</w:t>
      </w:r>
      <w:r>
        <w:rPr>
          <w:rFonts w:hint="eastAsia" w:ascii="Times New Roman"/>
          <w:color w:val="auto"/>
          <w:lang w:val="en-US" w:eastAsia="zh-CN"/>
        </w:rPr>
        <w:t>4.3</w:t>
      </w:r>
      <w:r>
        <w:rPr>
          <w:rFonts w:ascii="Times New Roman"/>
          <w:color w:val="auto"/>
        </w:rPr>
        <w:t>-</w:t>
      </w:r>
      <w:r>
        <w:rPr>
          <w:rFonts w:hint="eastAsia" w:ascii="Times New Roman"/>
          <w:color w:val="auto"/>
          <w:lang w:val="en-US" w:eastAsia="zh-CN"/>
        </w:rPr>
        <w:t>6</w:t>
      </w:r>
      <w:r>
        <w:rPr>
          <w:rFonts w:ascii="Times New Roman"/>
          <w:color w:val="auto"/>
        </w:rPr>
        <w:t>，监测布点图详见附图。</w:t>
      </w:r>
    </w:p>
    <w:p>
      <w:pPr>
        <w:pStyle w:val="4"/>
        <w:ind w:left="1260" w:hanging="420"/>
        <w:jc w:val="center"/>
        <w:rPr>
          <w:rFonts w:ascii="Times New Roman"/>
          <w:color w:val="auto"/>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lang w:val="en-US" w:eastAsia="zh-CN"/>
        </w:rPr>
        <w:t xml:space="preserve">6 </w:t>
      </w:r>
      <w:r>
        <w:rPr>
          <w:rFonts w:ascii="Times New Roman" w:eastAsia="黑体"/>
          <w:color w:val="auto"/>
          <w:sz w:val="21"/>
          <w:szCs w:val="21"/>
        </w:rPr>
        <w:t xml:space="preserve"> 噪声现状监测的点位</w:t>
      </w:r>
    </w:p>
    <w:tbl>
      <w:tblPr>
        <w:tblStyle w:val="89"/>
        <w:tblW w:w="760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57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 w:val="20"/>
                <w:szCs w:val="20"/>
              </w:rPr>
            </w:pPr>
            <w:r>
              <w:rPr>
                <w:rFonts w:hint="default"/>
                <w:b/>
                <w:color w:val="auto"/>
                <w:sz w:val="20"/>
                <w:szCs w:val="20"/>
              </w:rPr>
              <w:t>编号</w:t>
            </w:r>
          </w:p>
        </w:tc>
        <w:tc>
          <w:tcPr>
            <w:tcW w:w="57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 w:val="20"/>
                <w:szCs w:val="20"/>
              </w:rPr>
            </w:pPr>
            <w:r>
              <w:rPr>
                <w:rFonts w:hint="default"/>
                <w:b/>
                <w:color w:val="auto"/>
                <w:sz w:val="20"/>
                <w:szCs w:val="20"/>
              </w:rPr>
              <w:t>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kern w:val="0"/>
                <w:sz w:val="20"/>
                <w:szCs w:val="20"/>
              </w:rPr>
              <w:t>1#</w:t>
            </w:r>
          </w:p>
        </w:tc>
        <w:tc>
          <w:tcPr>
            <w:tcW w:w="576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2"/>
                <w:sz w:val="21"/>
                <w:szCs w:val="21"/>
                <w:lang w:val="en-US" w:eastAsia="zh-CN" w:bidi="ar-SA"/>
              </w:rPr>
              <w:t>项目北侧厂界外1m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kern w:val="0"/>
                <w:sz w:val="20"/>
                <w:szCs w:val="20"/>
              </w:rPr>
              <w:t>2#</w:t>
            </w:r>
          </w:p>
        </w:tc>
        <w:tc>
          <w:tcPr>
            <w:tcW w:w="576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2"/>
                <w:sz w:val="21"/>
                <w:szCs w:val="21"/>
                <w:lang w:val="en-US" w:eastAsia="zh-CN" w:bidi="ar-SA"/>
              </w:rPr>
              <w:t>项目东侧厂界外1m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kern w:val="0"/>
                <w:sz w:val="20"/>
                <w:szCs w:val="20"/>
              </w:rPr>
              <w:t>3#</w:t>
            </w:r>
          </w:p>
        </w:tc>
        <w:tc>
          <w:tcPr>
            <w:tcW w:w="576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2"/>
                <w:sz w:val="21"/>
                <w:szCs w:val="21"/>
                <w:lang w:val="en-US" w:eastAsia="zh-CN" w:bidi="ar-SA"/>
              </w:rPr>
              <w:t>项目南侧厂界外1m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kern w:val="0"/>
                <w:sz w:val="20"/>
                <w:szCs w:val="20"/>
              </w:rPr>
              <w:t>4#</w:t>
            </w:r>
          </w:p>
        </w:tc>
        <w:tc>
          <w:tcPr>
            <w:tcW w:w="576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2"/>
                <w:sz w:val="21"/>
                <w:szCs w:val="21"/>
                <w:lang w:val="en-US" w:eastAsia="zh-CN" w:bidi="ar-SA"/>
              </w:rPr>
              <w:t>项目西侧厂界外1m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5#</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w:t>
            </w:r>
            <w:r>
              <w:rPr>
                <w:rFonts w:hint="default" w:ascii="Times New Roman" w:hAnsi="Times New Roman" w:eastAsia="宋体" w:cs="Times New Roman"/>
                <w:color w:val="auto"/>
                <w:kern w:val="0"/>
                <w:sz w:val="20"/>
                <w:szCs w:val="20"/>
                <w:lang w:val="en-US" w:eastAsia="zh-CN"/>
              </w:rPr>
              <w:t>东北</w:t>
            </w:r>
            <w:r>
              <w:rPr>
                <w:rFonts w:hint="default" w:ascii="Times New Roman" w:hAnsi="Times New Roman" w:eastAsia="宋体" w:cs="Times New Roman"/>
                <w:color w:val="auto"/>
                <w:kern w:val="0"/>
                <w:sz w:val="20"/>
                <w:szCs w:val="20"/>
              </w:rPr>
              <w:t>侧最近农户（外 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6#</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项目厂界外东侧最近农户（外1m）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7#</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项目厂界外东侧最近农户（外1m）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lang w:val="en-US" w:eastAsia="zh-CN"/>
              </w:rPr>
              <w:t>8</w:t>
            </w:r>
            <w:r>
              <w:rPr>
                <w:rFonts w:hint="default" w:ascii="Times New Roman" w:hAnsi="Times New Roman" w:eastAsia="宋体" w:cs="Times New Roman"/>
                <w:color w:val="auto"/>
                <w:kern w:val="0"/>
                <w:sz w:val="20"/>
                <w:szCs w:val="20"/>
              </w:rPr>
              <w:t>#</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项目厂界外东侧最近农户（外1m）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lang w:val="en-US" w:eastAsia="zh-CN"/>
              </w:rPr>
              <w:t>9</w:t>
            </w:r>
            <w:r>
              <w:rPr>
                <w:rFonts w:hint="default" w:ascii="Times New Roman" w:hAnsi="Times New Roman" w:eastAsia="宋体" w:cs="Times New Roman"/>
                <w:color w:val="auto"/>
                <w:kern w:val="0"/>
                <w:sz w:val="20"/>
                <w:szCs w:val="20"/>
              </w:rPr>
              <w:t>#</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w:t>
            </w:r>
            <w:r>
              <w:rPr>
                <w:rFonts w:hint="default" w:ascii="Times New Roman" w:hAnsi="Times New Roman" w:eastAsia="宋体" w:cs="Times New Roman"/>
                <w:color w:val="auto"/>
                <w:kern w:val="0"/>
                <w:sz w:val="20"/>
                <w:szCs w:val="20"/>
                <w:lang w:val="en-US" w:eastAsia="zh-CN"/>
              </w:rPr>
              <w:t>东南</w:t>
            </w:r>
            <w:r>
              <w:rPr>
                <w:rFonts w:hint="default" w:ascii="Times New Roman" w:hAnsi="Times New Roman" w:eastAsia="宋体" w:cs="Times New Roman"/>
                <w:color w:val="auto"/>
                <w:kern w:val="0"/>
                <w:sz w:val="20"/>
                <w:szCs w:val="20"/>
              </w:rPr>
              <w:t>侧最近农户（外 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lang w:val="en-US" w:eastAsia="zh-CN"/>
              </w:rPr>
              <w:t>10</w:t>
            </w:r>
            <w:r>
              <w:rPr>
                <w:rFonts w:hint="default" w:ascii="Times New Roman" w:hAnsi="Times New Roman" w:eastAsia="宋体" w:cs="Times New Roman"/>
                <w:color w:val="auto"/>
                <w:kern w:val="0"/>
                <w:sz w:val="20"/>
                <w:szCs w:val="20"/>
              </w:rPr>
              <w:t>#</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w:t>
            </w:r>
            <w:r>
              <w:rPr>
                <w:rFonts w:hint="default" w:ascii="Times New Roman" w:hAnsi="Times New Roman" w:eastAsia="宋体" w:cs="Times New Roman"/>
                <w:color w:val="auto"/>
                <w:kern w:val="0"/>
                <w:sz w:val="20"/>
                <w:szCs w:val="20"/>
                <w:lang w:val="en-US" w:eastAsia="zh-CN"/>
              </w:rPr>
              <w:t>南</w:t>
            </w:r>
            <w:r>
              <w:rPr>
                <w:rFonts w:hint="default" w:ascii="Times New Roman" w:hAnsi="Times New Roman" w:eastAsia="宋体" w:cs="Times New Roman"/>
                <w:color w:val="auto"/>
                <w:kern w:val="0"/>
                <w:sz w:val="20"/>
                <w:szCs w:val="20"/>
              </w:rPr>
              <w:t>侧最近农户（外1m）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lang w:val="en-US" w:eastAsia="zh-CN"/>
              </w:rPr>
              <w:t>11</w:t>
            </w:r>
            <w:r>
              <w:rPr>
                <w:rFonts w:hint="default" w:ascii="Times New Roman" w:hAnsi="Times New Roman" w:eastAsia="宋体" w:cs="Times New Roman"/>
                <w:color w:val="auto"/>
                <w:kern w:val="0"/>
                <w:sz w:val="20"/>
                <w:szCs w:val="20"/>
              </w:rPr>
              <w:t>#</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w:t>
            </w:r>
            <w:r>
              <w:rPr>
                <w:rFonts w:hint="default" w:ascii="Times New Roman" w:hAnsi="Times New Roman" w:eastAsia="宋体" w:cs="Times New Roman"/>
                <w:color w:val="auto"/>
                <w:kern w:val="0"/>
                <w:sz w:val="20"/>
                <w:szCs w:val="20"/>
                <w:lang w:val="en-US" w:eastAsia="zh-CN"/>
              </w:rPr>
              <w:t>西南</w:t>
            </w:r>
            <w:r>
              <w:rPr>
                <w:rFonts w:hint="default" w:ascii="Times New Roman" w:hAnsi="Times New Roman" w:eastAsia="宋体" w:cs="Times New Roman"/>
                <w:color w:val="auto"/>
                <w:kern w:val="0"/>
                <w:sz w:val="20"/>
                <w:szCs w:val="20"/>
              </w:rPr>
              <w:t>侧最近农户（外1m）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lang w:val="en-US" w:eastAsia="zh-CN"/>
              </w:rPr>
              <w:t>12</w:t>
            </w:r>
            <w:r>
              <w:rPr>
                <w:rFonts w:hint="default" w:ascii="Times New Roman" w:hAnsi="Times New Roman" w:eastAsia="宋体" w:cs="Times New Roman"/>
                <w:color w:val="auto"/>
                <w:kern w:val="0"/>
                <w:sz w:val="20"/>
                <w:szCs w:val="20"/>
              </w:rPr>
              <w:t>#</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w:t>
            </w:r>
            <w:r>
              <w:rPr>
                <w:rFonts w:hint="default" w:ascii="Times New Roman" w:hAnsi="Times New Roman" w:eastAsia="宋体" w:cs="Times New Roman"/>
                <w:color w:val="auto"/>
                <w:kern w:val="0"/>
                <w:sz w:val="20"/>
                <w:szCs w:val="20"/>
                <w:lang w:val="en-US" w:eastAsia="zh-CN"/>
              </w:rPr>
              <w:t>西</w:t>
            </w:r>
            <w:r>
              <w:rPr>
                <w:rFonts w:hint="default" w:ascii="Times New Roman" w:hAnsi="Times New Roman" w:eastAsia="宋体" w:cs="Times New Roman"/>
                <w:color w:val="auto"/>
                <w:kern w:val="0"/>
                <w:sz w:val="20"/>
                <w:szCs w:val="20"/>
              </w:rPr>
              <w:t>侧最近农户（外1m）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lang w:val="en-US" w:eastAsia="zh-CN"/>
              </w:rPr>
              <w:t>13</w:t>
            </w:r>
            <w:r>
              <w:rPr>
                <w:rFonts w:hint="default" w:ascii="Times New Roman" w:hAnsi="Times New Roman" w:eastAsia="宋体" w:cs="Times New Roman"/>
                <w:color w:val="auto"/>
                <w:kern w:val="0"/>
                <w:sz w:val="20"/>
                <w:szCs w:val="20"/>
              </w:rPr>
              <w:t>#</w:t>
            </w:r>
          </w:p>
        </w:tc>
        <w:tc>
          <w:tcPr>
            <w:tcW w:w="5768" w:type="dxa"/>
            <w:tcBorders>
              <w:tl2br w:val="nil"/>
              <w:tr2bl w:val="nil"/>
            </w:tcBorders>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color w:val="auto"/>
                <w:kern w:val="0"/>
                <w:sz w:val="20"/>
                <w:szCs w:val="20"/>
              </w:rPr>
              <w:t>项目厂界外</w:t>
            </w:r>
            <w:r>
              <w:rPr>
                <w:rFonts w:hint="default" w:ascii="Times New Roman" w:hAnsi="Times New Roman" w:eastAsia="宋体" w:cs="Times New Roman"/>
                <w:color w:val="auto"/>
                <w:kern w:val="0"/>
                <w:sz w:val="20"/>
                <w:szCs w:val="20"/>
                <w:lang w:val="en-US" w:eastAsia="zh-CN"/>
              </w:rPr>
              <w:t>西</w:t>
            </w:r>
            <w:r>
              <w:rPr>
                <w:rFonts w:hint="default" w:ascii="Times New Roman" w:hAnsi="Times New Roman" w:eastAsia="宋体" w:cs="Times New Roman"/>
                <w:color w:val="auto"/>
                <w:kern w:val="0"/>
                <w:sz w:val="20"/>
                <w:szCs w:val="20"/>
              </w:rPr>
              <w:t>侧最近农户（外1m）</w:t>
            </w:r>
          </w:p>
        </w:tc>
      </w:tr>
    </w:tbl>
    <w:p>
      <w:pPr>
        <w:spacing w:line="360" w:lineRule="auto"/>
        <w:ind w:firstLine="480"/>
        <w:rPr>
          <w:b/>
          <w:bCs/>
          <w:color w:val="auto"/>
          <w:sz w:val="24"/>
        </w:rPr>
      </w:pPr>
      <w:r>
        <w:rPr>
          <w:b/>
          <w:bCs/>
          <w:color w:val="auto"/>
          <w:sz w:val="24"/>
        </w:rPr>
        <w:t>2、监测因子</w:t>
      </w:r>
    </w:p>
    <w:p>
      <w:pPr>
        <w:spacing w:line="360" w:lineRule="auto"/>
        <w:ind w:firstLine="480"/>
        <w:rPr>
          <w:color w:val="auto"/>
          <w:sz w:val="24"/>
        </w:rPr>
      </w:pPr>
      <w:r>
        <w:rPr>
          <w:color w:val="auto"/>
          <w:sz w:val="24"/>
        </w:rPr>
        <w:t>监测因子为：等效连续A声级。</w:t>
      </w:r>
    </w:p>
    <w:p>
      <w:pPr>
        <w:spacing w:line="360" w:lineRule="auto"/>
        <w:ind w:firstLine="480"/>
        <w:rPr>
          <w:b/>
          <w:bCs/>
          <w:color w:val="auto"/>
          <w:sz w:val="24"/>
        </w:rPr>
      </w:pPr>
      <w:r>
        <w:rPr>
          <w:b/>
          <w:bCs/>
          <w:color w:val="auto"/>
          <w:sz w:val="24"/>
        </w:rPr>
        <w:t>3、监测方法、频次、时间</w:t>
      </w:r>
    </w:p>
    <w:p>
      <w:pPr>
        <w:spacing w:line="360" w:lineRule="auto"/>
        <w:ind w:firstLine="480"/>
        <w:rPr>
          <w:color w:val="auto"/>
          <w:sz w:val="24"/>
        </w:rPr>
      </w:pPr>
      <w:r>
        <w:rPr>
          <w:color w:val="auto"/>
          <w:sz w:val="24"/>
        </w:rPr>
        <w:t>本次声环境现状噪声监测时间为20</w:t>
      </w:r>
      <w:r>
        <w:rPr>
          <w:rFonts w:hint="eastAsia"/>
          <w:color w:val="auto"/>
          <w:sz w:val="24"/>
        </w:rPr>
        <w:t>2</w:t>
      </w:r>
      <w:r>
        <w:rPr>
          <w:rFonts w:hint="eastAsia"/>
          <w:color w:val="auto"/>
          <w:sz w:val="24"/>
          <w:lang w:val="en-US" w:eastAsia="zh-CN"/>
        </w:rPr>
        <w:t>3</w:t>
      </w:r>
      <w:r>
        <w:rPr>
          <w:color w:val="auto"/>
          <w:sz w:val="24"/>
        </w:rPr>
        <w:t>年</w:t>
      </w:r>
      <w:r>
        <w:rPr>
          <w:rFonts w:hint="eastAsia"/>
          <w:color w:val="auto"/>
          <w:sz w:val="24"/>
          <w:lang w:val="en-US" w:eastAsia="zh-CN"/>
        </w:rPr>
        <w:t>4</w:t>
      </w:r>
      <w:r>
        <w:rPr>
          <w:color w:val="auto"/>
          <w:sz w:val="24"/>
        </w:rPr>
        <w:t>月</w:t>
      </w:r>
      <w:r>
        <w:rPr>
          <w:rFonts w:hint="eastAsia"/>
          <w:color w:val="auto"/>
          <w:sz w:val="24"/>
          <w:lang w:val="en-US" w:eastAsia="zh-CN"/>
        </w:rPr>
        <w:t>3</w:t>
      </w:r>
      <w:r>
        <w:rPr>
          <w:color w:val="auto"/>
          <w:sz w:val="24"/>
        </w:rPr>
        <w:t>日—</w:t>
      </w:r>
      <w:r>
        <w:rPr>
          <w:rFonts w:hint="eastAsia"/>
          <w:color w:val="auto"/>
          <w:sz w:val="24"/>
          <w:lang w:val="en-US" w:eastAsia="zh-CN"/>
        </w:rPr>
        <w:t>4</w:t>
      </w:r>
      <w:r>
        <w:rPr>
          <w:color w:val="auto"/>
          <w:sz w:val="24"/>
        </w:rPr>
        <w:t>日，连续监测两天，昼、夜间各一次。监测方法按照《声环境质量标准》（GB3096-2008）进行。</w:t>
      </w:r>
    </w:p>
    <w:p>
      <w:pPr>
        <w:spacing w:line="360" w:lineRule="auto"/>
        <w:ind w:firstLine="480"/>
        <w:rPr>
          <w:b/>
          <w:bCs/>
          <w:color w:val="auto"/>
          <w:sz w:val="24"/>
        </w:rPr>
      </w:pPr>
      <w:r>
        <w:rPr>
          <w:b/>
          <w:bCs/>
          <w:color w:val="auto"/>
          <w:sz w:val="24"/>
        </w:rPr>
        <w:t>3、评价标准</w:t>
      </w:r>
    </w:p>
    <w:p>
      <w:pPr>
        <w:spacing w:line="360" w:lineRule="auto"/>
        <w:ind w:firstLine="480"/>
        <w:rPr>
          <w:color w:val="auto"/>
          <w:sz w:val="24"/>
        </w:rPr>
      </w:pPr>
      <w:r>
        <w:rPr>
          <w:color w:val="auto"/>
          <w:sz w:val="24"/>
        </w:rPr>
        <w:t>执行《声环境质量标准》(GB3096-2008)中2类标准（2类：昼间LAeq≤60dB，夜间LAeq≤50dB）。</w:t>
      </w:r>
    </w:p>
    <w:p>
      <w:pPr>
        <w:spacing w:line="360" w:lineRule="auto"/>
        <w:ind w:firstLine="480"/>
        <w:rPr>
          <w:b/>
          <w:bCs/>
          <w:color w:val="auto"/>
          <w:sz w:val="24"/>
        </w:rPr>
      </w:pPr>
      <w:r>
        <w:rPr>
          <w:b/>
          <w:bCs/>
          <w:color w:val="auto"/>
          <w:sz w:val="24"/>
        </w:rPr>
        <w:t>4、评价方法</w:t>
      </w:r>
    </w:p>
    <w:p>
      <w:pPr>
        <w:spacing w:line="360" w:lineRule="auto"/>
        <w:ind w:firstLine="480"/>
        <w:rPr>
          <w:color w:val="auto"/>
          <w:sz w:val="24"/>
        </w:rPr>
      </w:pPr>
      <w:r>
        <w:rPr>
          <w:color w:val="auto"/>
          <w:sz w:val="24"/>
        </w:rPr>
        <w:t>评价方法是以等效A 声级作为评价量，对照标准进行分析。</w:t>
      </w:r>
    </w:p>
    <w:p>
      <w:pPr>
        <w:spacing w:line="360" w:lineRule="auto"/>
        <w:ind w:left="535" w:leftChars="255"/>
        <w:rPr>
          <w:color w:val="auto"/>
          <w:sz w:val="24"/>
        </w:rPr>
      </w:pPr>
      <w:r>
        <w:rPr>
          <w:b/>
          <w:bCs/>
          <w:color w:val="auto"/>
          <w:sz w:val="24"/>
        </w:rPr>
        <w:t>5、监测结果与分析</w:t>
      </w:r>
    </w:p>
    <w:p>
      <w:pPr>
        <w:spacing w:line="360" w:lineRule="auto"/>
        <w:ind w:firstLine="480" w:firstLineChars="200"/>
        <w:rPr>
          <w:color w:val="auto"/>
          <w:sz w:val="24"/>
        </w:rPr>
      </w:pPr>
      <w:r>
        <w:rPr>
          <w:color w:val="auto"/>
          <w:sz w:val="24"/>
        </w:rPr>
        <w:t>评价结果结果见表</w:t>
      </w:r>
      <w:r>
        <w:rPr>
          <w:rFonts w:hint="eastAsia"/>
          <w:color w:val="auto"/>
          <w:sz w:val="24"/>
          <w:lang w:val="en-US" w:eastAsia="zh-CN"/>
        </w:rPr>
        <w:t>4</w:t>
      </w:r>
      <w:r>
        <w:rPr>
          <w:rFonts w:hint="eastAsia"/>
          <w:color w:val="auto"/>
          <w:sz w:val="24"/>
        </w:rPr>
        <w:t>.3</w:t>
      </w:r>
      <w:r>
        <w:rPr>
          <w:color w:val="auto"/>
          <w:sz w:val="24"/>
        </w:rPr>
        <w:t>-</w:t>
      </w:r>
      <w:r>
        <w:rPr>
          <w:rFonts w:hint="eastAsia"/>
          <w:color w:val="auto"/>
          <w:sz w:val="24"/>
          <w:lang w:val="en-US" w:eastAsia="zh-CN"/>
        </w:rPr>
        <w:t>7</w:t>
      </w:r>
      <w:r>
        <w:rPr>
          <w:color w:val="auto"/>
          <w:sz w:val="24"/>
        </w:rPr>
        <w:t>。</w:t>
      </w:r>
    </w:p>
    <w:p>
      <w:pPr>
        <w:pStyle w:val="4"/>
        <w:ind w:left="1260" w:hanging="420"/>
        <w:jc w:val="center"/>
        <w:rPr>
          <w:rFonts w:ascii="Times New Roman" w:eastAsia="黑体"/>
          <w:color w:val="auto"/>
          <w:sz w:val="21"/>
          <w:szCs w:val="21"/>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lang w:val="en-US" w:eastAsia="zh-CN"/>
        </w:rPr>
        <w:t xml:space="preserve">7 </w:t>
      </w:r>
      <w:r>
        <w:rPr>
          <w:rFonts w:hint="eastAsia" w:ascii="Times New Roman" w:eastAsia="黑体"/>
          <w:color w:val="auto"/>
          <w:sz w:val="21"/>
          <w:szCs w:val="21"/>
        </w:rPr>
        <w:t xml:space="preserve"> </w:t>
      </w:r>
      <w:r>
        <w:rPr>
          <w:rFonts w:ascii="Times New Roman" w:eastAsia="黑体"/>
          <w:color w:val="auto"/>
          <w:sz w:val="21"/>
          <w:szCs w:val="21"/>
        </w:rPr>
        <w:t>噪声监测结果单位：dB(A)</w:t>
      </w:r>
    </w:p>
    <w:tbl>
      <w:tblPr>
        <w:tblStyle w:val="89"/>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3"/>
        <w:gridCol w:w="1016"/>
        <w:gridCol w:w="717"/>
        <w:gridCol w:w="804"/>
        <w:gridCol w:w="594"/>
        <w:gridCol w:w="706"/>
        <w:gridCol w:w="543"/>
        <w:gridCol w:w="1013"/>
        <w:gridCol w:w="710"/>
        <w:gridCol w:w="748"/>
        <w:gridCol w:w="650"/>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点号</w:t>
            </w:r>
          </w:p>
        </w:tc>
        <w:tc>
          <w:tcPr>
            <w:tcW w:w="1733" w:type="dxa"/>
            <w:gridSpan w:val="2"/>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时段</w:t>
            </w:r>
          </w:p>
        </w:tc>
        <w:tc>
          <w:tcPr>
            <w:tcW w:w="804"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监测结果</w:t>
            </w:r>
          </w:p>
        </w:tc>
        <w:tc>
          <w:tcPr>
            <w:tcW w:w="594"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标准限值</w:t>
            </w:r>
          </w:p>
        </w:tc>
        <w:tc>
          <w:tcPr>
            <w:tcW w:w="706"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评价</w:t>
            </w:r>
          </w:p>
        </w:tc>
        <w:tc>
          <w:tcPr>
            <w:tcW w:w="54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点号</w:t>
            </w:r>
          </w:p>
        </w:tc>
        <w:tc>
          <w:tcPr>
            <w:tcW w:w="1723" w:type="dxa"/>
            <w:gridSpan w:val="2"/>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时段</w:t>
            </w:r>
          </w:p>
        </w:tc>
        <w:tc>
          <w:tcPr>
            <w:tcW w:w="748"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监测结果</w:t>
            </w:r>
          </w:p>
        </w:tc>
        <w:tc>
          <w:tcPr>
            <w:tcW w:w="65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标准限值</w:t>
            </w:r>
          </w:p>
        </w:tc>
        <w:tc>
          <w:tcPr>
            <w:tcW w:w="698"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color w:val="auto"/>
                <w:sz w:val="18"/>
                <w:szCs w:val="18"/>
              </w:rPr>
            </w:pPr>
            <w:r>
              <w:rPr>
                <w:rFonts w:hint="default"/>
                <w:b/>
                <w:color w:val="auto"/>
                <w:sz w:val="18"/>
                <w:szCs w:val="18"/>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1#</w:t>
            </w: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sz w:val="18"/>
                <w:szCs w:val="18"/>
                <w:lang w:val="en-US" w:eastAsia="zh-CN"/>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2#</w:t>
            </w: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42</w:t>
            </w:r>
          </w:p>
        </w:tc>
        <w:tc>
          <w:tcPr>
            <w:tcW w:w="5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olor w:val="auto"/>
                <w:lang w:val="en-US" w:eastAsia="zh-CN"/>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41</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40</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3#</w:t>
            </w: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color w:val="auto"/>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18"/>
                <w:szCs w:val="18"/>
                <w:lang w:val="en-US" w:eastAsia="zh-CN"/>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4#</w:t>
            </w: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18"/>
                <w:szCs w:val="18"/>
                <w:lang w:val="en-US" w:eastAsia="zh-CN"/>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41</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53</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18"/>
                <w:szCs w:val="18"/>
                <w:lang w:val="en-US" w:eastAsia="zh-CN"/>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41</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5#</w:t>
            </w: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color w:val="auto"/>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 w:val="18"/>
                <w:szCs w:val="18"/>
                <w:lang w:val="en-US" w:eastAsia="zh-CN"/>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6</w:t>
            </w:r>
            <w:r>
              <w:rPr>
                <w:rFonts w:hint="default" w:ascii="Times New Roman" w:hAnsi="Times New Roman" w:eastAsia="宋体" w:cs="Times New Roman"/>
                <w:color w:val="auto"/>
                <w:sz w:val="18"/>
                <w:szCs w:val="18"/>
              </w:rPr>
              <w:t>#</w:t>
            </w: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42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lang w:val="en-US" w:eastAsia="zh-CN"/>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sz w:val="18"/>
                <w:szCs w:val="18"/>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olor w:val="auto"/>
                <w:sz w:val="18"/>
                <w:szCs w:val="18"/>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jc w:val="center"/>
        </w:trPr>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w:t>
            </w: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w:t>
            </w: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lang w:val="en-US" w:eastAsia="zh-CN"/>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w:t>
            </w: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10</w:t>
            </w: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53</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40</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11</w:t>
            </w:r>
          </w:p>
        </w:tc>
        <w:tc>
          <w:tcPr>
            <w:tcW w:w="1016"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52</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12</w:t>
            </w:r>
          </w:p>
        </w:tc>
        <w:tc>
          <w:tcPr>
            <w:tcW w:w="1013" w:type="dxa"/>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50</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717"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80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59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706"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710"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74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42</w:t>
            </w:r>
          </w:p>
        </w:tc>
        <w:tc>
          <w:tcPr>
            <w:tcW w:w="65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69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restart"/>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804"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53</w:t>
            </w:r>
          </w:p>
        </w:tc>
        <w:tc>
          <w:tcPr>
            <w:tcW w:w="59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restart"/>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51</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804"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40</w:t>
            </w:r>
          </w:p>
        </w:tc>
        <w:tc>
          <w:tcPr>
            <w:tcW w:w="59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restart"/>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13</w:t>
            </w:r>
          </w:p>
        </w:tc>
        <w:tc>
          <w:tcPr>
            <w:tcW w:w="1016" w:type="dxa"/>
            <w:vMerge w:val="restart"/>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3</w:t>
            </w: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804"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51</w:t>
            </w:r>
          </w:p>
        </w:tc>
        <w:tc>
          <w:tcPr>
            <w:tcW w:w="59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restart"/>
            <w:vAlign w:val="center"/>
          </w:tcPr>
          <w:p>
            <w:pPr>
              <w:keepNext w:val="0"/>
              <w:keepLines w:val="0"/>
              <w:widowControl/>
              <w:suppressLineNumbers w:val="0"/>
              <w:spacing w:before="0" w:beforeAutospacing="0" w:after="0" w:afterAutospacing="0"/>
              <w:ind w:left="0" w:right="0"/>
              <w:jc w:val="center"/>
              <w:rPr>
                <w:rFonts w:hint="default" w:eastAsia="宋体"/>
                <w:color w:val="auto"/>
                <w:sz w:val="18"/>
                <w:szCs w:val="18"/>
                <w:lang w:val="en-US" w:eastAsia="zh-CN"/>
              </w:rPr>
            </w:pPr>
          </w:p>
        </w:tc>
        <w:tc>
          <w:tcPr>
            <w:tcW w:w="1013" w:type="dxa"/>
            <w:vMerge w:val="restart"/>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804"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40</w:t>
            </w:r>
          </w:p>
        </w:tc>
        <w:tc>
          <w:tcPr>
            <w:tcW w:w="59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restart"/>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r>
              <w:rPr>
                <w:rFonts w:hint="eastAsia"/>
                <w:color w:val="auto"/>
                <w:sz w:val="18"/>
                <w:szCs w:val="18"/>
              </w:rPr>
              <w:t>2</w:t>
            </w:r>
            <w:r>
              <w:rPr>
                <w:rFonts w:hint="eastAsia"/>
                <w:color w:val="auto"/>
                <w:sz w:val="18"/>
                <w:szCs w:val="18"/>
                <w:lang w:val="en-US" w:eastAsia="zh-CN"/>
              </w:rPr>
              <w:t>3</w:t>
            </w:r>
            <w:r>
              <w:rPr>
                <w:rFonts w:hint="default"/>
                <w:color w:val="auto"/>
                <w:sz w:val="18"/>
                <w:szCs w:val="18"/>
              </w:rPr>
              <w:t>.</w:t>
            </w:r>
            <w:r>
              <w:rPr>
                <w:rFonts w:hint="eastAsia"/>
                <w:color w:val="auto"/>
                <w:sz w:val="18"/>
                <w:szCs w:val="18"/>
                <w:lang w:val="en-US" w:eastAsia="zh-CN"/>
              </w:rPr>
              <w:t>4</w:t>
            </w:r>
            <w:r>
              <w:rPr>
                <w:rFonts w:hint="default"/>
                <w:color w:val="auto"/>
                <w:sz w:val="18"/>
                <w:szCs w:val="18"/>
              </w:rPr>
              <w:t>.</w:t>
            </w:r>
            <w:r>
              <w:rPr>
                <w:rFonts w:hint="eastAsia"/>
                <w:color w:val="auto"/>
                <w:sz w:val="18"/>
                <w:szCs w:val="18"/>
                <w:lang w:val="en-US" w:eastAsia="zh-CN"/>
              </w:rPr>
              <w:t>4</w:t>
            </w: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昼间</w:t>
            </w:r>
          </w:p>
        </w:tc>
        <w:tc>
          <w:tcPr>
            <w:tcW w:w="804"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51</w:t>
            </w:r>
          </w:p>
        </w:tc>
        <w:tc>
          <w:tcPr>
            <w:tcW w:w="59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60</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restart"/>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43"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016"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夜间</w:t>
            </w:r>
          </w:p>
        </w:tc>
        <w:tc>
          <w:tcPr>
            <w:tcW w:w="804"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41</w:t>
            </w:r>
          </w:p>
        </w:tc>
        <w:tc>
          <w:tcPr>
            <w:tcW w:w="59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50</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达标</w:t>
            </w:r>
          </w:p>
        </w:tc>
        <w:tc>
          <w:tcPr>
            <w:tcW w:w="543" w:type="dxa"/>
            <w:vMerge w:val="continue"/>
            <w:vAlign w:val="center"/>
          </w:tcPr>
          <w:p>
            <w:pPr>
              <w:keepNext w:val="0"/>
              <w:keepLines w:val="0"/>
              <w:widowControl/>
              <w:suppressLineNumbers w:val="0"/>
              <w:spacing w:before="0" w:beforeAutospacing="0" w:after="0" w:afterAutospacing="0"/>
              <w:ind w:left="0" w:right="0"/>
              <w:jc w:val="center"/>
              <w:rPr>
                <w:rFonts w:hint="default"/>
                <w:color w:val="auto"/>
                <w:sz w:val="18"/>
                <w:szCs w:val="18"/>
              </w:rPr>
            </w:pPr>
          </w:p>
        </w:tc>
        <w:tc>
          <w:tcPr>
            <w:tcW w:w="1013" w:type="dxa"/>
            <w:vMerge w:val="continue"/>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p>
        </w:tc>
      </w:tr>
    </w:tbl>
    <w:p>
      <w:pPr>
        <w:spacing w:before="120" w:beforeLines="50" w:line="360" w:lineRule="auto"/>
        <w:ind w:firstLine="480" w:firstLineChars="200"/>
        <w:rPr>
          <w:color w:val="auto"/>
          <w:sz w:val="24"/>
        </w:rPr>
      </w:pPr>
      <w:r>
        <w:rPr>
          <w:color w:val="auto"/>
          <w:sz w:val="24"/>
        </w:rPr>
        <w:t>由上表可以看出：建设项目所在区域各噪声监测点位均满足《声环境质量标准》(GB3096-2008)中2类标准要求(昼间≤60分贝，夜间≤50分贝)。</w:t>
      </w:r>
    </w:p>
    <w:p>
      <w:pPr>
        <w:pStyle w:val="7"/>
        <w:spacing w:before="120"/>
        <w:rPr>
          <w:color w:val="auto"/>
          <w:sz w:val="24"/>
          <w:szCs w:val="24"/>
        </w:rPr>
      </w:pPr>
      <w:bookmarkStart w:id="352" w:name="_Toc23715"/>
      <w:r>
        <w:rPr>
          <w:color w:val="auto"/>
          <w:sz w:val="24"/>
          <w:szCs w:val="24"/>
        </w:rPr>
        <w:t>土壤环境现状监测与评价</w:t>
      </w:r>
      <w:bookmarkEnd w:id="352"/>
    </w:p>
    <w:p>
      <w:pPr>
        <w:spacing w:line="360" w:lineRule="auto"/>
        <w:ind w:firstLine="480" w:firstLineChars="200"/>
        <w:rPr>
          <w:color w:val="auto"/>
          <w:sz w:val="24"/>
        </w:rPr>
      </w:pPr>
      <w:r>
        <w:rPr>
          <w:color w:val="auto"/>
          <w:sz w:val="24"/>
        </w:rPr>
        <w:t>为了解评价范围土壤环境本底情况，</w:t>
      </w:r>
      <w:r>
        <w:rPr>
          <w:rFonts w:hint="eastAsia"/>
          <w:color w:val="auto"/>
          <w:sz w:val="24"/>
          <w:lang w:eastAsia="zh-CN"/>
        </w:rPr>
        <w:t>四川海德汇环保科技有限公司</w:t>
      </w:r>
      <w:r>
        <w:rPr>
          <w:color w:val="auto"/>
          <w:sz w:val="24"/>
        </w:rPr>
        <w:t>于</w:t>
      </w:r>
      <w:r>
        <w:rPr>
          <w:rFonts w:hint="eastAsia"/>
          <w:color w:val="auto"/>
          <w:sz w:val="24"/>
        </w:rPr>
        <w:t>20</w:t>
      </w:r>
      <w:r>
        <w:rPr>
          <w:rFonts w:hint="eastAsia"/>
          <w:color w:val="auto"/>
          <w:sz w:val="24"/>
          <w:lang w:val="en-US" w:eastAsia="zh-CN"/>
        </w:rPr>
        <w:t>23</w:t>
      </w:r>
      <w:r>
        <w:rPr>
          <w:color w:val="auto"/>
          <w:sz w:val="24"/>
        </w:rPr>
        <w:t>年</w:t>
      </w:r>
      <w:r>
        <w:rPr>
          <w:rFonts w:hint="eastAsia"/>
          <w:color w:val="auto"/>
          <w:sz w:val="24"/>
          <w:lang w:val="en-US" w:eastAsia="zh-CN"/>
        </w:rPr>
        <w:t>1</w:t>
      </w:r>
      <w:r>
        <w:rPr>
          <w:color w:val="auto"/>
          <w:sz w:val="24"/>
        </w:rPr>
        <w:t>月</w:t>
      </w:r>
      <w:r>
        <w:rPr>
          <w:rFonts w:hint="eastAsia"/>
          <w:color w:val="auto"/>
          <w:sz w:val="24"/>
          <w:lang w:val="en-US" w:eastAsia="zh-CN"/>
        </w:rPr>
        <w:t>5</w:t>
      </w:r>
      <w:r>
        <w:rPr>
          <w:color w:val="auto"/>
          <w:sz w:val="24"/>
        </w:rPr>
        <w:t>日对项目拟建场地内的土壤的土壤进行现场采样，监测布点见附图。</w:t>
      </w:r>
    </w:p>
    <w:p>
      <w:pPr>
        <w:spacing w:line="360" w:lineRule="auto"/>
        <w:ind w:firstLine="480"/>
        <w:rPr>
          <w:b/>
          <w:bCs/>
          <w:color w:val="auto"/>
          <w:sz w:val="24"/>
        </w:rPr>
      </w:pPr>
      <w:r>
        <w:rPr>
          <w:b/>
          <w:bCs/>
          <w:color w:val="auto"/>
          <w:sz w:val="24"/>
        </w:rPr>
        <w:t>1、监测点位设置</w:t>
      </w:r>
    </w:p>
    <w:p>
      <w:pPr>
        <w:pStyle w:val="4"/>
        <w:spacing w:line="360" w:lineRule="auto"/>
        <w:ind w:left="1400" w:hanging="560"/>
        <w:jc w:val="both"/>
        <w:rPr>
          <w:rFonts w:ascii="Times New Roman"/>
          <w:color w:val="auto"/>
          <w:szCs w:val="24"/>
        </w:rPr>
      </w:pPr>
      <w:r>
        <w:rPr>
          <w:rFonts w:ascii="Times New Roman"/>
          <w:color w:val="auto"/>
        </w:rPr>
        <w:t>设置了三个采样点位，见表</w:t>
      </w:r>
      <w:r>
        <w:rPr>
          <w:rFonts w:hint="eastAsia" w:ascii="Times New Roman"/>
          <w:color w:val="auto"/>
          <w:lang w:val="en-US" w:eastAsia="zh-CN"/>
        </w:rPr>
        <w:t>4</w:t>
      </w:r>
      <w:r>
        <w:rPr>
          <w:rFonts w:hint="eastAsia" w:ascii="Times New Roman"/>
          <w:color w:val="auto"/>
        </w:rPr>
        <w:t>.3</w:t>
      </w:r>
      <w:r>
        <w:rPr>
          <w:rFonts w:ascii="Times New Roman"/>
          <w:color w:val="auto"/>
        </w:rPr>
        <w:t>-</w:t>
      </w:r>
      <w:r>
        <w:rPr>
          <w:rFonts w:hint="eastAsia" w:ascii="Times New Roman"/>
          <w:color w:val="auto"/>
          <w:lang w:val="en-US" w:eastAsia="zh-CN"/>
        </w:rPr>
        <w:t>8</w:t>
      </w:r>
      <w:r>
        <w:rPr>
          <w:rFonts w:ascii="Times New Roman"/>
          <w:color w:val="auto"/>
        </w:rPr>
        <w:t>，监测布点图详见附图。</w:t>
      </w:r>
    </w:p>
    <w:p>
      <w:pPr>
        <w:pStyle w:val="4"/>
        <w:ind w:left="1260" w:hanging="420"/>
        <w:jc w:val="center"/>
        <w:rPr>
          <w:rFonts w:ascii="Times New Roman"/>
          <w:color w:val="auto"/>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lang w:val="en-US" w:eastAsia="zh-CN"/>
        </w:rPr>
        <w:t>8</w:t>
      </w:r>
      <w:r>
        <w:rPr>
          <w:rFonts w:ascii="Times New Roman" w:eastAsia="黑体"/>
          <w:color w:val="auto"/>
          <w:sz w:val="21"/>
          <w:szCs w:val="21"/>
        </w:rPr>
        <w:t xml:space="preserve"> </w:t>
      </w:r>
      <w:r>
        <w:rPr>
          <w:rFonts w:hint="eastAsia" w:ascii="Times New Roman" w:eastAsia="黑体"/>
          <w:color w:val="auto"/>
          <w:sz w:val="21"/>
          <w:szCs w:val="21"/>
          <w:lang w:val="en-US" w:eastAsia="zh-CN"/>
        </w:rPr>
        <w:t xml:space="preserve"> </w:t>
      </w:r>
      <w:r>
        <w:rPr>
          <w:rFonts w:ascii="Times New Roman" w:eastAsia="黑体"/>
          <w:color w:val="auto"/>
          <w:sz w:val="21"/>
          <w:szCs w:val="21"/>
        </w:rPr>
        <w:t>土壤环境现状监测点位</w:t>
      </w:r>
    </w:p>
    <w:tbl>
      <w:tblPr>
        <w:tblStyle w:val="89"/>
        <w:tblW w:w="894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61"/>
        <w:gridCol w:w="1733"/>
        <w:gridCol w:w="53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4" w:hRule="atLeast"/>
          <w:jc w:val="center"/>
        </w:trPr>
        <w:tc>
          <w:tcPr>
            <w:tcW w:w="1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采样时间</w:t>
            </w:r>
          </w:p>
        </w:tc>
        <w:tc>
          <w:tcPr>
            <w:tcW w:w="17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default"/>
                <w:b/>
                <w:color w:val="auto"/>
                <w:sz w:val="18"/>
                <w:szCs w:val="18"/>
              </w:rPr>
              <w:t>测点编号</w:t>
            </w:r>
          </w:p>
        </w:tc>
        <w:tc>
          <w:tcPr>
            <w:tcW w:w="53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default"/>
                <w:b/>
                <w:color w:val="auto"/>
                <w:sz w:val="18"/>
                <w:szCs w:val="18"/>
              </w:rPr>
              <w:t>测点位置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5" w:hRule="atLeast"/>
          <w:jc w:val="center"/>
        </w:trPr>
        <w:tc>
          <w:tcPr>
            <w:tcW w:w="18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rPr>
              <w:t>202</w:t>
            </w:r>
            <w:r>
              <w:rPr>
                <w:rFonts w:hint="eastAsia"/>
                <w:color w:val="auto"/>
                <w:sz w:val="21"/>
                <w:szCs w:val="21"/>
                <w:lang w:val="en-US" w:eastAsia="zh-CN"/>
              </w:rPr>
              <w:t>3</w:t>
            </w:r>
            <w:r>
              <w:rPr>
                <w:rFonts w:hint="eastAsia"/>
                <w:color w:val="auto"/>
                <w:sz w:val="21"/>
                <w:szCs w:val="21"/>
              </w:rPr>
              <w:t>.</w:t>
            </w:r>
            <w:r>
              <w:rPr>
                <w:rFonts w:hint="eastAsia"/>
                <w:color w:val="auto"/>
                <w:sz w:val="21"/>
                <w:szCs w:val="21"/>
                <w:lang w:val="en-US" w:eastAsia="zh-CN"/>
              </w:rPr>
              <w:t>1</w:t>
            </w:r>
            <w:r>
              <w:rPr>
                <w:rFonts w:hint="eastAsia"/>
                <w:color w:val="auto"/>
                <w:sz w:val="21"/>
                <w:szCs w:val="21"/>
              </w:rPr>
              <w:t>.</w:t>
            </w:r>
            <w:r>
              <w:rPr>
                <w:rFonts w:hint="eastAsia"/>
                <w:color w:val="auto"/>
                <w:sz w:val="21"/>
                <w:szCs w:val="21"/>
                <w:lang w:val="en-US" w:eastAsia="zh-CN"/>
              </w:rPr>
              <w:t>5</w:t>
            </w:r>
          </w:p>
        </w:tc>
        <w:tc>
          <w:tcPr>
            <w:tcW w:w="17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1#</w:t>
            </w:r>
          </w:p>
        </w:tc>
        <w:tc>
          <w:tcPr>
            <w:tcW w:w="53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i w:val="0"/>
                <w:iCs w:val="0"/>
                <w:color w:val="auto"/>
                <w:sz w:val="21"/>
                <w:szCs w:val="21"/>
              </w:rPr>
              <w:t>项目地块内</w:t>
            </w:r>
            <w:r>
              <w:rPr>
                <w:rFonts w:hint="default" w:ascii="Times New Roman" w:hAnsi="Times New Roman" w:eastAsia="宋体" w:cs="Times New Roman"/>
                <w:i w:val="0"/>
                <w:iCs w:val="0"/>
                <w:color w:val="auto"/>
                <w:sz w:val="21"/>
                <w:szCs w:val="21"/>
                <w:lang w:val="en-US" w:eastAsia="zh-CN"/>
              </w:rPr>
              <w:t>东</w:t>
            </w:r>
            <w:r>
              <w:rPr>
                <w:rFonts w:hint="default" w:ascii="Times New Roman" w:hAnsi="Times New Roman" w:eastAsia="宋体" w:cs="Times New Roman"/>
                <w:i w:val="0"/>
                <w:iCs w:val="0"/>
                <w:color w:val="auto"/>
                <w:sz w:val="21"/>
                <w:szCs w:val="21"/>
              </w:rPr>
              <w:t>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08" w:hRule="atLeast"/>
          <w:jc w:val="center"/>
        </w:trPr>
        <w:tc>
          <w:tcPr>
            <w:tcW w:w="18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rPr>
            </w:pPr>
          </w:p>
        </w:tc>
        <w:tc>
          <w:tcPr>
            <w:tcW w:w="17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2#</w:t>
            </w:r>
          </w:p>
        </w:tc>
        <w:tc>
          <w:tcPr>
            <w:tcW w:w="5354" w:type="dxa"/>
            <w:tcBorders>
              <w:tl2br w:val="nil"/>
              <w:tr2bl w:val="nil"/>
            </w:tcBorders>
            <w:vAlign w:val="center"/>
          </w:tcPr>
          <w:p>
            <w:pPr>
              <w:pStyle w:val="67"/>
              <w:keepNext w:val="0"/>
              <w:keepLines w:val="0"/>
              <w:suppressLineNumbers w:val="0"/>
              <w:snapToGrid w:val="0"/>
              <w:spacing w:before="0" w:beforeAutospacing="0" w:after="0" w:afterAutospacing="0"/>
              <w:ind w:left="420" w:leftChars="0" w:right="0" w:hanging="420" w:hangingChars="200"/>
              <w:jc w:val="center"/>
              <w:rPr>
                <w:rFonts w:hint="default"/>
                <w:color w:val="auto"/>
                <w:sz w:val="21"/>
                <w:szCs w:val="21"/>
              </w:rPr>
            </w:pPr>
            <w:r>
              <w:rPr>
                <w:rFonts w:hint="default" w:ascii="Times New Roman" w:hAnsi="Times New Roman" w:eastAsia="宋体" w:cs="Times New Roman"/>
                <w:bCs/>
                <w:color w:val="auto"/>
                <w:kern w:val="2"/>
                <w:sz w:val="21"/>
                <w:szCs w:val="21"/>
                <w:lang w:val="en-US" w:eastAsia="zh-CN" w:bidi="ar-SA"/>
              </w:rPr>
              <w:t>2#，</w:t>
            </w:r>
            <w:r>
              <w:rPr>
                <w:rFonts w:hint="default" w:ascii="Times New Roman" w:hAnsi="Times New Roman" w:eastAsia="宋体" w:cs="Times New Roman"/>
                <w:i w:val="0"/>
                <w:iCs w:val="0"/>
                <w:color w:val="auto"/>
                <w:sz w:val="21"/>
                <w:szCs w:val="21"/>
              </w:rPr>
              <w:t>项目地块内</w:t>
            </w:r>
            <w:r>
              <w:rPr>
                <w:rFonts w:hint="default" w:ascii="Times New Roman" w:hAnsi="Times New Roman" w:eastAsia="宋体" w:cs="Times New Roman"/>
                <w:i w:val="0"/>
                <w:iCs w:val="0"/>
                <w:color w:val="auto"/>
                <w:sz w:val="21"/>
                <w:szCs w:val="21"/>
                <w:lang w:val="en-US" w:eastAsia="zh-CN"/>
              </w:rPr>
              <w:t>西侧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0" w:hRule="atLeast"/>
          <w:jc w:val="center"/>
        </w:trPr>
        <w:tc>
          <w:tcPr>
            <w:tcW w:w="186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rPr>
            </w:pPr>
          </w:p>
        </w:tc>
        <w:tc>
          <w:tcPr>
            <w:tcW w:w="1733"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eastAsia"/>
                <w:color w:val="auto"/>
                <w:sz w:val="21"/>
                <w:szCs w:val="21"/>
              </w:rPr>
              <w:t>3#</w:t>
            </w:r>
          </w:p>
        </w:tc>
        <w:tc>
          <w:tcPr>
            <w:tcW w:w="5354" w:type="dxa"/>
            <w:tcBorders>
              <w:tl2br w:val="nil"/>
              <w:tr2bl w:val="nil"/>
            </w:tcBorders>
            <w:vAlign w:val="center"/>
          </w:tcPr>
          <w:p>
            <w:pPr>
              <w:pStyle w:val="67"/>
              <w:keepNext w:val="0"/>
              <w:keepLines w:val="0"/>
              <w:suppressLineNumbers w:val="0"/>
              <w:snapToGrid w:val="0"/>
              <w:spacing w:before="0" w:beforeAutospacing="0" w:after="0" w:afterAutospacing="0"/>
              <w:ind w:left="420" w:leftChars="0" w:right="0" w:hanging="420" w:hangingChars="200"/>
              <w:jc w:val="center"/>
              <w:rPr>
                <w:rFonts w:hint="default"/>
                <w:color w:val="auto"/>
                <w:sz w:val="21"/>
                <w:szCs w:val="21"/>
              </w:rPr>
            </w:pPr>
            <w:r>
              <w:rPr>
                <w:rFonts w:hint="default" w:ascii="Times New Roman" w:hAnsi="Times New Roman" w:eastAsia="宋体" w:cs="Times New Roman"/>
                <w:bCs/>
                <w:color w:val="auto"/>
                <w:kern w:val="2"/>
                <w:sz w:val="21"/>
                <w:szCs w:val="21"/>
                <w:lang w:val="en-US" w:eastAsia="zh-CN" w:bidi="ar-SA"/>
              </w:rPr>
              <w:t>3#，</w:t>
            </w:r>
            <w:r>
              <w:rPr>
                <w:rFonts w:hint="default" w:ascii="Times New Roman" w:hAnsi="Times New Roman" w:eastAsia="宋体" w:cs="Times New Roman"/>
                <w:i w:val="0"/>
                <w:iCs w:val="0"/>
                <w:color w:val="auto"/>
                <w:sz w:val="21"/>
                <w:szCs w:val="21"/>
              </w:rPr>
              <w:t>项目地块内</w:t>
            </w:r>
            <w:r>
              <w:rPr>
                <w:rFonts w:hint="default" w:ascii="Times New Roman" w:hAnsi="Times New Roman" w:eastAsia="宋体" w:cs="Times New Roman"/>
                <w:i w:val="0"/>
                <w:iCs w:val="0"/>
                <w:color w:val="auto"/>
                <w:sz w:val="21"/>
                <w:szCs w:val="21"/>
                <w:lang w:val="en-US" w:eastAsia="zh-CN"/>
              </w:rPr>
              <w:t>北</w:t>
            </w:r>
            <w:r>
              <w:rPr>
                <w:rFonts w:hint="default" w:ascii="Times New Roman" w:hAnsi="Times New Roman" w:eastAsia="宋体" w:cs="Times New Roman"/>
                <w:i w:val="0"/>
                <w:iCs w:val="0"/>
                <w:color w:val="auto"/>
                <w:sz w:val="21"/>
                <w:szCs w:val="21"/>
              </w:rPr>
              <w:t>侧</w:t>
            </w:r>
          </w:p>
        </w:tc>
      </w:tr>
    </w:tbl>
    <w:p>
      <w:pPr>
        <w:spacing w:line="360" w:lineRule="auto"/>
        <w:ind w:firstLine="480"/>
        <w:rPr>
          <w:b/>
          <w:bCs/>
          <w:color w:val="auto"/>
          <w:sz w:val="24"/>
        </w:rPr>
      </w:pPr>
      <w:r>
        <w:rPr>
          <w:b/>
          <w:bCs/>
          <w:color w:val="auto"/>
          <w:sz w:val="24"/>
        </w:rPr>
        <w:t>2、监测因子</w:t>
      </w:r>
    </w:p>
    <w:p>
      <w:pPr>
        <w:spacing w:line="360" w:lineRule="auto"/>
        <w:ind w:firstLine="525"/>
        <w:rPr>
          <w:color w:val="auto"/>
          <w:sz w:val="24"/>
          <w:szCs w:val="24"/>
        </w:rPr>
      </w:pPr>
      <w:r>
        <w:rPr>
          <w:color w:val="auto"/>
          <w:sz w:val="24"/>
          <w:szCs w:val="24"/>
        </w:rPr>
        <w:t>监测因子为：pH</w:t>
      </w:r>
      <w:r>
        <w:rPr>
          <w:rFonts w:hint="eastAsia"/>
          <w:color w:val="auto"/>
          <w:sz w:val="24"/>
          <w:szCs w:val="24"/>
          <w:lang w:eastAsia="zh-CN"/>
        </w:rPr>
        <w:t>、镍、铅、镉、砷、汞、锌、铜、铬</w:t>
      </w:r>
      <w:r>
        <w:rPr>
          <w:color w:val="auto"/>
          <w:sz w:val="24"/>
          <w:szCs w:val="24"/>
        </w:rPr>
        <w:t>。</w:t>
      </w:r>
    </w:p>
    <w:p>
      <w:pPr>
        <w:spacing w:line="360" w:lineRule="auto"/>
        <w:ind w:firstLine="480"/>
        <w:rPr>
          <w:b/>
          <w:bCs/>
          <w:color w:val="auto"/>
          <w:sz w:val="24"/>
        </w:rPr>
      </w:pPr>
      <w:r>
        <w:rPr>
          <w:b/>
          <w:bCs/>
          <w:color w:val="auto"/>
          <w:sz w:val="24"/>
        </w:rPr>
        <w:t>3、采样时间、频率</w:t>
      </w:r>
    </w:p>
    <w:p>
      <w:pPr>
        <w:spacing w:line="360" w:lineRule="auto"/>
        <w:ind w:firstLine="480"/>
        <w:rPr>
          <w:rFonts w:ascii="Times New Roman" w:hAnsi="Times New Roman" w:cs="Times New Roman"/>
          <w:b w:val="0"/>
          <w:bCs w:val="0"/>
          <w:color w:val="auto"/>
          <w:sz w:val="24"/>
        </w:rPr>
      </w:pPr>
      <w:r>
        <w:rPr>
          <w:rFonts w:ascii="Times New Roman" w:hAnsi="Times New Roman" w:cs="Times New Roman"/>
          <w:b w:val="0"/>
          <w:bCs w:val="0"/>
          <w:color w:val="auto"/>
          <w:sz w:val="24"/>
        </w:rPr>
        <w:t>采样时间为</w:t>
      </w:r>
      <w:r>
        <w:rPr>
          <w:rFonts w:hint="eastAsia" w:ascii="Times New Roman" w:hAnsi="Times New Roman" w:cs="Times New Roman"/>
          <w:b w:val="0"/>
          <w:bCs w:val="0"/>
          <w:color w:val="auto"/>
          <w:sz w:val="24"/>
        </w:rPr>
        <w:t>202</w:t>
      </w:r>
      <w:r>
        <w:rPr>
          <w:rFonts w:hint="eastAsia" w:cs="Times New Roman"/>
          <w:b w:val="0"/>
          <w:bCs w:val="0"/>
          <w:color w:val="auto"/>
          <w:sz w:val="24"/>
          <w:lang w:val="en-US" w:eastAsia="zh-CN"/>
        </w:rPr>
        <w:t>3</w:t>
      </w:r>
      <w:r>
        <w:rPr>
          <w:rFonts w:ascii="Times New Roman" w:hAnsi="Times New Roman" w:cs="Times New Roman"/>
          <w:b w:val="0"/>
          <w:bCs w:val="0"/>
          <w:color w:val="auto"/>
          <w:sz w:val="24"/>
        </w:rPr>
        <w:t>年</w:t>
      </w:r>
      <w:r>
        <w:rPr>
          <w:rFonts w:hint="eastAsia" w:cs="Times New Roman"/>
          <w:b w:val="0"/>
          <w:bCs w:val="0"/>
          <w:color w:val="auto"/>
          <w:sz w:val="24"/>
          <w:lang w:val="en-US" w:eastAsia="zh-CN"/>
        </w:rPr>
        <w:t>1</w:t>
      </w:r>
      <w:r>
        <w:rPr>
          <w:rFonts w:ascii="Times New Roman" w:hAnsi="Times New Roman" w:cs="Times New Roman"/>
          <w:b w:val="0"/>
          <w:bCs w:val="0"/>
          <w:color w:val="auto"/>
          <w:sz w:val="24"/>
        </w:rPr>
        <w:t>月</w:t>
      </w:r>
      <w:r>
        <w:rPr>
          <w:rFonts w:hint="eastAsia" w:cs="Times New Roman"/>
          <w:b w:val="0"/>
          <w:bCs w:val="0"/>
          <w:color w:val="auto"/>
          <w:sz w:val="24"/>
          <w:lang w:val="en-US" w:eastAsia="zh-CN"/>
        </w:rPr>
        <w:t>5</w:t>
      </w:r>
      <w:r>
        <w:rPr>
          <w:rFonts w:ascii="Times New Roman" w:hAnsi="Times New Roman" w:cs="Times New Roman"/>
          <w:b w:val="0"/>
          <w:bCs w:val="0"/>
          <w:color w:val="auto"/>
          <w:sz w:val="24"/>
        </w:rPr>
        <w:t>日，监测频率为监测1天，每天采样一次。</w:t>
      </w:r>
    </w:p>
    <w:p>
      <w:pPr>
        <w:spacing w:line="360" w:lineRule="auto"/>
        <w:ind w:firstLine="480"/>
        <w:rPr>
          <w:rFonts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ascii="Times New Roman" w:hAnsi="Times New Roman" w:cs="Times New Roman"/>
          <w:b/>
          <w:bCs/>
          <w:color w:val="auto"/>
          <w:sz w:val="24"/>
        </w:rPr>
        <w:t>、评价标准</w:t>
      </w:r>
    </w:p>
    <w:p>
      <w:pPr>
        <w:spacing w:line="360" w:lineRule="auto"/>
        <w:ind w:firstLine="480"/>
        <w:rPr>
          <w:b w:val="0"/>
          <w:bCs w:val="0"/>
          <w:color w:val="auto"/>
          <w:sz w:val="24"/>
        </w:rPr>
      </w:pPr>
      <w:r>
        <w:rPr>
          <w:rFonts w:ascii="Times New Roman" w:hAnsi="Times New Roman" w:cs="Times New Roman"/>
          <w:b w:val="0"/>
          <w:bCs w:val="0"/>
          <w:color w:val="auto"/>
          <w:sz w:val="24"/>
        </w:rPr>
        <w:t>拟建场地内消纳土地执行《土壤环境质量 农用地土壤污染</w:t>
      </w:r>
      <w:r>
        <w:rPr>
          <w:b w:val="0"/>
          <w:bCs w:val="0"/>
          <w:color w:val="auto"/>
          <w:sz w:val="24"/>
        </w:rPr>
        <w:t>风险管控标准（试行）》（GB15618-2018）风险筛选值中的其他用地标准。</w:t>
      </w:r>
    </w:p>
    <w:p>
      <w:pPr>
        <w:spacing w:line="360" w:lineRule="auto"/>
        <w:ind w:firstLine="480"/>
        <w:rPr>
          <w:b/>
          <w:bCs/>
          <w:color w:val="auto"/>
          <w:sz w:val="24"/>
        </w:rPr>
      </w:pPr>
      <w:r>
        <w:rPr>
          <w:rFonts w:hint="eastAsia"/>
          <w:b/>
          <w:bCs/>
          <w:color w:val="auto"/>
          <w:sz w:val="24"/>
          <w:lang w:val="en-US" w:eastAsia="zh-CN"/>
        </w:rPr>
        <w:t>5</w:t>
      </w:r>
      <w:r>
        <w:rPr>
          <w:b/>
          <w:bCs/>
          <w:color w:val="auto"/>
          <w:sz w:val="24"/>
        </w:rPr>
        <w:t>、评价方法</w:t>
      </w:r>
    </w:p>
    <w:p>
      <w:pPr>
        <w:pStyle w:val="4"/>
        <w:spacing w:line="360" w:lineRule="auto"/>
        <w:ind w:left="1400" w:hanging="560"/>
        <w:jc w:val="both"/>
        <w:rPr>
          <w:rFonts w:ascii="Times New Roman"/>
          <w:color w:val="auto"/>
          <w:szCs w:val="24"/>
        </w:rPr>
      </w:pPr>
      <w:r>
        <w:rPr>
          <w:rFonts w:ascii="Times New Roman"/>
          <w:color w:val="auto"/>
        </w:rPr>
        <w:t>采用单项标准指数法。即：</w:t>
      </w:r>
    </w:p>
    <w:p>
      <w:pPr>
        <w:pStyle w:val="4"/>
        <w:spacing w:line="360" w:lineRule="auto"/>
        <w:ind w:left="1400" w:hanging="560"/>
        <w:jc w:val="both"/>
        <w:rPr>
          <w:rFonts w:ascii="Times New Roman"/>
          <w:color w:val="auto"/>
        </w:rPr>
      </w:pPr>
      <w:r>
        <w:rPr>
          <w:rFonts w:ascii="Times New Roman"/>
          <w:i/>
          <w:iCs/>
          <w:color w:val="auto"/>
        </w:rPr>
        <w:t>S</w:t>
      </w:r>
      <w:r>
        <w:rPr>
          <w:rFonts w:ascii="Times New Roman"/>
          <w:i/>
          <w:iCs/>
          <w:color w:val="auto"/>
          <w:vertAlign w:val="subscript"/>
        </w:rPr>
        <w:t>i，j</w:t>
      </w:r>
      <w:r>
        <w:rPr>
          <w:rFonts w:ascii="Times New Roman"/>
          <w:color w:val="auto"/>
        </w:rPr>
        <w:t>＝</w:t>
      </w:r>
      <w:r>
        <w:rPr>
          <w:rFonts w:ascii="Times New Roman"/>
          <w:color w:val="auto"/>
        </w:rPr>
        <w:drawing>
          <wp:inline distT="0" distB="0" distL="0" distR="0">
            <wp:extent cx="286385" cy="302260"/>
            <wp:effectExtent l="0" t="0" r="0" b="0"/>
            <wp:docPr id="25" name="图片 25" descr="C:\Users\ADMINI~1\AppData\Local\Temp\ksohtml1012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ksohtml10120\wps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6385" cy="302260"/>
                    </a:xfrm>
                    <a:prstGeom prst="rect">
                      <a:avLst/>
                    </a:prstGeom>
                    <a:noFill/>
                    <a:ln>
                      <a:noFill/>
                    </a:ln>
                  </pic:spPr>
                </pic:pic>
              </a:graphicData>
            </a:graphic>
          </wp:inline>
        </w:drawing>
      </w:r>
    </w:p>
    <w:p>
      <w:pPr>
        <w:pStyle w:val="4"/>
        <w:spacing w:line="360" w:lineRule="auto"/>
        <w:ind w:left="1400" w:hanging="560"/>
        <w:jc w:val="both"/>
        <w:rPr>
          <w:rFonts w:ascii="Times New Roman"/>
          <w:color w:val="auto"/>
        </w:rPr>
      </w:pPr>
      <w:r>
        <w:rPr>
          <w:rFonts w:ascii="Times New Roman"/>
          <w:color w:val="auto"/>
        </w:rPr>
        <w:t>式中：</w:t>
      </w:r>
      <w:r>
        <w:rPr>
          <w:rFonts w:ascii="Times New Roman"/>
          <w:i/>
          <w:iCs/>
          <w:color w:val="auto"/>
        </w:rPr>
        <w:t>S</w:t>
      </w:r>
      <w:r>
        <w:rPr>
          <w:rFonts w:ascii="Times New Roman"/>
          <w:i/>
          <w:iCs/>
          <w:color w:val="auto"/>
          <w:vertAlign w:val="subscript"/>
        </w:rPr>
        <w:t>i，j</w:t>
      </w:r>
      <w:r>
        <w:rPr>
          <w:rFonts w:ascii="Times New Roman"/>
          <w:color w:val="auto"/>
        </w:rPr>
        <w:t>-单因子污染指数；</w:t>
      </w:r>
    </w:p>
    <w:p>
      <w:pPr>
        <w:pStyle w:val="4"/>
        <w:spacing w:line="360" w:lineRule="auto"/>
        <w:ind w:left="1400" w:hanging="560"/>
        <w:jc w:val="both"/>
        <w:rPr>
          <w:rFonts w:ascii="Times New Roman"/>
          <w:color w:val="auto"/>
        </w:rPr>
      </w:pPr>
      <w:r>
        <w:rPr>
          <w:rFonts w:ascii="Times New Roman"/>
          <w:i/>
          <w:iCs/>
          <w:color w:val="auto"/>
        </w:rPr>
        <w:t>C</w:t>
      </w:r>
      <w:r>
        <w:rPr>
          <w:rFonts w:ascii="Times New Roman"/>
          <w:i/>
          <w:iCs/>
          <w:color w:val="auto"/>
          <w:vertAlign w:val="subscript"/>
        </w:rPr>
        <w:t>i，j</w:t>
      </w:r>
      <w:r>
        <w:rPr>
          <w:rFonts w:ascii="Times New Roman"/>
          <w:color w:val="auto"/>
        </w:rPr>
        <w:t>-污染物浓度实测浓度(mg/kg)；</w:t>
      </w:r>
    </w:p>
    <w:p>
      <w:pPr>
        <w:pStyle w:val="4"/>
        <w:spacing w:line="360" w:lineRule="auto"/>
        <w:ind w:left="1400" w:hanging="560"/>
        <w:jc w:val="both"/>
        <w:rPr>
          <w:rFonts w:ascii="Times New Roman"/>
          <w:color w:val="auto"/>
        </w:rPr>
      </w:pPr>
      <w:r>
        <w:rPr>
          <w:rFonts w:ascii="Times New Roman"/>
          <w:i/>
          <w:iCs/>
          <w:color w:val="auto"/>
        </w:rPr>
        <w:t>C</w:t>
      </w:r>
      <w:r>
        <w:rPr>
          <w:rFonts w:ascii="Times New Roman"/>
          <w:i/>
          <w:iCs/>
          <w:color w:val="auto"/>
          <w:vertAlign w:val="subscript"/>
        </w:rPr>
        <w:t>si</w:t>
      </w:r>
      <w:r>
        <w:rPr>
          <w:rFonts w:ascii="Times New Roman"/>
          <w:color w:val="auto"/>
        </w:rPr>
        <w:t>-土壤环境质量标准(mg/kg)。</w:t>
      </w:r>
    </w:p>
    <w:p>
      <w:pPr>
        <w:spacing w:line="360" w:lineRule="auto"/>
        <w:ind w:firstLine="480"/>
        <w:rPr>
          <w:b/>
          <w:bCs/>
          <w:color w:val="auto"/>
          <w:sz w:val="24"/>
        </w:rPr>
      </w:pPr>
      <w:r>
        <w:rPr>
          <w:rFonts w:hint="eastAsia"/>
          <w:b/>
          <w:bCs/>
          <w:color w:val="auto"/>
          <w:sz w:val="24"/>
          <w:lang w:val="en-US" w:eastAsia="zh-CN"/>
        </w:rPr>
        <w:t>6</w:t>
      </w:r>
      <w:r>
        <w:rPr>
          <w:b/>
          <w:bCs/>
          <w:color w:val="auto"/>
          <w:sz w:val="24"/>
        </w:rPr>
        <w:t>、监测结果与分析</w:t>
      </w:r>
    </w:p>
    <w:p>
      <w:pPr>
        <w:spacing w:line="360" w:lineRule="auto"/>
        <w:ind w:firstLine="600" w:firstLineChars="250"/>
        <w:rPr>
          <w:color w:val="auto"/>
          <w:kern w:val="0"/>
          <w:sz w:val="24"/>
        </w:rPr>
      </w:pPr>
      <w:r>
        <w:rPr>
          <w:color w:val="auto"/>
          <w:kern w:val="0"/>
          <w:sz w:val="24"/>
        </w:rPr>
        <w:t>土壤环境质量监测结果与分析见表</w:t>
      </w:r>
      <w:r>
        <w:rPr>
          <w:rFonts w:hint="eastAsia"/>
          <w:color w:val="auto"/>
          <w:kern w:val="0"/>
          <w:sz w:val="24"/>
          <w:lang w:val="en-US" w:eastAsia="zh-CN"/>
        </w:rPr>
        <w:t>4</w:t>
      </w:r>
      <w:r>
        <w:rPr>
          <w:rFonts w:hint="eastAsia"/>
          <w:color w:val="auto"/>
          <w:kern w:val="0"/>
          <w:sz w:val="24"/>
        </w:rPr>
        <w:t>.3</w:t>
      </w:r>
      <w:r>
        <w:rPr>
          <w:color w:val="auto"/>
          <w:kern w:val="0"/>
          <w:sz w:val="24"/>
        </w:rPr>
        <w:t>-</w:t>
      </w:r>
      <w:r>
        <w:rPr>
          <w:rFonts w:hint="eastAsia"/>
          <w:color w:val="auto"/>
          <w:kern w:val="0"/>
          <w:sz w:val="24"/>
          <w:lang w:val="en-US" w:eastAsia="zh-CN"/>
        </w:rPr>
        <w:t>9</w:t>
      </w:r>
      <w:r>
        <w:rPr>
          <w:color w:val="auto"/>
          <w:kern w:val="0"/>
          <w:sz w:val="24"/>
        </w:rPr>
        <w:t>。</w:t>
      </w:r>
    </w:p>
    <w:p>
      <w:pPr>
        <w:pStyle w:val="4"/>
        <w:keepNext w:val="0"/>
        <w:keepLines w:val="0"/>
        <w:pageBreakBefore w:val="0"/>
        <w:widowControl w:val="0"/>
        <w:kinsoku/>
        <w:wordWrap/>
        <w:overflowPunct/>
        <w:topLinePunct w:val="0"/>
        <w:autoSpaceDE w:val="0"/>
        <w:autoSpaceDN w:val="0"/>
        <w:bidi w:val="0"/>
        <w:adjustRightInd w:val="0"/>
        <w:snapToGrid/>
        <w:spacing w:line="240" w:lineRule="auto"/>
        <w:ind w:left="1259" w:hanging="420"/>
        <w:jc w:val="center"/>
        <w:textAlignment w:val="baseline"/>
        <w:rPr>
          <w:rFonts w:ascii="Times New Roman"/>
          <w:color w:val="auto"/>
          <w:szCs w:val="24"/>
        </w:rPr>
      </w:pPr>
      <w:r>
        <w:rPr>
          <w:rFonts w:ascii="Times New Roman" w:eastAsia="黑体"/>
          <w:color w:val="auto"/>
          <w:sz w:val="21"/>
          <w:szCs w:val="21"/>
        </w:rPr>
        <w:t>表</w:t>
      </w:r>
      <w:r>
        <w:rPr>
          <w:rFonts w:hint="eastAsia" w:ascii="Times New Roman" w:eastAsia="黑体"/>
          <w:color w:val="auto"/>
          <w:sz w:val="21"/>
          <w:szCs w:val="21"/>
          <w:lang w:val="en-US" w:eastAsia="zh-CN"/>
        </w:rPr>
        <w:t>4</w:t>
      </w:r>
      <w:r>
        <w:rPr>
          <w:rFonts w:hint="eastAsia" w:ascii="Times New Roman" w:eastAsia="黑体"/>
          <w:color w:val="auto"/>
          <w:sz w:val="21"/>
          <w:szCs w:val="21"/>
        </w:rPr>
        <w:t>.3</w:t>
      </w:r>
      <w:r>
        <w:rPr>
          <w:rFonts w:ascii="Times New Roman" w:eastAsia="黑体"/>
          <w:color w:val="auto"/>
          <w:sz w:val="21"/>
          <w:szCs w:val="21"/>
        </w:rPr>
        <w:t>-</w:t>
      </w:r>
      <w:r>
        <w:rPr>
          <w:rFonts w:hint="eastAsia" w:ascii="Times New Roman" w:eastAsia="黑体"/>
          <w:color w:val="auto"/>
          <w:sz w:val="21"/>
          <w:szCs w:val="21"/>
          <w:lang w:val="en-US" w:eastAsia="zh-CN"/>
        </w:rPr>
        <w:t xml:space="preserve">9 </w:t>
      </w:r>
      <w:r>
        <w:rPr>
          <w:rFonts w:ascii="Times New Roman" w:eastAsia="黑体"/>
          <w:color w:val="auto"/>
          <w:sz w:val="21"/>
          <w:szCs w:val="21"/>
        </w:rPr>
        <w:t xml:space="preserve"> 土壤环境现状监测点位</w:t>
      </w:r>
    </w:p>
    <w:tbl>
      <w:tblPr>
        <w:tblStyle w:val="89"/>
        <w:tblW w:w="909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56"/>
        <w:gridCol w:w="1399"/>
        <w:gridCol w:w="535"/>
        <w:gridCol w:w="741"/>
        <w:gridCol w:w="1548"/>
        <w:gridCol w:w="741"/>
        <w:gridCol w:w="1113"/>
        <w:gridCol w:w="1054"/>
        <w:gridCol w:w="12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点位</w:t>
            </w:r>
          </w:p>
        </w:tc>
        <w:tc>
          <w:tcPr>
            <w:tcW w:w="1399"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监测项目</w:t>
            </w:r>
          </w:p>
        </w:tc>
        <w:tc>
          <w:tcPr>
            <w:tcW w:w="535"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采样天数</w:t>
            </w:r>
          </w:p>
        </w:tc>
        <w:tc>
          <w:tcPr>
            <w:tcW w:w="741"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样品数量</w:t>
            </w:r>
          </w:p>
        </w:tc>
        <w:tc>
          <w:tcPr>
            <w:tcW w:w="1548"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监测结果</w:t>
            </w:r>
          </w:p>
        </w:tc>
        <w:tc>
          <w:tcPr>
            <w:tcW w:w="741"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超标率</w:t>
            </w:r>
          </w:p>
        </w:tc>
        <w:tc>
          <w:tcPr>
            <w:tcW w:w="1113"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最大超标倍数</w:t>
            </w:r>
          </w:p>
        </w:tc>
        <w:tc>
          <w:tcPr>
            <w:tcW w:w="1054"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标准限值</w:t>
            </w:r>
          </w:p>
        </w:tc>
        <w:tc>
          <w:tcPr>
            <w:tcW w:w="120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标准指数最大值（Si）</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535"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74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548"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741"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113"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2260" w:type="dxa"/>
            <w:gridSpan w:val="2"/>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sz w:val="21"/>
                <w:szCs w:val="21"/>
                <w:lang w:val="en-US" w:eastAsia="zh-CN"/>
              </w:rPr>
            </w:pPr>
            <w:r>
              <w:rPr>
                <w:rFonts w:hint="eastAsia" w:ascii="Times New Roman" w:hAnsi="Times New Roman" w:cs="Times New Roman"/>
                <w:color w:val="auto"/>
                <w:sz w:val="21"/>
                <w:szCs w:val="21"/>
                <w:lang w:val="en-US" w:eastAsia="zh-CN"/>
              </w:rPr>
              <w:t>5.5</w:t>
            </w:r>
            <w:r>
              <w:rPr>
                <w:rFonts w:hint="default" w:ascii="Times New Roman" w:hAnsi="Times New Roman" w:cs="Times New Roman"/>
                <w:color w:val="auto"/>
                <w:sz w:val="21"/>
                <w:szCs w:val="21"/>
              </w:rPr>
              <w:t>&lt;</w:t>
            </w:r>
            <w:r>
              <w:rPr>
                <w:rFonts w:hint="default"/>
                <w:color w:val="auto"/>
                <w:sz w:val="21"/>
                <w:szCs w:val="21"/>
              </w:rPr>
              <w:t>pH</w:t>
            </w:r>
            <w:r>
              <w:rPr>
                <w:rFonts w:hint="default" w:ascii="Arial" w:hAnsi="Arial" w:cs="Arial"/>
                <w:color w:val="auto"/>
                <w:sz w:val="21"/>
                <w:szCs w:val="21"/>
              </w:rPr>
              <w:t>≤</w:t>
            </w:r>
            <w:r>
              <w:rPr>
                <w:rFonts w:hint="eastAsia"/>
                <w:color w:val="auto"/>
                <w:sz w:val="21"/>
                <w:szCs w:val="21"/>
                <w:lang w:val="en-US" w:eastAsia="zh-CN"/>
              </w:rPr>
              <w:t>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58" w:hRule="atLeast"/>
          <w:jc w:val="center"/>
        </w:trPr>
        <w:tc>
          <w:tcPr>
            <w:tcW w:w="756"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eastAsia"/>
                <w:color w:val="auto"/>
                <w:sz w:val="21"/>
                <w:szCs w:val="21"/>
              </w:rPr>
              <w:t>1</w:t>
            </w:r>
            <w:r>
              <w:rPr>
                <w:rFonts w:hint="default"/>
                <w:color w:val="auto"/>
                <w:sz w:val="21"/>
                <w:szCs w:val="21"/>
              </w:rPr>
              <w:t>#</w:t>
            </w:r>
          </w:p>
        </w:tc>
        <w:tc>
          <w:tcPr>
            <w:tcW w:w="1399"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pH（无量纲）</w:t>
            </w:r>
          </w:p>
        </w:tc>
        <w:tc>
          <w:tcPr>
            <w:tcW w:w="535"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1</w:t>
            </w:r>
          </w:p>
        </w:tc>
        <w:tc>
          <w:tcPr>
            <w:tcW w:w="74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6.03</w:t>
            </w:r>
          </w:p>
        </w:tc>
        <w:tc>
          <w:tcPr>
            <w:tcW w:w="741"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113"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05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0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砷</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13.9</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40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汞</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0.196</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sz w:val="21"/>
                <w:szCs w:val="21"/>
                <w:lang w:val="en-US" w:eastAsia="zh-CN"/>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sz w:val="21"/>
                <w:szCs w:val="21"/>
                <w:lang w:val="en-US" w:eastAsia="zh-CN"/>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SA"/>
              </w:rPr>
              <w:t>1.8</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0"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铜</w:t>
            </w:r>
            <w:r>
              <w:rPr>
                <w:rFonts w:hint="eastAsia" w:ascii="Times New Roman" w:hAnsi="Times New Roman" w:eastAsia="宋体" w:cs="Times New Roman"/>
                <w:color w:val="auto"/>
                <w:sz w:val="21"/>
                <w:szCs w:val="21"/>
                <w:lang w:val="en-US" w:eastAsia="zh-CN"/>
              </w:rPr>
              <w:t>（mg/kg）</w:t>
            </w:r>
          </w:p>
        </w:tc>
        <w:tc>
          <w:tcPr>
            <w:tcW w:w="535"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1</w:t>
            </w:r>
          </w:p>
        </w:tc>
        <w:tc>
          <w:tcPr>
            <w:tcW w:w="741"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1</w:t>
            </w:r>
          </w:p>
        </w:tc>
        <w:tc>
          <w:tcPr>
            <w:tcW w:w="1548"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741"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0</w:t>
            </w:r>
          </w:p>
        </w:tc>
        <w:tc>
          <w:tcPr>
            <w:tcW w:w="1113"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0</w:t>
            </w:r>
          </w:p>
        </w:tc>
        <w:tc>
          <w:tcPr>
            <w:tcW w:w="1054"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SA"/>
              </w:rPr>
              <w:t>50</w:t>
            </w:r>
          </w:p>
        </w:tc>
        <w:tc>
          <w:tcPr>
            <w:tcW w:w="1206"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0"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op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铅</w:t>
            </w:r>
            <w:r>
              <w:rPr>
                <w:rFonts w:hint="eastAsia" w:ascii="Times New Roman" w:hAnsi="Times New Roman" w:eastAsia="宋体" w:cs="Times New Roman"/>
                <w:color w:val="auto"/>
                <w:sz w:val="21"/>
                <w:szCs w:val="21"/>
                <w:lang w:val="en-US" w:eastAsia="zh-CN"/>
              </w:rPr>
              <w:t>（mg/kg）</w:t>
            </w:r>
          </w:p>
        </w:tc>
        <w:tc>
          <w:tcPr>
            <w:tcW w:w="535" w:type="dxa"/>
            <w:tcBorders>
              <w:top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op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741" w:type="dxa"/>
            <w:tcBorders>
              <w:top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op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90</w:t>
            </w:r>
          </w:p>
        </w:tc>
        <w:tc>
          <w:tcPr>
            <w:tcW w:w="1206" w:type="dxa"/>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镍</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70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铬（mg/kg）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76</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150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锌（mg/kg）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200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镉</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0.3</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2#</w:t>
            </w:r>
          </w:p>
        </w:tc>
        <w:tc>
          <w:tcPr>
            <w:tcW w:w="1399" w:type="dxa"/>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pH（无量纲）</w:t>
            </w:r>
          </w:p>
        </w:tc>
        <w:tc>
          <w:tcPr>
            <w:tcW w:w="535" w:type="dxa"/>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6.03</w:t>
            </w:r>
          </w:p>
        </w:tc>
        <w:tc>
          <w:tcPr>
            <w:tcW w:w="741"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113"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4"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砷</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13.9</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汞</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0.196</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1.8</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铜</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铅</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镍</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铬（mg/kg）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76</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锌（mg/kg）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4"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镉</w:t>
            </w:r>
            <w:r>
              <w:rPr>
                <w:rFonts w:hint="eastAsia" w:ascii="Times New Roman" w:hAnsi="Times New Roman" w:eastAsia="宋体" w:cs="Times New Roman"/>
                <w:color w:val="auto"/>
                <w:sz w:val="21"/>
                <w:szCs w:val="21"/>
                <w:lang w:val="en-US" w:eastAsia="zh-CN"/>
              </w:rPr>
              <w:t>（mg/kg）</w:t>
            </w:r>
          </w:p>
        </w:tc>
        <w:tc>
          <w:tcPr>
            <w:tcW w:w="535"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741"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w:t>
            </w:r>
          </w:p>
        </w:tc>
        <w:tc>
          <w:tcPr>
            <w:tcW w:w="1206"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default"/>
                <w:color w:val="auto"/>
                <w:sz w:val="21"/>
                <w:szCs w:val="21"/>
              </w:rPr>
              <w:t>3#</w:t>
            </w:r>
          </w:p>
        </w:tc>
        <w:tc>
          <w:tcPr>
            <w:tcW w:w="1399" w:type="dxa"/>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pH（无量纲）</w:t>
            </w:r>
          </w:p>
        </w:tc>
        <w:tc>
          <w:tcPr>
            <w:tcW w:w="535" w:type="dxa"/>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6.03</w:t>
            </w:r>
          </w:p>
        </w:tc>
        <w:tc>
          <w:tcPr>
            <w:tcW w:w="741"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113"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54"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砷</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13.9</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汞</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0.196</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1.8</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铜</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铅</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镍</w:t>
            </w:r>
            <w:r>
              <w:rPr>
                <w:rFonts w:hint="eastAsia" w:ascii="Times New Roman" w:hAnsi="Times New Roman" w:eastAsia="宋体" w:cs="Times New Roman"/>
                <w:color w:val="auto"/>
                <w:sz w:val="21"/>
                <w:szCs w:val="21"/>
                <w:lang w:val="en-US" w:eastAsia="zh-CN"/>
              </w:rPr>
              <w:t>（mg/kg）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铬（mg/kg）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76</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锌（mg/kg）</w:t>
            </w:r>
          </w:p>
        </w:tc>
        <w:tc>
          <w:tcPr>
            <w:tcW w:w="535"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w:t>
            </w:r>
          </w:p>
        </w:tc>
        <w:tc>
          <w:tcPr>
            <w:tcW w:w="741"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200</w:t>
            </w:r>
          </w:p>
        </w:tc>
        <w:tc>
          <w:tcPr>
            <w:tcW w:w="120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5" w:hRule="atLeast"/>
          <w:jc w:val="center"/>
        </w:trPr>
        <w:tc>
          <w:tcPr>
            <w:tcW w:w="756" w:type="dxa"/>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p>
        </w:tc>
        <w:tc>
          <w:tcPr>
            <w:tcW w:w="1399"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镉</w:t>
            </w:r>
            <w:r>
              <w:rPr>
                <w:rFonts w:hint="eastAsia" w:ascii="Times New Roman" w:hAnsi="Times New Roman" w:eastAsia="宋体" w:cs="Times New Roman"/>
                <w:color w:val="auto"/>
                <w:sz w:val="21"/>
                <w:szCs w:val="21"/>
                <w:lang w:val="en-US" w:eastAsia="zh-CN"/>
              </w:rPr>
              <w:t>（mg/kg）</w:t>
            </w:r>
          </w:p>
        </w:tc>
        <w:tc>
          <w:tcPr>
            <w:tcW w:w="535"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741"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w:t>
            </w:r>
          </w:p>
        </w:tc>
        <w:tc>
          <w:tcPr>
            <w:tcW w:w="1548"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741"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113" w:type="dxa"/>
            <w:tcBorders>
              <w:bottom w:val="single" w:color="auto" w:sz="4" w:space="0"/>
              <w:tl2br w:val="nil"/>
              <w:tr2bl w:val="nil"/>
            </w:tcBorders>
            <w:vAlign w:val="center"/>
          </w:tcPr>
          <w:p>
            <w:pPr>
              <w:keepNext w:val="0"/>
              <w:keepLines w:val="0"/>
              <w:suppressLineNumbers w:val="0"/>
              <w:autoSpaceDE w:val="0"/>
              <w:autoSpaceDN w:val="0"/>
              <w:adjustRightInd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p>
        </w:tc>
        <w:tc>
          <w:tcPr>
            <w:tcW w:w="1054"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w:t>
            </w:r>
          </w:p>
        </w:tc>
        <w:tc>
          <w:tcPr>
            <w:tcW w:w="1206" w:type="dxa"/>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16.7%</w:t>
            </w:r>
          </w:p>
        </w:tc>
      </w:tr>
    </w:tbl>
    <w:p>
      <w:pPr>
        <w:spacing w:line="360" w:lineRule="auto"/>
        <w:ind w:firstLine="482"/>
        <w:rPr>
          <w:rFonts w:hint="eastAsia"/>
          <w:color w:val="auto"/>
          <w:sz w:val="24"/>
          <w:lang w:eastAsia="zh-CN"/>
        </w:rPr>
      </w:pPr>
      <w:r>
        <w:rPr>
          <w:color w:val="auto"/>
          <w:sz w:val="24"/>
        </w:rPr>
        <w:t>由上表可以得出，项目拟建场地土壤质量满足《土壤环境质量农用地土壤污染风险管控标准（试行）》（GB15618-2018）风险筛选值中的其他用地标准</w:t>
      </w:r>
      <w:r>
        <w:rPr>
          <w:rFonts w:hint="eastAsia" w:ascii="Times New Roman" w:hAnsi="Times New Roman" w:eastAsia="宋体" w:cs="Times New Roman"/>
          <w:color w:val="auto"/>
          <w:kern w:val="0"/>
          <w:sz w:val="24"/>
          <w:lang w:val="en-US" w:eastAsia="zh-CN"/>
        </w:rPr>
        <w:t>。</w:t>
      </w:r>
    </w:p>
    <w:bookmarkEnd w:id="340"/>
    <w:bookmarkEnd w:id="341"/>
    <w:bookmarkEnd w:id="342"/>
    <w:bookmarkEnd w:id="343"/>
    <w:bookmarkEnd w:id="344"/>
    <w:bookmarkEnd w:id="345"/>
    <w:bookmarkEnd w:id="346"/>
    <w:bookmarkEnd w:id="347"/>
    <w:bookmarkEnd w:id="348"/>
    <w:bookmarkEnd w:id="349"/>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353" w:name="_Toc28369"/>
      <w:bookmarkStart w:id="354" w:name="_Toc20677"/>
      <w:bookmarkStart w:id="355" w:name="_Toc23226"/>
      <w:r>
        <w:rPr>
          <w:rFonts w:ascii="Times New Roman" w:hAnsi="Times New Roman" w:cs="Times New Roman" w:eastAsiaTheme="majorEastAsia"/>
          <w:bCs/>
          <w:color w:val="auto"/>
          <w:kern w:val="2"/>
          <w:szCs w:val="32"/>
          <w:lang w:val="en-US" w:eastAsia="zh-CN"/>
        </w:rPr>
        <w:t>区域污染源调查</w:t>
      </w:r>
      <w:bookmarkEnd w:id="353"/>
      <w:bookmarkEnd w:id="354"/>
      <w:bookmarkEnd w:id="355"/>
    </w:p>
    <w:p>
      <w:pPr>
        <w:spacing w:line="360" w:lineRule="auto"/>
        <w:ind w:firstLine="480"/>
        <w:rPr>
          <w:color w:val="auto"/>
          <w:sz w:val="24"/>
        </w:rPr>
      </w:pPr>
      <w:r>
        <w:rPr>
          <w:color w:val="auto"/>
          <w:sz w:val="24"/>
        </w:rPr>
        <w:t>本项目位于</w:t>
      </w:r>
      <w:r>
        <w:rPr>
          <w:rFonts w:hint="eastAsia"/>
          <w:color w:val="auto"/>
          <w:sz w:val="24"/>
          <w:lang w:val="en-US" w:eastAsia="zh-CN"/>
        </w:rPr>
        <w:t>巴中市</w:t>
      </w:r>
      <w:r>
        <w:rPr>
          <w:rFonts w:hint="eastAsia" w:ascii="Times New Roman"/>
          <w:color w:val="auto"/>
          <w:sz w:val="24"/>
          <w:szCs w:val="32"/>
        </w:rPr>
        <w:t>恩阳区群乐镇坳盘村2组</w:t>
      </w:r>
      <w:r>
        <w:rPr>
          <w:color w:val="auto"/>
          <w:sz w:val="24"/>
        </w:rPr>
        <w:t>，据调查，项目评价范围内除农村生活源外没有其他的工业污染源。农业污染物主要为农业生产使用的化肥、农药等。</w:t>
      </w:r>
    </w:p>
    <w:p>
      <w:pPr>
        <w:pStyle w:val="5"/>
        <w:rPr>
          <w:color w:val="auto"/>
        </w:rPr>
        <w:sectPr>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bookmarkStart w:id="356" w:name="_Toc821"/>
    </w:p>
    <w:p>
      <w:pPr>
        <w:pStyle w:val="5"/>
        <w:rPr>
          <w:rFonts w:hint="eastAsia" w:asciiTheme="majorEastAsia" w:hAnsiTheme="majorEastAsia" w:eastAsiaTheme="majorEastAsia" w:cstheme="majorEastAsia"/>
          <w:b/>
          <w:bCs/>
          <w:color w:val="auto"/>
          <w:sz w:val="32"/>
          <w:szCs w:val="32"/>
        </w:rPr>
      </w:pPr>
      <w:bookmarkStart w:id="357" w:name="_Toc11782"/>
      <w:bookmarkStart w:id="358" w:name="_Toc22125"/>
      <w:r>
        <w:rPr>
          <w:rFonts w:hint="eastAsia" w:asciiTheme="majorEastAsia" w:hAnsiTheme="majorEastAsia" w:eastAsiaTheme="majorEastAsia" w:cstheme="majorEastAsia"/>
          <w:b/>
          <w:bCs/>
          <w:color w:val="auto"/>
          <w:sz w:val="32"/>
          <w:szCs w:val="32"/>
        </w:rPr>
        <w:t>环境影响预测与评价</w:t>
      </w:r>
      <w:bookmarkEnd w:id="356"/>
      <w:bookmarkEnd w:id="357"/>
      <w:bookmarkEnd w:id="358"/>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359" w:name="_Toc9905"/>
      <w:bookmarkStart w:id="360" w:name="_Toc17951"/>
      <w:bookmarkStart w:id="361" w:name="_Toc24250"/>
      <w:bookmarkStart w:id="362" w:name="_Toc180817043"/>
      <w:bookmarkStart w:id="363" w:name="_Toc180824112"/>
      <w:bookmarkStart w:id="364" w:name="_Toc51691074"/>
      <w:bookmarkStart w:id="365" w:name="_Toc64081456"/>
      <w:r>
        <w:rPr>
          <w:rFonts w:ascii="Times New Roman" w:hAnsi="Times New Roman" w:cs="Times New Roman" w:eastAsiaTheme="majorEastAsia"/>
          <w:bCs/>
          <w:color w:val="auto"/>
          <w:kern w:val="2"/>
          <w:szCs w:val="32"/>
          <w:lang w:val="en-US" w:eastAsia="zh-CN"/>
        </w:rPr>
        <w:t>施工期环境影响预测与评价</w:t>
      </w:r>
      <w:bookmarkEnd w:id="359"/>
      <w:bookmarkEnd w:id="360"/>
      <w:bookmarkEnd w:id="361"/>
    </w:p>
    <w:p>
      <w:pPr>
        <w:pStyle w:val="180"/>
        <w:rPr>
          <w:rFonts w:hint="default" w:ascii="Times New Roman" w:hAnsi="Times New Roman" w:cs="Times New Roman" w:eastAsiaTheme="majorEastAsia"/>
          <w:b/>
          <w:bCs w:val="0"/>
          <w:color w:val="auto"/>
          <w:sz w:val="24"/>
          <w:szCs w:val="24"/>
        </w:rPr>
      </w:pPr>
      <w:bookmarkStart w:id="366" w:name="_Toc44"/>
      <w:r>
        <w:rPr>
          <w:rFonts w:hint="default" w:ascii="Times New Roman" w:hAnsi="Times New Roman" w:cs="Times New Roman" w:eastAsiaTheme="majorEastAsia"/>
          <w:b/>
          <w:bCs w:val="0"/>
          <w:color w:val="auto"/>
          <w:sz w:val="24"/>
          <w:szCs w:val="24"/>
        </w:rPr>
        <w:t>施工期生态环境影响分析</w:t>
      </w:r>
      <w:bookmarkEnd w:id="362"/>
      <w:bookmarkEnd w:id="363"/>
      <w:bookmarkEnd w:id="366"/>
    </w:p>
    <w:bookmarkEnd w:id="364"/>
    <w:bookmarkEnd w:id="365"/>
    <w:p>
      <w:pPr>
        <w:spacing w:line="360" w:lineRule="auto"/>
        <w:ind w:firstLine="525"/>
        <w:rPr>
          <w:color w:val="auto"/>
          <w:sz w:val="24"/>
        </w:rPr>
      </w:pPr>
      <w:r>
        <w:rPr>
          <w:color w:val="auto"/>
          <w:sz w:val="24"/>
        </w:rPr>
        <w:t>本项目施工期场地开挖，将破坏部分表土结构，减弱局部地区土层的稳定性，并使地表植被受到一定程度的损坏，故在短时间内仍有可能局部性地加重该区域水土流失。尤其在暴雨较集中的时段施工，容易形成小范围的水土流失。因本工程开挖量较小，开挖时间短，且所挖土方与填方基本平衡，不会造成大的水土流失现象，随着工程的竣工，水土流失现象将得到控制。</w:t>
      </w:r>
    </w:p>
    <w:p>
      <w:pPr>
        <w:spacing w:line="360" w:lineRule="auto"/>
        <w:ind w:firstLine="525"/>
        <w:rPr>
          <w:color w:val="auto"/>
          <w:sz w:val="24"/>
        </w:rPr>
      </w:pPr>
      <w:r>
        <w:rPr>
          <w:color w:val="auto"/>
          <w:sz w:val="24"/>
        </w:rPr>
        <w:t>施工期场地开挖应避免雨季施工，同时施工期挖方及时回填和清运，对松散土及时夯实，以将施工对水土和生态的影响控制在最小限度。</w:t>
      </w:r>
    </w:p>
    <w:p>
      <w:pPr>
        <w:spacing w:line="360" w:lineRule="auto"/>
        <w:ind w:firstLine="525"/>
        <w:rPr>
          <w:color w:val="auto"/>
          <w:sz w:val="24"/>
        </w:rPr>
      </w:pPr>
      <w:r>
        <w:rPr>
          <w:color w:val="auto"/>
          <w:sz w:val="24"/>
        </w:rPr>
        <w:t>工程竣工后，都应尽快恢复道路，恢复周围生态景观，对临时性征用的土地应及早进行迹地恢复，对因施工而破坏的植被应及早复原。</w:t>
      </w:r>
    </w:p>
    <w:p>
      <w:pPr>
        <w:spacing w:line="360" w:lineRule="auto"/>
        <w:ind w:firstLine="480"/>
        <w:rPr>
          <w:color w:val="auto"/>
          <w:sz w:val="24"/>
        </w:rPr>
      </w:pPr>
      <w:r>
        <w:rPr>
          <w:color w:val="auto"/>
          <w:sz w:val="24"/>
        </w:rPr>
        <w:t>评价认为，采取上述措施后，本项目施工期对水土和生态环境的影响较小。</w:t>
      </w:r>
    </w:p>
    <w:p>
      <w:pPr>
        <w:pStyle w:val="180"/>
        <w:rPr>
          <w:rFonts w:hint="default" w:ascii="Times New Roman" w:hAnsi="Times New Roman" w:cs="Times New Roman" w:eastAsiaTheme="majorEastAsia"/>
          <w:b/>
          <w:bCs w:val="0"/>
          <w:color w:val="auto"/>
          <w:sz w:val="24"/>
          <w:szCs w:val="24"/>
        </w:rPr>
      </w:pPr>
      <w:bookmarkStart w:id="367" w:name="_Toc64081457"/>
      <w:bookmarkStart w:id="368" w:name="_Toc34778160"/>
      <w:bookmarkStart w:id="369" w:name="_Toc180824113"/>
      <w:bookmarkStart w:id="370" w:name="_Toc300932261"/>
      <w:bookmarkStart w:id="371" w:name="_Toc8713"/>
      <w:bookmarkStart w:id="372" w:name="_Toc180817044"/>
      <w:bookmarkStart w:id="373" w:name="_Toc15737917"/>
      <w:bookmarkStart w:id="374" w:name="_Toc15600437"/>
      <w:bookmarkStart w:id="375" w:name="_Toc51691075"/>
      <w:bookmarkStart w:id="376" w:name="_Toc329088368"/>
      <w:bookmarkStart w:id="377" w:name="_Toc15600811"/>
      <w:r>
        <w:rPr>
          <w:rFonts w:hint="default" w:ascii="Times New Roman" w:hAnsi="Times New Roman" w:cs="Times New Roman" w:eastAsiaTheme="majorEastAsia"/>
          <w:b/>
          <w:bCs w:val="0"/>
          <w:color w:val="auto"/>
          <w:sz w:val="24"/>
          <w:szCs w:val="24"/>
        </w:rPr>
        <w:t>施工期噪声影响分析</w:t>
      </w:r>
      <w:bookmarkEnd w:id="367"/>
      <w:bookmarkEnd w:id="368"/>
      <w:bookmarkEnd w:id="369"/>
      <w:bookmarkEnd w:id="370"/>
      <w:bookmarkEnd w:id="371"/>
      <w:bookmarkEnd w:id="372"/>
      <w:bookmarkEnd w:id="373"/>
      <w:bookmarkEnd w:id="374"/>
      <w:bookmarkEnd w:id="375"/>
      <w:bookmarkEnd w:id="376"/>
      <w:bookmarkEnd w:id="377"/>
    </w:p>
    <w:p>
      <w:pPr>
        <w:spacing w:line="360" w:lineRule="auto"/>
        <w:ind w:firstLine="480"/>
        <w:rPr>
          <w:color w:val="auto"/>
          <w:sz w:val="24"/>
        </w:rPr>
      </w:pPr>
      <w:bookmarkStart w:id="378" w:name="_Toc369334848"/>
      <w:bookmarkStart w:id="379" w:name="_Toc300932262"/>
      <w:bookmarkStart w:id="380" w:name="_Toc329088369"/>
      <w:bookmarkStart w:id="381" w:name="_Toc369334668"/>
      <w:bookmarkStart w:id="382" w:name="_Toc180824114"/>
      <w:bookmarkStart w:id="383" w:name="_Toc369191664"/>
      <w:bookmarkStart w:id="384" w:name="_Toc369197830"/>
      <w:r>
        <w:rPr>
          <w:color w:val="auto"/>
          <w:sz w:val="24"/>
        </w:rPr>
        <w:t>1、主要施工机械噪声强度调查</w:t>
      </w:r>
      <w:bookmarkEnd w:id="378"/>
      <w:bookmarkEnd w:id="379"/>
      <w:bookmarkEnd w:id="380"/>
      <w:bookmarkEnd w:id="381"/>
      <w:bookmarkEnd w:id="382"/>
      <w:bookmarkEnd w:id="383"/>
      <w:bookmarkEnd w:id="384"/>
    </w:p>
    <w:p>
      <w:pPr>
        <w:pStyle w:val="272"/>
        <w:spacing w:line="360" w:lineRule="auto"/>
        <w:ind w:firstLine="480"/>
        <w:rPr>
          <w:rFonts w:ascii="Times New Roman" w:hAnsi="Times New Roman" w:eastAsia="宋体" w:cs="Times New Roman"/>
          <w:color w:val="auto"/>
          <w:szCs w:val="24"/>
        </w:rPr>
      </w:pPr>
      <w:r>
        <w:rPr>
          <w:rFonts w:ascii="Times New Roman" w:hAnsi="Times New Roman" w:eastAsia="宋体" w:cs="Times New Roman"/>
          <w:color w:val="auto"/>
          <w:szCs w:val="24"/>
        </w:rPr>
        <w:t>工程施工噪声来源包括：土石方、基础、结构和装修等阶段中，使用施工机械的固定声源噪声(推土机、挖掘机、装载机、卷扬机、电动机、搅拌机、基础夯实机械、打桩机、振捣棒、电锯、吊车、升降机)，以及施工运输车辆的流动声源噪声。经建筑工程施工工地噪声源强类比调查分析，确定拟建工程的噪声影响主要来自于施工现场(场址区内)的声源噪声。</w:t>
      </w:r>
    </w:p>
    <w:p>
      <w:pPr>
        <w:ind w:firstLine="840" w:firstLineChars="400"/>
        <w:jc w:val="center"/>
        <w:rPr>
          <w:color w:val="auto"/>
          <w:sz w:val="24"/>
        </w:rPr>
      </w:pPr>
      <w:r>
        <w:rPr>
          <w:rFonts w:eastAsia="黑体"/>
          <w:color w:val="auto"/>
        </w:rPr>
        <w:t>表</w:t>
      </w:r>
      <w:r>
        <w:rPr>
          <w:rFonts w:hint="eastAsia" w:eastAsia="黑体"/>
          <w:color w:val="auto"/>
          <w:lang w:val="en-US" w:eastAsia="zh-CN"/>
        </w:rPr>
        <w:t>5</w:t>
      </w:r>
      <w:r>
        <w:rPr>
          <w:rFonts w:hint="eastAsia" w:eastAsia="黑体"/>
          <w:color w:val="auto"/>
        </w:rPr>
        <w:t>.1</w:t>
      </w:r>
      <w:r>
        <w:rPr>
          <w:rFonts w:eastAsia="黑体"/>
          <w:color w:val="auto"/>
        </w:rPr>
        <w:t>-1  主要施工机械噪声源强表     单位：dB(A)</w:t>
      </w:r>
    </w:p>
    <w:tbl>
      <w:tblPr>
        <w:tblStyle w:val="89"/>
        <w:tblW w:w="8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6"/>
        <w:gridCol w:w="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产噪设备</w:t>
            </w:r>
          </w:p>
        </w:tc>
        <w:tc>
          <w:tcPr>
            <w:tcW w:w="406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距声源1m处声级值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混凝土搅拌机</w:t>
            </w:r>
          </w:p>
        </w:tc>
        <w:tc>
          <w:tcPr>
            <w:tcW w:w="406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振捣棒</w:t>
            </w:r>
          </w:p>
        </w:tc>
        <w:tc>
          <w:tcPr>
            <w:tcW w:w="406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装载机</w:t>
            </w:r>
          </w:p>
        </w:tc>
        <w:tc>
          <w:tcPr>
            <w:tcW w:w="406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升降机</w:t>
            </w:r>
          </w:p>
        </w:tc>
        <w:tc>
          <w:tcPr>
            <w:tcW w:w="406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打桩机</w:t>
            </w:r>
          </w:p>
        </w:tc>
        <w:tc>
          <w:tcPr>
            <w:tcW w:w="406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电锯</w:t>
            </w:r>
          </w:p>
        </w:tc>
        <w:tc>
          <w:tcPr>
            <w:tcW w:w="406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1"/>
              </w:rPr>
            </w:pPr>
            <w:r>
              <w:rPr>
                <w:rFonts w:hint="default" w:ascii="Times New Roman"/>
                <w:color w:val="auto"/>
                <w:sz w:val="21"/>
                <w:szCs w:val="21"/>
              </w:rPr>
              <w:t>89</w:t>
            </w:r>
          </w:p>
        </w:tc>
      </w:tr>
    </w:tbl>
    <w:p>
      <w:pPr>
        <w:spacing w:line="360" w:lineRule="auto"/>
        <w:rPr>
          <w:color w:val="auto"/>
          <w:sz w:val="10"/>
        </w:rPr>
      </w:pPr>
    </w:p>
    <w:p>
      <w:pPr>
        <w:spacing w:line="360" w:lineRule="auto"/>
        <w:ind w:firstLine="525"/>
        <w:rPr>
          <w:color w:val="auto"/>
          <w:sz w:val="24"/>
        </w:rPr>
      </w:pPr>
      <w:r>
        <w:rPr>
          <w:color w:val="auto"/>
          <w:sz w:val="24"/>
        </w:rPr>
        <w:t>施工期主要工程项目有地基平整、压实、基础开挖、厂房及其它辅助与公用设施的建设等。这些工程使用的机械主要有铲平机、压路机、搅拌机、振捣棒等，在施工过程，这些设备产生的噪声可能对作业人员和场址周围环境造成一定的影响。施工机械噪声源强见表</w:t>
      </w:r>
      <w:r>
        <w:rPr>
          <w:rFonts w:hint="eastAsia"/>
          <w:color w:val="auto"/>
          <w:sz w:val="24"/>
          <w:lang w:val="en-US" w:eastAsia="zh-CN"/>
        </w:rPr>
        <w:t>5.1</w:t>
      </w:r>
      <w:r>
        <w:rPr>
          <w:color w:val="auto"/>
          <w:sz w:val="24"/>
        </w:rPr>
        <w:t>-1。</w:t>
      </w:r>
    </w:p>
    <w:p>
      <w:pPr>
        <w:spacing w:line="360" w:lineRule="auto"/>
        <w:ind w:firstLine="480"/>
        <w:rPr>
          <w:color w:val="auto"/>
          <w:sz w:val="24"/>
        </w:rPr>
      </w:pPr>
      <w:bookmarkStart w:id="385" w:name="_Toc369334669"/>
      <w:bookmarkStart w:id="386" w:name="_Toc369334849"/>
      <w:bookmarkStart w:id="387" w:name="_Toc329088370"/>
      <w:bookmarkStart w:id="388" w:name="_Toc300932263"/>
      <w:bookmarkStart w:id="389" w:name="_Toc369191665"/>
      <w:bookmarkStart w:id="390" w:name="_Toc180824115"/>
      <w:bookmarkStart w:id="391" w:name="_Toc369197831"/>
      <w:r>
        <w:rPr>
          <w:color w:val="auto"/>
          <w:sz w:val="24"/>
        </w:rPr>
        <w:t>2、施工期噪声影响分析</w:t>
      </w:r>
      <w:bookmarkEnd w:id="385"/>
      <w:bookmarkEnd w:id="386"/>
      <w:bookmarkEnd w:id="387"/>
      <w:bookmarkEnd w:id="388"/>
      <w:bookmarkEnd w:id="389"/>
      <w:bookmarkEnd w:id="390"/>
      <w:bookmarkEnd w:id="391"/>
    </w:p>
    <w:p>
      <w:pPr>
        <w:spacing w:line="360" w:lineRule="auto"/>
        <w:ind w:firstLine="525"/>
        <w:rPr>
          <w:color w:val="auto"/>
          <w:sz w:val="24"/>
        </w:rPr>
      </w:pPr>
      <w:r>
        <w:rPr>
          <w:color w:val="auto"/>
          <w:sz w:val="24"/>
        </w:rPr>
        <w:t>从表</w:t>
      </w:r>
      <w:r>
        <w:rPr>
          <w:rFonts w:hint="eastAsia"/>
          <w:color w:val="auto"/>
          <w:sz w:val="24"/>
          <w:lang w:val="en-US" w:eastAsia="zh-CN"/>
        </w:rPr>
        <w:t>5.1</w:t>
      </w:r>
      <w:r>
        <w:rPr>
          <w:color w:val="auto"/>
          <w:sz w:val="24"/>
        </w:rPr>
        <w:t>-1中可以看出，现场施工产生的噪声很强，在实际施工过程中，各类机械同时工作，各类噪声源辐射相互迭加，噪声级将会更高，辐射面也会更大。</w:t>
      </w:r>
    </w:p>
    <w:p>
      <w:pPr>
        <w:spacing w:line="360" w:lineRule="auto"/>
        <w:ind w:firstLine="525"/>
        <w:rPr>
          <w:color w:val="auto"/>
          <w:sz w:val="24"/>
        </w:rPr>
      </w:pPr>
      <w:r>
        <w:rPr>
          <w:color w:val="auto"/>
          <w:sz w:val="24"/>
        </w:rPr>
        <w:t>工程施工机械噪声主要属中低频噪声，因此只考虑扩散衰减，预测模式如下：</w:t>
      </w:r>
    </w:p>
    <w:p>
      <w:pPr>
        <w:spacing w:line="360" w:lineRule="auto"/>
        <w:ind w:firstLine="525"/>
        <w:rPr>
          <w:color w:val="auto"/>
          <w:sz w:val="24"/>
        </w:rPr>
      </w:pPr>
      <w:r>
        <w:rPr>
          <w:color w:val="auto"/>
          <w:sz w:val="24"/>
        </w:rPr>
        <w:t>L</w:t>
      </w:r>
      <w:r>
        <w:rPr>
          <w:color w:val="auto"/>
          <w:sz w:val="24"/>
          <w:vertAlign w:val="subscript"/>
        </w:rPr>
        <w:t>2</w:t>
      </w:r>
      <w:r>
        <w:rPr>
          <w:color w:val="auto"/>
          <w:sz w:val="24"/>
        </w:rPr>
        <w:t>＝L</w:t>
      </w:r>
      <w:r>
        <w:rPr>
          <w:color w:val="auto"/>
          <w:sz w:val="24"/>
          <w:vertAlign w:val="subscript"/>
        </w:rPr>
        <w:t>1</w:t>
      </w:r>
      <w:r>
        <w:rPr>
          <w:color w:val="auto"/>
          <w:sz w:val="24"/>
        </w:rPr>
        <w:t>-20lg(r</w:t>
      </w:r>
      <w:r>
        <w:rPr>
          <w:color w:val="auto"/>
          <w:sz w:val="24"/>
          <w:vertAlign w:val="subscript"/>
        </w:rPr>
        <w:t>2</w:t>
      </w:r>
      <w:r>
        <w:rPr>
          <w:color w:val="auto"/>
          <w:sz w:val="24"/>
        </w:rPr>
        <w:t>/r</w:t>
      </w:r>
      <w:r>
        <w:rPr>
          <w:color w:val="auto"/>
          <w:sz w:val="24"/>
          <w:vertAlign w:val="subscript"/>
        </w:rPr>
        <w:t>1</w:t>
      </w:r>
      <w:r>
        <w:rPr>
          <w:color w:val="auto"/>
          <w:sz w:val="24"/>
        </w:rPr>
        <w:t>) (r</w:t>
      </w:r>
      <w:r>
        <w:rPr>
          <w:color w:val="auto"/>
          <w:sz w:val="24"/>
          <w:vertAlign w:val="subscript"/>
        </w:rPr>
        <w:t>2</w:t>
      </w:r>
      <w:r>
        <w:rPr>
          <w:color w:val="auto"/>
          <w:sz w:val="24"/>
        </w:rPr>
        <w:t>＞r</w:t>
      </w:r>
      <w:r>
        <w:rPr>
          <w:color w:val="auto"/>
          <w:sz w:val="24"/>
          <w:vertAlign w:val="subscript"/>
        </w:rPr>
        <w:t>1</w:t>
      </w:r>
      <w:r>
        <w:rPr>
          <w:color w:val="auto"/>
          <w:sz w:val="24"/>
        </w:rPr>
        <w:t>)</w:t>
      </w:r>
    </w:p>
    <w:p>
      <w:pPr>
        <w:spacing w:line="360" w:lineRule="auto"/>
        <w:ind w:firstLine="525"/>
        <w:rPr>
          <w:color w:val="auto"/>
          <w:sz w:val="24"/>
        </w:rPr>
      </w:pPr>
      <w:r>
        <w:rPr>
          <w:color w:val="auto"/>
          <w:sz w:val="24"/>
        </w:rPr>
        <w:t xml:space="preserve">    式中：L</w:t>
      </w:r>
      <w:r>
        <w:rPr>
          <w:color w:val="auto"/>
          <w:sz w:val="24"/>
          <w:vertAlign w:val="subscript"/>
        </w:rPr>
        <w:t>1、</w:t>
      </w:r>
      <w:r>
        <w:rPr>
          <w:color w:val="auto"/>
          <w:sz w:val="24"/>
        </w:rPr>
        <w:t>L</w:t>
      </w:r>
      <w:r>
        <w:rPr>
          <w:color w:val="auto"/>
          <w:sz w:val="24"/>
          <w:vertAlign w:val="subscript"/>
        </w:rPr>
        <w:t>2</w:t>
      </w:r>
      <w:r>
        <w:rPr>
          <w:color w:val="auto"/>
          <w:sz w:val="24"/>
        </w:rPr>
        <w:t>——距声源r</w:t>
      </w:r>
      <w:r>
        <w:rPr>
          <w:color w:val="auto"/>
          <w:sz w:val="24"/>
          <w:vertAlign w:val="subscript"/>
        </w:rPr>
        <w:t>1</w:t>
      </w:r>
      <w:r>
        <w:rPr>
          <w:color w:val="auto"/>
          <w:sz w:val="24"/>
        </w:rPr>
        <w:t>、r</w:t>
      </w:r>
      <w:r>
        <w:rPr>
          <w:color w:val="auto"/>
          <w:sz w:val="24"/>
          <w:vertAlign w:val="subscript"/>
        </w:rPr>
        <w:t>2</w:t>
      </w:r>
      <w:r>
        <w:rPr>
          <w:color w:val="auto"/>
          <w:sz w:val="24"/>
        </w:rPr>
        <w:t>处的噪声值，dB(A)；</w:t>
      </w:r>
    </w:p>
    <w:p>
      <w:pPr>
        <w:spacing w:line="360" w:lineRule="auto"/>
        <w:ind w:firstLine="525"/>
        <w:rPr>
          <w:color w:val="auto"/>
          <w:sz w:val="24"/>
        </w:rPr>
      </w:pPr>
      <w:r>
        <w:rPr>
          <w:color w:val="auto"/>
          <w:sz w:val="24"/>
        </w:rPr>
        <w:t xml:space="preserve">          r</w:t>
      </w:r>
      <w:r>
        <w:rPr>
          <w:color w:val="auto"/>
          <w:sz w:val="24"/>
          <w:vertAlign w:val="subscript"/>
        </w:rPr>
        <w:t>1</w:t>
      </w:r>
      <w:r>
        <w:rPr>
          <w:color w:val="auto"/>
          <w:sz w:val="24"/>
        </w:rPr>
        <w:t>、r</w:t>
      </w:r>
      <w:r>
        <w:rPr>
          <w:color w:val="auto"/>
          <w:sz w:val="24"/>
          <w:vertAlign w:val="subscript"/>
        </w:rPr>
        <w:t>2</w:t>
      </w:r>
      <w:r>
        <w:rPr>
          <w:color w:val="auto"/>
          <w:sz w:val="24"/>
        </w:rPr>
        <w:t>——预测点距声源的距离。</w:t>
      </w:r>
    </w:p>
    <w:p>
      <w:pPr>
        <w:spacing w:line="360" w:lineRule="auto"/>
        <w:ind w:firstLine="525"/>
        <w:rPr>
          <w:color w:val="auto"/>
          <w:sz w:val="24"/>
        </w:rPr>
      </w:pPr>
      <w:r>
        <w:rPr>
          <w:color w:val="auto"/>
          <w:sz w:val="24"/>
        </w:rPr>
        <w:t>按噪声最高的打桩机(距声源1m处声级为95分贝)计算，现场施工随距离衰减后的值见表</w:t>
      </w:r>
      <w:r>
        <w:rPr>
          <w:rFonts w:hint="eastAsia"/>
          <w:color w:val="auto"/>
          <w:sz w:val="24"/>
          <w:lang w:val="en-US" w:eastAsia="zh-CN"/>
        </w:rPr>
        <w:t>5</w:t>
      </w:r>
      <w:r>
        <w:rPr>
          <w:rFonts w:hint="eastAsia"/>
          <w:color w:val="auto"/>
          <w:sz w:val="24"/>
        </w:rPr>
        <w:t>.1</w:t>
      </w:r>
      <w:r>
        <w:rPr>
          <w:color w:val="auto"/>
          <w:sz w:val="24"/>
        </w:rPr>
        <w:t>-2。《建筑施工场界环境噪声排放标准标准》(GB12523-2011)标准限制见表</w:t>
      </w:r>
      <w:r>
        <w:rPr>
          <w:rFonts w:hint="eastAsia"/>
          <w:color w:val="auto"/>
          <w:sz w:val="24"/>
          <w:lang w:val="en-US" w:eastAsia="zh-CN"/>
        </w:rPr>
        <w:t>5</w:t>
      </w:r>
      <w:r>
        <w:rPr>
          <w:rFonts w:hint="eastAsia"/>
          <w:color w:val="auto"/>
          <w:sz w:val="24"/>
        </w:rPr>
        <w:t>.1</w:t>
      </w:r>
      <w:r>
        <w:rPr>
          <w:color w:val="auto"/>
          <w:sz w:val="24"/>
        </w:rPr>
        <w:t>-3。</w:t>
      </w:r>
    </w:p>
    <w:p>
      <w:pPr>
        <w:ind w:firstLine="840" w:firstLineChars="400"/>
        <w:jc w:val="center"/>
        <w:rPr>
          <w:color w:val="auto"/>
          <w:sz w:val="24"/>
        </w:rPr>
      </w:pPr>
      <w:r>
        <w:rPr>
          <w:rFonts w:eastAsia="黑体"/>
          <w:color w:val="auto"/>
        </w:rPr>
        <w:t>表</w:t>
      </w:r>
      <w:r>
        <w:rPr>
          <w:rFonts w:hint="eastAsia" w:eastAsia="黑体"/>
          <w:color w:val="auto"/>
          <w:lang w:val="en-US" w:eastAsia="zh-CN"/>
        </w:rPr>
        <w:t>5</w:t>
      </w:r>
      <w:r>
        <w:rPr>
          <w:rFonts w:hint="eastAsia" w:eastAsia="黑体"/>
          <w:color w:val="auto"/>
        </w:rPr>
        <w:t>.1</w:t>
      </w:r>
      <w:r>
        <w:rPr>
          <w:rFonts w:eastAsia="黑体"/>
          <w:color w:val="auto"/>
        </w:rPr>
        <w:t>-2  现场施工噪声随距离衰减后的值</w:t>
      </w:r>
    </w:p>
    <w:tbl>
      <w:tblPr>
        <w:tblStyle w:val="89"/>
        <w:tblW w:w="8385" w:type="dxa"/>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840"/>
        <w:gridCol w:w="960"/>
        <w:gridCol w:w="840"/>
        <w:gridCol w:w="840"/>
        <w:gridCol w:w="840"/>
        <w:gridCol w:w="960"/>
        <w:gridCol w:w="804"/>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6"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距离(m)</w:t>
            </w:r>
          </w:p>
        </w:tc>
        <w:tc>
          <w:tcPr>
            <w:tcW w:w="84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10</w:t>
            </w:r>
          </w:p>
        </w:tc>
        <w:tc>
          <w:tcPr>
            <w:tcW w:w="96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20</w:t>
            </w:r>
          </w:p>
        </w:tc>
        <w:tc>
          <w:tcPr>
            <w:tcW w:w="84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50</w:t>
            </w:r>
          </w:p>
        </w:tc>
        <w:tc>
          <w:tcPr>
            <w:tcW w:w="84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100</w:t>
            </w:r>
          </w:p>
        </w:tc>
        <w:tc>
          <w:tcPr>
            <w:tcW w:w="84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150</w:t>
            </w:r>
          </w:p>
        </w:tc>
        <w:tc>
          <w:tcPr>
            <w:tcW w:w="96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200</w:t>
            </w:r>
          </w:p>
        </w:tc>
        <w:tc>
          <w:tcPr>
            <w:tcW w:w="804"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250</w:t>
            </w:r>
          </w:p>
        </w:tc>
        <w:tc>
          <w:tcPr>
            <w:tcW w:w="845"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6"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L (dB(A))</w:t>
            </w:r>
          </w:p>
        </w:tc>
        <w:tc>
          <w:tcPr>
            <w:tcW w:w="84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75</w:t>
            </w:r>
          </w:p>
        </w:tc>
        <w:tc>
          <w:tcPr>
            <w:tcW w:w="96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69</w:t>
            </w:r>
          </w:p>
        </w:tc>
        <w:tc>
          <w:tcPr>
            <w:tcW w:w="84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61</w:t>
            </w:r>
          </w:p>
        </w:tc>
        <w:tc>
          <w:tcPr>
            <w:tcW w:w="84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55</w:t>
            </w:r>
          </w:p>
        </w:tc>
        <w:tc>
          <w:tcPr>
            <w:tcW w:w="84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52</w:t>
            </w:r>
          </w:p>
        </w:tc>
        <w:tc>
          <w:tcPr>
            <w:tcW w:w="960"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49</w:t>
            </w:r>
          </w:p>
        </w:tc>
        <w:tc>
          <w:tcPr>
            <w:tcW w:w="804"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47</w:t>
            </w:r>
          </w:p>
        </w:tc>
        <w:tc>
          <w:tcPr>
            <w:tcW w:w="845" w:type="dxa"/>
            <w:vAlign w:val="center"/>
          </w:tcPr>
          <w:p>
            <w:pPr>
              <w:pStyle w:val="155"/>
              <w:keepNext w:val="0"/>
              <w:keepLines w:val="0"/>
              <w:suppressLineNumbers w:val="0"/>
              <w:spacing w:before="0" w:beforeAutospacing="0" w:after="0" w:afterAutospacing="0"/>
              <w:ind w:left="0" w:right="0"/>
              <w:rPr>
                <w:rFonts w:hint="default" w:ascii="Times New Roman"/>
                <w:color w:val="auto"/>
                <w:sz w:val="21"/>
                <w:szCs w:val="20"/>
              </w:rPr>
            </w:pPr>
            <w:r>
              <w:rPr>
                <w:rFonts w:hint="default" w:ascii="Times New Roman"/>
                <w:color w:val="auto"/>
                <w:sz w:val="21"/>
                <w:szCs w:val="20"/>
              </w:rPr>
              <w:t>46</w:t>
            </w:r>
          </w:p>
        </w:tc>
      </w:tr>
    </w:tbl>
    <w:p>
      <w:pPr>
        <w:spacing w:before="120" w:beforeLines="50"/>
        <w:ind w:firstLine="840" w:firstLineChars="400"/>
        <w:jc w:val="center"/>
        <w:rPr>
          <w:rFonts w:eastAsia="黑体"/>
          <w:color w:val="auto"/>
        </w:rPr>
      </w:pPr>
      <w:r>
        <w:rPr>
          <w:rFonts w:eastAsia="黑体"/>
          <w:color w:val="auto"/>
        </w:rPr>
        <w:t>表</w:t>
      </w:r>
      <w:r>
        <w:rPr>
          <w:rFonts w:hint="eastAsia" w:eastAsia="黑体"/>
          <w:color w:val="auto"/>
          <w:lang w:val="en-US" w:eastAsia="zh-CN"/>
        </w:rPr>
        <w:t>5</w:t>
      </w:r>
      <w:r>
        <w:rPr>
          <w:rFonts w:hint="eastAsia" w:eastAsia="黑体"/>
          <w:color w:val="auto"/>
        </w:rPr>
        <w:t>.1</w:t>
      </w:r>
      <w:r>
        <w:rPr>
          <w:rFonts w:eastAsia="黑体"/>
          <w:color w:val="auto"/>
        </w:rPr>
        <w:t>-3  建筑施工场界环境噪声排放标准</w:t>
      </w:r>
    </w:p>
    <w:tbl>
      <w:tblPr>
        <w:tblStyle w:val="89"/>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3612"/>
        <w:gridCol w:w="1833"/>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restart"/>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r>
              <w:rPr>
                <w:rFonts w:hint="default" w:ascii="Times New Roman"/>
                <w:color w:val="auto"/>
                <w:sz w:val="21"/>
                <w:szCs w:val="20"/>
              </w:rPr>
              <w:t>施工阶段</w:t>
            </w:r>
          </w:p>
        </w:tc>
        <w:tc>
          <w:tcPr>
            <w:tcW w:w="3612" w:type="dxa"/>
            <w:vMerge w:val="restart"/>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r>
              <w:rPr>
                <w:rFonts w:hint="default" w:ascii="Times New Roman"/>
                <w:color w:val="auto"/>
                <w:sz w:val="21"/>
                <w:szCs w:val="20"/>
              </w:rPr>
              <w:t>主要噪声源</w:t>
            </w:r>
          </w:p>
        </w:tc>
        <w:tc>
          <w:tcPr>
            <w:tcW w:w="3709" w:type="dxa"/>
            <w:gridSpan w:val="2"/>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r>
              <w:rPr>
                <w:rFonts w:hint="default" w:ascii="Times New Roman"/>
                <w:color w:val="auto"/>
                <w:sz w:val="21"/>
                <w:szCs w:val="20"/>
              </w:rPr>
              <w:t>噪声限值(等效声级)Leq[dB(A)]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dxa"/>
            <w:vMerge w:val="continue"/>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p>
        </w:tc>
        <w:tc>
          <w:tcPr>
            <w:tcW w:w="3612" w:type="dxa"/>
            <w:vMerge w:val="continue"/>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p>
        </w:tc>
        <w:tc>
          <w:tcPr>
            <w:tcW w:w="183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r>
              <w:rPr>
                <w:rFonts w:hint="default" w:ascii="Times New Roman"/>
                <w:color w:val="auto"/>
                <w:sz w:val="21"/>
                <w:szCs w:val="20"/>
              </w:rPr>
              <w:t>昼  间</w:t>
            </w:r>
          </w:p>
        </w:tc>
        <w:tc>
          <w:tcPr>
            <w:tcW w:w="187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r>
              <w:rPr>
                <w:rFonts w:hint="default" w:ascii="Times New Roman"/>
                <w:color w:val="auto"/>
                <w:sz w:val="21"/>
                <w:szCs w:val="20"/>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7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r>
              <w:rPr>
                <w:rFonts w:hint="default" w:ascii="Times New Roman"/>
                <w:color w:val="auto"/>
                <w:sz w:val="21"/>
                <w:szCs w:val="20"/>
              </w:rPr>
              <w:t>施工期</w:t>
            </w:r>
          </w:p>
        </w:tc>
        <w:tc>
          <w:tcPr>
            <w:tcW w:w="3612" w:type="dxa"/>
            <w:vAlign w:val="center"/>
          </w:tcPr>
          <w:p>
            <w:pPr>
              <w:keepNext w:val="0"/>
              <w:keepLines w:val="0"/>
              <w:suppressLineNumbers w:val="0"/>
              <w:spacing w:before="0" w:beforeAutospacing="0" w:after="0" w:afterAutospacing="0" w:line="240" w:lineRule="atLeast"/>
              <w:ind w:left="0" w:right="0"/>
              <w:rPr>
                <w:rFonts w:hint="default"/>
                <w:color w:val="auto"/>
              </w:rPr>
            </w:pPr>
            <w:r>
              <w:rPr>
                <w:rFonts w:hint="default"/>
                <w:color w:val="auto"/>
                <w:szCs w:val="21"/>
              </w:rPr>
              <w:t>推土机、挖掘机、装载机、打桩机、混凝土搅拌机、振捣棒、电锯、吊车、升降机等</w:t>
            </w:r>
          </w:p>
        </w:tc>
        <w:tc>
          <w:tcPr>
            <w:tcW w:w="1833"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r>
              <w:rPr>
                <w:rFonts w:hint="default" w:ascii="Times New Roman"/>
                <w:color w:val="auto"/>
                <w:sz w:val="21"/>
                <w:szCs w:val="20"/>
              </w:rPr>
              <w:t>70</w:t>
            </w:r>
          </w:p>
        </w:tc>
        <w:tc>
          <w:tcPr>
            <w:tcW w:w="1876" w:type="dxa"/>
            <w:vAlign w:val="center"/>
          </w:tcPr>
          <w:p>
            <w:pPr>
              <w:pStyle w:val="155"/>
              <w:keepNext w:val="0"/>
              <w:keepLines w:val="0"/>
              <w:suppressLineNumbers w:val="0"/>
              <w:spacing w:before="0" w:beforeAutospacing="0" w:after="0" w:afterAutospacing="0"/>
              <w:ind w:left="0" w:right="0"/>
              <w:jc w:val="center"/>
              <w:rPr>
                <w:rFonts w:hint="default" w:ascii="Times New Roman"/>
                <w:color w:val="auto"/>
                <w:sz w:val="21"/>
                <w:szCs w:val="20"/>
              </w:rPr>
            </w:pPr>
            <w:r>
              <w:rPr>
                <w:rFonts w:hint="default" w:ascii="Times New Roman"/>
                <w:color w:val="auto"/>
                <w:sz w:val="21"/>
                <w:szCs w:val="20"/>
              </w:rPr>
              <w:t>55</w:t>
            </w:r>
          </w:p>
        </w:tc>
      </w:tr>
    </w:tbl>
    <w:p>
      <w:pPr>
        <w:spacing w:before="120" w:beforeLines="50" w:line="360" w:lineRule="auto"/>
        <w:ind w:firstLine="527"/>
        <w:rPr>
          <w:color w:val="auto"/>
          <w:sz w:val="24"/>
        </w:rPr>
      </w:pPr>
      <w:r>
        <w:rPr>
          <w:color w:val="auto"/>
          <w:sz w:val="24"/>
        </w:rPr>
        <w:t>从表</w:t>
      </w:r>
      <w:r>
        <w:rPr>
          <w:rFonts w:hint="eastAsia"/>
          <w:color w:val="auto"/>
          <w:sz w:val="24"/>
          <w:lang w:val="en-US" w:eastAsia="zh-CN"/>
        </w:rPr>
        <w:t>5</w:t>
      </w:r>
      <w:r>
        <w:rPr>
          <w:rFonts w:hint="eastAsia"/>
          <w:color w:val="auto"/>
          <w:sz w:val="24"/>
        </w:rPr>
        <w:t>.1</w:t>
      </w:r>
      <w:r>
        <w:rPr>
          <w:color w:val="auto"/>
          <w:sz w:val="24"/>
        </w:rPr>
        <w:t>-2和表</w:t>
      </w:r>
      <w:r>
        <w:rPr>
          <w:rFonts w:hint="eastAsia"/>
          <w:color w:val="auto"/>
          <w:sz w:val="24"/>
          <w:lang w:val="en-US" w:eastAsia="zh-CN"/>
        </w:rPr>
        <w:t>5</w:t>
      </w:r>
      <w:r>
        <w:rPr>
          <w:rFonts w:hint="eastAsia"/>
          <w:color w:val="auto"/>
          <w:sz w:val="24"/>
        </w:rPr>
        <w:t>.1</w:t>
      </w:r>
      <w:r>
        <w:rPr>
          <w:color w:val="auto"/>
          <w:sz w:val="24"/>
        </w:rPr>
        <w:t>-3中可以看出，施工机械噪声在白天对距声源50m范围内，夜间对距声源100m范围内敏感点有一定影响。</w:t>
      </w:r>
    </w:p>
    <w:p>
      <w:pPr>
        <w:spacing w:line="360" w:lineRule="auto"/>
        <w:ind w:firstLine="525"/>
        <w:rPr>
          <w:color w:val="auto"/>
          <w:sz w:val="24"/>
        </w:rPr>
      </w:pPr>
      <w:r>
        <w:rPr>
          <w:color w:val="auto"/>
          <w:sz w:val="24"/>
        </w:rPr>
        <w:t>另外，施工期机械噪声对周围环境影响虽不大，但主要影响到作业人员和现场管理人员，参照我国《工业企业器材卫生标准》和美国城建局规定的新建工地的环境噪声标准(本文略)，可认为在现场施工期间，机械噪声对作业人员有一定程度的不利影响。有些机械(如搅拌机)噪声超过劳动卫生标准(2小时)，需实施劳动卫生防护措施(如防噪耳套、耳塞等)。</w:t>
      </w:r>
    </w:p>
    <w:p>
      <w:pPr>
        <w:spacing w:line="360" w:lineRule="auto"/>
        <w:ind w:firstLine="525"/>
        <w:rPr>
          <w:color w:val="auto"/>
          <w:sz w:val="24"/>
        </w:rPr>
      </w:pPr>
      <w:r>
        <w:rPr>
          <w:color w:val="auto"/>
          <w:sz w:val="24"/>
        </w:rPr>
        <w:t>为避免和降低施工噪声扰民程度，需做到以下几点：</w:t>
      </w:r>
    </w:p>
    <w:p>
      <w:pPr>
        <w:spacing w:line="360" w:lineRule="auto"/>
        <w:ind w:firstLine="525"/>
        <w:rPr>
          <w:color w:val="auto"/>
          <w:sz w:val="24"/>
        </w:rPr>
      </w:pPr>
      <w:r>
        <w:rPr>
          <w:color w:val="auto"/>
          <w:sz w:val="24"/>
        </w:rPr>
        <w:t>a 施工中严格按GB12523-2011《建筑施工场界环境噪声排放标准》施工，防止机械噪声的超标，特别是应避免推土机、挖掘机、混凝土搅拌机等夜间作业；禁止夜间打桩。</w:t>
      </w:r>
    </w:p>
    <w:p>
      <w:pPr>
        <w:spacing w:line="360" w:lineRule="auto"/>
        <w:ind w:firstLine="525"/>
        <w:rPr>
          <w:color w:val="auto"/>
          <w:sz w:val="24"/>
        </w:rPr>
      </w:pPr>
      <w:r>
        <w:rPr>
          <w:color w:val="auto"/>
          <w:sz w:val="24"/>
        </w:rPr>
        <w:t xml:space="preserve"> b 制定科学的施工计划，合理安排。</w:t>
      </w:r>
    </w:p>
    <w:p>
      <w:pPr>
        <w:pStyle w:val="180"/>
        <w:rPr>
          <w:rFonts w:hint="default" w:ascii="Times New Roman" w:hAnsi="Times New Roman" w:cs="Times New Roman" w:eastAsiaTheme="majorEastAsia"/>
          <w:b/>
          <w:bCs w:val="0"/>
          <w:color w:val="auto"/>
          <w:sz w:val="24"/>
          <w:szCs w:val="24"/>
        </w:rPr>
      </w:pPr>
      <w:bookmarkStart w:id="392" w:name="_Toc329088371"/>
      <w:bookmarkStart w:id="393" w:name="_Toc18967"/>
      <w:bookmarkStart w:id="394" w:name="_Toc51691076"/>
      <w:bookmarkStart w:id="395" w:name="_Toc64081458"/>
      <w:bookmarkStart w:id="396" w:name="_Toc15737918"/>
      <w:bookmarkStart w:id="397" w:name="_Toc34778161"/>
      <w:bookmarkStart w:id="398" w:name="_Toc15600438"/>
      <w:bookmarkStart w:id="399" w:name="_Toc180824116"/>
      <w:bookmarkStart w:id="400" w:name="_Toc300932264"/>
      <w:bookmarkStart w:id="401" w:name="_Toc15600812"/>
      <w:bookmarkStart w:id="402" w:name="_Toc180817045"/>
      <w:r>
        <w:rPr>
          <w:rFonts w:hint="default" w:ascii="Times New Roman" w:hAnsi="Times New Roman" w:cs="Times New Roman" w:eastAsiaTheme="majorEastAsia"/>
          <w:b/>
          <w:bCs w:val="0"/>
          <w:color w:val="auto"/>
          <w:sz w:val="24"/>
          <w:szCs w:val="24"/>
        </w:rPr>
        <w:t>施工</w:t>
      </w:r>
      <w:r>
        <w:rPr>
          <w:rFonts w:hint="eastAsia" w:cs="Times New Roman" w:eastAsiaTheme="majorEastAsia"/>
          <w:b/>
          <w:bCs w:val="0"/>
          <w:color w:val="auto"/>
          <w:sz w:val="24"/>
          <w:szCs w:val="24"/>
          <w:lang w:val="en-US" w:eastAsia="zh-CN"/>
        </w:rPr>
        <w:t>大气</w:t>
      </w:r>
      <w:r>
        <w:rPr>
          <w:rFonts w:hint="default" w:ascii="Times New Roman" w:hAnsi="Times New Roman" w:cs="Times New Roman" w:eastAsiaTheme="majorEastAsia"/>
          <w:b/>
          <w:bCs w:val="0"/>
          <w:color w:val="auto"/>
          <w:sz w:val="24"/>
          <w:szCs w:val="24"/>
        </w:rPr>
        <w:t>环境影响分析</w:t>
      </w:r>
      <w:bookmarkEnd w:id="392"/>
      <w:bookmarkEnd w:id="393"/>
      <w:bookmarkEnd w:id="394"/>
      <w:bookmarkEnd w:id="395"/>
      <w:bookmarkEnd w:id="396"/>
      <w:bookmarkEnd w:id="397"/>
      <w:bookmarkEnd w:id="398"/>
      <w:bookmarkEnd w:id="399"/>
      <w:bookmarkEnd w:id="400"/>
      <w:bookmarkEnd w:id="401"/>
      <w:bookmarkEnd w:id="402"/>
    </w:p>
    <w:p>
      <w:pPr>
        <w:spacing w:line="360" w:lineRule="auto"/>
        <w:ind w:firstLine="525"/>
        <w:rPr>
          <w:color w:val="auto"/>
          <w:sz w:val="24"/>
        </w:rPr>
      </w:pPr>
      <w:r>
        <w:rPr>
          <w:color w:val="auto"/>
          <w:sz w:val="24"/>
        </w:rPr>
        <w:t>施工时，土石方挖掘、建筑材料及各种弃土废料运输，均会引起施工扬尘，或运输车辆沿途带起的路面扬尘。</w:t>
      </w:r>
    </w:p>
    <w:p>
      <w:pPr>
        <w:spacing w:line="360" w:lineRule="auto"/>
        <w:ind w:firstLine="525"/>
        <w:rPr>
          <w:color w:val="auto"/>
          <w:sz w:val="24"/>
        </w:rPr>
      </w:pPr>
      <w:r>
        <w:rPr>
          <w:color w:val="auto"/>
          <w:sz w:val="24"/>
        </w:rPr>
        <w:t>施工扬尘在空气中的飘扬距离与空气动力特性有关，特别是与风速和大气稳定度关系密切。在大气稳定度处于稳定状态时，其传播距离较近，风速较小时，其传播距离也较近。其产生的扬尘对沿线周围农户有一定影响。</w:t>
      </w:r>
    </w:p>
    <w:p>
      <w:pPr>
        <w:spacing w:line="360" w:lineRule="auto"/>
        <w:ind w:firstLine="525"/>
        <w:rPr>
          <w:color w:val="auto"/>
          <w:sz w:val="24"/>
        </w:rPr>
      </w:pPr>
      <w:r>
        <w:rPr>
          <w:color w:val="auto"/>
          <w:sz w:val="24"/>
        </w:rPr>
        <w:t>评价认为，在施工期，应加强对施工扬尘的控制，及时喷洒水(特别是在干燥季节)和对松土压实，严格按照原国家环保总局和建设部发的环发(2001)56号“关于有效控制城市扬尘污染的通知”文件精神执行，可避免施工扬尘对周围敏感点的影响。</w:t>
      </w:r>
    </w:p>
    <w:p>
      <w:pPr>
        <w:pStyle w:val="180"/>
        <w:rPr>
          <w:rFonts w:hint="default" w:ascii="Times New Roman" w:hAnsi="Times New Roman" w:cs="Times New Roman" w:eastAsiaTheme="majorEastAsia"/>
          <w:b/>
          <w:bCs w:val="0"/>
          <w:color w:val="auto"/>
          <w:sz w:val="24"/>
          <w:szCs w:val="24"/>
        </w:rPr>
      </w:pPr>
      <w:bookmarkStart w:id="403" w:name="_Toc180824118"/>
      <w:bookmarkStart w:id="404" w:name="_Toc369334852"/>
      <w:bookmarkStart w:id="405" w:name="_Toc369197834"/>
      <w:bookmarkStart w:id="406" w:name="_Toc28653"/>
      <w:bookmarkStart w:id="407" w:name="_Toc300932266"/>
      <w:bookmarkStart w:id="408" w:name="_Toc369334672"/>
      <w:bookmarkStart w:id="409" w:name="_Toc369191668"/>
      <w:bookmarkStart w:id="410" w:name="_Toc329088373"/>
      <w:r>
        <w:rPr>
          <w:rFonts w:hint="default" w:ascii="Times New Roman" w:hAnsi="Times New Roman" w:cs="Times New Roman" w:eastAsiaTheme="majorEastAsia"/>
          <w:b/>
          <w:bCs w:val="0"/>
          <w:color w:val="auto"/>
          <w:sz w:val="24"/>
          <w:szCs w:val="24"/>
        </w:rPr>
        <w:t>施工期固体废物对环境的影响分析</w:t>
      </w:r>
      <w:bookmarkEnd w:id="403"/>
      <w:bookmarkEnd w:id="404"/>
      <w:bookmarkEnd w:id="405"/>
      <w:bookmarkEnd w:id="406"/>
      <w:bookmarkEnd w:id="407"/>
      <w:bookmarkEnd w:id="408"/>
      <w:bookmarkEnd w:id="409"/>
      <w:bookmarkEnd w:id="410"/>
    </w:p>
    <w:p>
      <w:pPr>
        <w:spacing w:line="360" w:lineRule="auto"/>
        <w:ind w:firstLine="525"/>
        <w:rPr>
          <w:color w:val="auto"/>
          <w:sz w:val="24"/>
        </w:rPr>
      </w:pPr>
      <w:r>
        <w:rPr>
          <w:color w:val="auto"/>
          <w:sz w:val="24"/>
        </w:rPr>
        <w:t>施工期产生的弃土和建渣，会对环境产生一定影响。及时清运和处理施工弃土，将其运至指定建渣堆场，运输车辆应采用封闭式，在运输过程中，杜绝沿途撒落，可避免施工弃土对环境的影响。</w:t>
      </w:r>
    </w:p>
    <w:p>
      <w:pPr>
        <w:spacing w:line="360" w:lineRule="auto"/>
        <w:ind w:firstLine="525"/>
        <w:rPr>
          <w:color w:val="auto"/>
          <w:sz w:val="24"/>
        </w:rPr>
      </w:pPr>
      <w:r>
        <w:rPr>
          <w:color w:val="auto"/>
          <w:sz w:val="24"/>
        </w:rPr>
        <w:t>施工期产生的其他固体废物，如废弃材料、纸张、塑料薄膜及时送垃圾场和废品站处理；其他建渣送指定的地方堆放。</w:t>
      </w:r>
    </w:p>
    <w:p>
      <w:pPr>
        <w:spacing w:line="360" w:lineRule="auto"/>
        <w:ind w:firstLine="525"/>
        <w:rPr>
          <w:color w:val="auto"/>
          <w:sz w:val="24"/>
        </w:rPr>
      </w:pPr>
      <w:r>
        <w:rPr>
          <w:color w:val="auto"/>
          <w:sz w:val="24"/>
        </w:rPr>
        <w:t>评价认为工程施工弃土和固体废弃物经妥善、及时处置后不会产生影响。</w:t>
      </w:r>
    </w:p>
    <w:p>
      <w:pPr>
        <w:pStyle w:val="180"/>
        <w:rPr>
          <w:rFonts w:hint="default" w:ascii="Times New Roman" w:hAnsi="Times New Roman" w:cs="Times New Roman" w:eastAsiaTheme="majorEastAsia"/>
          <w:b/>
          <w:bCs w:val="0"/>
          <w:color w:val="auto"/>
          <w:sz w:val="24"/>
          <w:szCs w:val="24"/>
        </w:rPr>
      </w:pPr>
      <w:bookmarkStart w:id="411" w:name="_Toc180824119"/>
      <w:bookmarkStart w:id="412" w:name="_Toc51691077"/>
      <w:bookmarkStart w:id="413" w:name="_Toc15600813"/>
      <w:bookmarkStart w:id="414" w:name="_Toc64081459"/>
      <w:bookmarkStart w:id="415" w:name="_Toc329088374"/>
      <w:bookmarkStart w:id="416" w:name="_Toc15600439"/>
      <w:bookmarkStart w:id="417" w:name="_Toc180817046"/>
      <w:bookmarkStart w:id="418" w:name="_Toc300932267"/>
      <w:bookmarkStart w:id="419" w:name="_Toc15737919"/>
      <w:bookmarkStart w:id="420" w:name="_Toc3994"/>
      <w:bookmarkStart w:id="421" w:name="_Toc34778162"/>
      <w:r>
        <w:rPr>
          <w:rFonts w:hint="default" w:ascii="Times New Roman" w:hAnsi="Times New Roman" w:cs="Times New Roman" w:eastAsiaTheme="majorEastAsia"/>
          <w:b/>
          <w:bCs w:val="0"/>
          <w:color w:val="auto"/>
          <w:sz w:val="24"/>
          <w:szCs w:val="24"/>
        </w:rPr>
        <w:t>施工期废(污)水影响预测分析</w:t>
      </w:r>
      <w:bookmarkEnd w:id="411"/>
      <w:bookmarkEnd w:id="412"/>
      <w:bookmarkEnd w:id="413"/>
      <w:bookmarkEnd w:id="414"/>
      <w:bookmarkEnd w:id="415"/>
      <w:bookmarkEnd w:id="416"/>
      <w:bookmarkEnd w:id="417"/>
      <w:bookmarkEnd w:id="418"/>
      <w:bookmarkEnd w:id="419"/>
      <w:bookmarkEnd w:id="420"/>
      <w:bookmarkEnd w:id="421"/>
    </w:p>
    <w:p>
      <w:pPr>
        <w:spacing w:line="360" w:lineRule="auto"/>
        <w:ind w:firstLine="525"/>
        <w:rPr>
          <w:color w:val="auto"/>
          <w:sz w:val="24"/>
        </w:rPr>
      </w:pPr>
      <w:r>
        <w:rPr>
          <w:color w:val="auto"/>
          <w:sz w:val="24"/>
        </w:rPr>
        <w:t>施工期废水是施工人员的生活污水和设备清洗水。污染物主要有SS、COD</w:t>
      </w:r>
      <w:r>
        <w:rPr>
          <w:color w:val="auto"/>
          <w:sz w:val="24"/>
          <w:vertAlign w:val="subscript"/>
        </w:rPr>
        <w:t>cr</w:t>
      </w:r>
      <w:r>
        <w:rPr>
          <w:color w:val="auto"/>
          <w:sz w:val="24"/>
        </w:rPr>
        <w:t>、BOD</w:t>
      </w:r>
      <w:r>
        <w:rPr>
          <w:color w:val="auto"/>
          <w:sz w:val="24"/>
          <w:vertAlign w:val="subscript"/>
        </w:rPr>
        <w:t>5</w:t>
      </w:r>
      <w:r>
        <w:rPr>
          <w:color w:val="auto"/>
          <w:sz w:val="24"/>
        </w:rPr>
        <w:t>、NH</w:t>
      </w:r>
      <w:r>
        <w:rPr>
          <w:color w:val="auto"/>
          <w:sz w:val="24"/>
          <w:vertAlign w:val="subscript"/>
        </w:rPr>
        <w:t>3</w:t>
      </w:r>
      <w:r>
        <w:rPr>
          <w:color w:val="auto"/>
          <w:sz w:val="24"/>
        </w:rPr>
        <w:t>-N、油类等。施工废水属间断排放，且水量不大。设备清洗水经沉淀处理后循环使用，用于施工现场的洒水降尘等；施工人员生活废水量不大，可利用附近农户的旱厕对生活废水进行收集处理，后用于当地农田施肥。因此，施工期废水不会对环境产生明显影响。</w:t>
      </w:r>
    </w:p>
    <w:p>
      <w:pPr>
        <w:pStyle w:val="180"/>
        <w:rPr>
          <w:rFonts w:hint="default" w:ascii="Times New Roman" w:hAnsi="Times New Roman" w:cs="Times New Roman" w:eastAsiaTheme="majorEastAsia"/>
          <w:b/>
          <w:bCs w:val="0"/>
          <w:color w:val="auto"/>
          <w:sz w:val="24"/>
          <w:szCs w:val="24"/>
        </w:rPr>
      </w:pPr>
      <w:bookmarkStart w:id="422" w:name="_Toc180817047"/>
      <w:bookmarkStart w:id="423" w:name="_Toc31612"/>
      <w:bookmarkStart w:id="424" w:name="_Toc51691078"/>
      <w:bookmarkStart w:id="425" w:name="_Toc180824120"/>
      <w:bookmarkStart w:id="426" w:name="_Toc64081460"/>
      <w:bookmarkStart w:id="427" w:name="_Toc15600815"/>
      <w:bookmarkStart w:id="428" w:name="_Toc300932268"/>
      <w:bookmarkStart w:id="429" w:name="_Toc329088375"/>
      <w:bookmarkStart w:id="430" w:name="_Toc34778164"/>
      <w:bookmarkStart w:id="431" w:name="_Toc15737921"/>
      <w:bookmarkStart w:id="432" w:name="_Toc515251218"/>
      <w:bookmarkStart w:id="433" w:name="_Toc15600441"/>
      <w:r>
        <w:rPr>
          <w:rFonts w:hint="default" w:ascii="Times New Roman" w:hAnsi="Times New Roman" w:cs="Times New Roman" w:eastAsiaTheme="majorEastAsia"/>
          <w:b/>
          <w:bCs w:val="0"/>
          <w:color w:val="auto"/>
          <w:sz w:val="24"/>
          <w:szCs w:val="24"/>
        </w:rPr>
        <w:t>施工期环境影响的对策</w:t>
      </w:r>
      <w:bookmarkEnd w:id="422"/>
      <w:bookmarkEnd w:id="423"/>
      <w:bookmarkEnd w:id="424"/>
      <w:bookmarkEnd w:id="425"/>
      <w:bookmarkEnd w:id="426"/>
      <w:bookmarkEnd w:id="427"/>
      <w:bookmarkEnd w:id="428"/>
      <w:bookmarkEnd w:id="429"/>
      <w:bookmarkEnd w:id="430"/>
      <w:bookmarkEnd w:id="431"/>
      <w:bookmarkEnd w:id="432"/>
      <w:bookmarkEnd w:id="433"/>
    </w:p>
    <w:p>
      <w:pPr>
        <w:spacing w:line="360" w:lineRule="auto"/>
        <w:ind w:firstLine="525"/>
        <w:rPr>
          <w:color w:val="auto"/>
          <w:sz w:val="24"/>
        </w:rPr>
      </w:pPr>
      <w:r>
        <w:rPr>
          <w:color w:val="auto"/>
          <w:sz w:val="24"/>
        </w:rPr>
        <w:t>虽然施工期对环境的影响是暂时的，施工结束后，即可基本消除。为避免和降低施工噪声扰民程度和其他污染因素对环境的影响，评价认为，在施工时应严格落实以下环保对策。</w:t>
      </w:r>
    </w:p>
    <w:p>
      <w:pPr>
        <w:spacing w:line="360" w:lineRule="auto"/>
        <w:ind w:firstLine="525"/>
        <w:rPr>
          <w:color w:val="auto"/>
          <w:sz w:val="24"/>
        </w:rPr>
      </w:pPr>
      <w:r>
        <w:rPr>
          <w:color w:val="auto"/>
          <w:sz w:val="24"/>
        </w:rPr>
        <w:t>1、施工中应防止机械噪声的超标，特别是应避免推土机、挖掘机、混凝土搅拌机等夜间作业；打桩机禁止夜间打桩。严格按GB12523-2011《建筑施工场界环境噪声排放标准》施工；</w:t>
      </w:r>
    </w:p>
    <w:p>
      <w:pPr>
        <w:spacing w:line="360" w:lineRule="auto"/>
        <w:ind w:firstLine="525"/>
        <w:rPr>
          <w:color w:val="auto"/>
          <w:sz w:val="24"/>
        </w:rPr>
      </w:pPr>
      <w:r>
        <w:rPr>
          <w:color w:val="auto"/>
          <w:sz w:val="24"/>
        </w:rPr>
        <w:t>2、制定科学的施工计划，合理施工平面安排。</w:t>
      </w:r>
    </w:p>
    <w:p>
      <w:pPr>
        <w:spacing w:line="360" w:lineRule="auto"/>
        <w:ind w:firstLine="525"/>
        <w:rPr>
          <w:color w:val="auto"/>
          <w:sz w:val="24"/>
        </w:rPr>
      </w:pPr>
      <w:r>
        <w:rPr>
          <w:color w:val="auto"/>
          <w:sz w:val="24"/>
        </w:rPr>
        <w:t>3、施工原材料购进时间精心安排、系统规划、规范施工。为避免和减少水土流失，应修建挡土墙，并在条件允许情况下，尽早实施绿化，固土蓄水；</w:t>
      </w:r>
    </w:p>
    <w:p>
      <w:pPr>
        <w:spacing w:line="360" w:lineRule="auto"/>
        <w:ind w:firstLine="525"/>
        <w:rPr>
          <w:color w:val="auto"/>
          <w:sz w:val="24"/>
        </w:rPr>
      </w:pPr>
      <w:r>
        <w:rPr>
          <w:color w:val="auto"/>
          <w:sz w:val="24"/>
        </w:rPr>
        <w:t>4、施工中产生的废弃物(如废材料、废纸张、废包装材料、废塑料薄膜等)应妥善保管、及时处理；施工中产生的弃土应及时回填和清运；</w:t>
      </w:r>
    </w:p>
    <w:p>
      <w:pPr>
        <w:spacing w:line="360" w:lineRule="auto"/>
        <w:ind w:firstLine="525"/>
        <w:rPr>
          <w:color w:val="auto"/>
          <w:sz w:val="24"/>
        </w:rPr>
      </w:pPr>
      <w:r>
        <w:rPr>
          <w:color w:val="auto"/>
          <w:sz w:val="24"/>
        </w:rPr>
        <w:t>5、设备清洗水经沉淀处理后回用，禁止施工废水排放，生活污水可依托附近社会设施；</w:t>
      </w:r>
    </w:p>
    <w:p>
      <w:pPr>
        <w:spacing w:line="360" w:lineRule="auto"/>
        <w:ind w:firstLine="525"/>
        <w:rPr>
          <w:color w:val="auto"/>
          <w:sz w:val="24"/>
        </w:rPr>
      </w:pPr>
      <w:r>
        <w:rPr>
          <w:color w:val="auto"/>
          <w:sz w:val="24"/>
        </w:rPr>
        <w:t>6、应及时喷洒水(特别是在干燥季节)和对松土压实，严格按照原国家环保总局和建设部发的环发(2001)56号“关于有效控制城市扬尘污染的通知”，防止弃土、扬尘对环境的影响；</w:t>
      </w:r>
    </w:p>
    <w:p>
      <w:pPr>
        <w:spacing w:line="360" w:lineRule="auto"/>
        <w:ind w:firstLine="525"/>
        <w:rPr>
          <w:color w:val="auto"/>
          <w:sz w:val="24"/>
        </w:rPr>
      </w:pPr>
      <w:r>
        <w:rPr>
          <w:color w:val="auto"/>
          <w:sz w:val="24"/>
        </w:rPr>
        <w:t>7、施工车辆运输时散落物料也是常见的现象，但是在城市街道行驶中散落在道路上，是对城市环境卫生和景观的极大损害。建设单位应与施工方“约法三章”，务必要使施工单位文明生产、施工；</w:t>
      </w:r>
    </w:p>
    <w:p>
      <w:pPr>
        <w:spacing w:line="360" w:lineRule="auto"/>
        <w:ind w:firstLine="480"/>
        <w:rPr>
          <w:color w:val="auto"/>
          <w:sz w:val="24"/>
        </w:rPr>
      </w:pPr>
      <w:r>
        <w:rPr>
          <w:color w:val="auto"/>
          <w:sz w:val="24"/>
        </w:rPr>
        <w:t>8、施工时应尽可能使构筑物保持整洁外观，注意安全产，文明施工。</w:t>
      </w:r>
    </w:p>
    <w:p>
      <w:pPr>
        <w:pStyle w:val="180"/>
        <w:rPr>
          <w:rFonts w:hint="default" w:ascii="Times New Roman" w:hAnsi="Times New Roman" w:cs="Times New Roman" w:eastAsiaTheme="majorEastAsia"/>
          <w:b/>
          <w:bCs w:val="0"/>
          <w:color w:val="auto"/>
          <w:sz w:val="24"/>
          <w:szCs w:val="24"/>
        </w:rPr>
      </w:pPr>
      <w:bookmarkStart w:id="434" w:name="_Toc7112"/>
      <w:r>
        <w:rPr>
          <w:rFonts w:hint="default" w:ascii="Times New Roman" w:hAnsi="Times New Roman" w:cs="Times New Roman" w:eastAsiaTheme="majorEastAsia"/>
          <w:b/>
          <w:bCs w:val="0"/>
          <w:color w:val="auto"/>
          <w:sz w:val="24"/>
          <w:szCs w:val="24"/>
        </w:rPr>
        <w:t>水土保持</w:t>
      </w:r>
      <w:bookmarkEnd w:id="434"/>
    </w:p>
    <w:p>
      <w:pPr>
        <w:spacing w:line="360" w:lineRule="auto"/>
        <w:ind w:firstLine="480" w:firstLineChars="200"/>
        <w:rPr>
          <w:color w:val="auto"/>
          <w:sz w:val="24"/>
        </w:rPr>
      </w:pPr>
      <w:bookmarkStart w:id="435" w:name="_Toc224466528"/>
      <w:bookmarkStart w:id="436" w:name="_Toc169689956"/>
      <w:bookmarkStart w:id="437" w:name="_Toc335983500"/>
      <w:bookmarkStart w:id="438" w:name="_Toc168042042"/>
      <w:bookmarkStart w:id="439" w:name="_Toc124561311"/>
      <w:bookmarkStart w:id="440" w:name="_Toc364848989"/>
      <w:r>
        <w:rPr>
          <w:color w:val="auto"/>
          <w:sz w:val="24"/>
        </w:rPr>
        <w:t>项目基础开挖、土石方填埋和平整等工序形成土表层土石填料裸露、边坡裸露；当雨天特别是雨季来临时，如果不采取有效措施，将导致严重的水土流失。根据水土保持相关管理规定，项目应制定水土保持方案。</w:t>
      </w:r>
      <w:bookmarkEnd w:id="435"/>
      <w:bookmarkEnd w:id="436"/>
      <w:bookmarkEnd w:id="437"/>
      <w:bookmarkEnd w:id="438"/>
      <w:bookmarkEnd w:id="439"/>
      <w:bookmarkEnd w:id="440"/>
      <w:bookmarkStart w:id="441" w:name="_Toc369197840"/>
      <w:bookmarkStart w:id="442" w:name="_Toc369334858"/>
      <w:bookmarkStart w:id="443" w:name="_Toc369191674"/>
      <w:bookmarkStart w:id="444" w:name="_Toc369334678"/>
    </w:p>
    <w:bookmarkEnd w:id="441"/>
    <w:bookmarkEnd w:id="442"/>
    <w:bookmarkEnd w:id="443"/>
    <w:bookmarkEnd w:id="444"/>
    <w:p>
      <w:pPr>
        <w:spacing w:line="360" w:lineRule="auto"/>
        <w:ind w:firstLine="480" w:firstLineChars="200"/>
        <w:rPr>
          <w:color w:val="auto"/>
          <w:sz w:val="24"/>
        </w:rPr>
      </w:pPr>
      <w:r>
        <w:rPr>
          <w:color w:val="auto"/>
          <w:sz w:val="24"/>
        </w:rPr>
        <w:t>1、水土保持流失治理原则</w:t>
      </w:r>
    </w:p>
    <w:p>
      <w:pPr>
        <w:adjustRightInd w:val="0"/>
        <w:snapToGrid w:val="0"/>
        <w:spacing w:line="360" w:lineRule="auto"/>
        <w:ind w:firstLine="480" w:firstLineChars="200"/>
        <w:rPr>
          <w:color w:val="auto"/>
          <w:sz w:val="24"/>
        </w:rPr>
      </w:pPr>
      <w:r>
        <w:rPr>
          <w:color w:val="auto"/>
          <w:sz w:val="24"/>
        </w:rPr>
        <w:t>水土保持需坚持“预防为主、全面规划、综合防治、因地制宜、加强管理、注重效益”的方针和水土保持方案与主体工程同时设计、同时施工、同时投产使用的“三同时”制度的前提下，还应遵循以下原则：</w:t>
      </w:r>
    </w:p>
    <w:p>
      <w:pPr>
        <w:adjustRightInd w:val="0"/>
        <w:snapToGrid w:val="0"/>
        <w:spacing w:line="360" w:lineRule="auto"/>
        <w:ind w:firstLine="480" w:firstLineChars="200"/>
        <w:rPr>
          <w:color w:val="auto"/>
          <w:sz w:val="24"/>
        </w:rPr>
      </w:pPr>
      <w:r>
        <w:rPr>
          <w:color w:val="auto"/>
          <w:sz w:val="24"/>
        </w:rPr>
        <w:t>（1）预防为主，工程措施与植物措施、永久措施与临时措施相结合原则。</w:t>
      </w:r>
    </w:p>
    <w:p>
      <w:pPr>
        <w:adjustRightInd w:val="0"/>
        <w:snapToGrid w:val="0"/>
        <w:spacing w:line="360" w:lineRule="auto"/>
        <w:ind w:firstLine="480" w:firstLineChars="200"/>
        <w:rPr>
          <w:color w:val="auto"/>
          <w:sz w:val="24"/>
        </w:rPr>
      </w:pPr>
      <w:r>
        <w:rPr>
          <w:color w:val="auto"/>
          <w:sz w:val="24"/>
        </w:rPr>
        <w:t>（2）因地制宜的原则。根据工程施工区的地质、地貌、水文、植被等情况，对不同的水土流失形态采取不同的防治措施。</w:t>
      </w:r>
    </w:p>
    <w:p>
      <w:pPr>
        <w:adjustRightInd w:val="0"/>
        <w:snapToGrid w:val="0"/>
        <w:spacing w:line="360" w:lineRule="auto"/>
        <w:ind w:firstLine="480" w:firstLineChars="200"/>
        <w:rPr>
          <w:color w:val="auto"/>
          <w:sz w:val="24"/>
        </w:rPr>
      </w:pPr>
      <w:r>
        <w:rPr>
          <w:color w:val="auto"/>
          <w:sz w:val="24"/>
        </w:rPr>
        <w:t>（3）重点治理的原则。工程施工期产生的水土流失为本方案治理重点，临时弃渣产生的水土流失为治理的关键。</w:t>
      </w:r>
    </w:p>
    <w:p>
      <w:pPr>
        <w:spacing w:line="360" w:lineRule="auto"/>
        <w:ind w:firstLine="480" w:firstLineChars="200"/>
        <w:rPr>
          <w:color w:val="auto"/>
          <w:sz w:val="24"/>
        </w:rPr>
      </w:pPr>
      <w:r>
        <w:rPr>
          <w:color w:val="auto"/>
          <w:sz w:val="24"/>
        </w:rPr>
        <w:t>2、防止水土流失措施</w:t>
      </w:r>
    </w:p>
    <w:p>
      <w:pPr>
        <w:adjustRightInd w:val="0"/>
        <w:snapToGrid w:val="0"/>
        <w:spacing w:line="360" w:lineRule="auto"/>
        <w:ind w:firstLine="480" w:firstLineChars="200"/>
        <w:rPr>
          <w:color w:val="auto"/>
          <w:sz w:val="24"/>
        </w:rPr>
      </w:pPr>
      <w:r>
        <w:rPr>
          <w:color w:val="auto"/>
          <w:sz w:val="24"/>
        </w:rPr>
        <w:t>为有效防止和减化项目施工期造成的水土流失，必须采取有效的水土保持措施。</w:t>
      </w:r>
    </w:p>
    <w:p>
      <w:pPr>
        <w:adjustRightInd w:val="0"/>
        <w:snapToGrid w:val="0"/>
        <w:spacing w:line="360" w:lineRule="auto"/>
        <w:ind w:firstLine="480" w:firstLineChars="200"/>
        <w:rPr>
          <w:color w:val="auto"/>
          <w:sz w:val="24"/>
        </w:rPr>
      </w:pPr>
      <w:r>
        <w:rPr>
          <w:color w:val="auto"/>
          <w:sz w:val="24"/>
        </w:rPr>
        <w:t>本评价根据项目区域环境现状以及地质地貌状况，特提出如下措施，主要包括工程防护措施、植物防护措施及工程管理措施：</w:t>
      </w:r>
    </w:p>
    <w:p>
      <w:pPr>
        <w:adjustRightInd w:val="0"/>
        <w:snapToGrid w:val="0"/>
        <w:spacing w:line="360" w:lineRule="auto"/>
        <w:ind w:firstLine="480" w:firstLineChars="200"/>
        <w:rPr>
          <w:color w:val="auto"/>
          <w:sz w:val="24"/>
        </w:rPr>
      </w:pPr>
      <w:r>
        <w:rPr>
          <w:color w:val="auto"/>
          <w:sz w:val="24"/>
        </w:rPr>
        <w:t>（1）工程防护措施</w:t>
      </w:r>
    </w:p>
    <w:p>
      <w:pPr>
        <w:adjustRightInd w:val="0"/>
        <w:snapToGrid w:val="0"/>
        <w:spacing w:line="360" w:lineRule="auto"/>
        <w:ind w:firstLine="480" w:firstLineChars="200"/>
        <w:rPr>
          <w:color w:val="auto"/>
          <w:sz w:val="24"/>
        </w:rPr>
      </w:pPr>
      <w:r>
        <w:rPr>
          <w:color w:val="auto"/>
          <w:sz w:val="24"/>
        </w:rPr>
        <w:t>工程防护措施主要是通过修建挡土墙、护坡、截（排）水沟等形式将水土流失降到最低程度。临时工程防护措施设计时应对区域的特点、地形地貌等情况，进行科学合理设计，使工程措施既满足防护需要，又不造成浪费。</w:t>
      </w:r>
    </w:p>
    <w:p>
      <w:pPr>
        <w:adjustRightInd w:val="0"/>
        <w:snapToGrid w:val="0"/>
        <w:spacing w:line="360" w:lineRule="auto"/>
        <w:ind w:firstLine="480" w:firstLineChars="200"/>
        <w:rPr>
          <w:color w:val="auto"/>
          <w:sz w:val="24"/>
        </w:rPr>
      </w:pPr>
      <w:r>
        <w:rPr>
          <w:color w:val="auto"/>
          <w:sz w:val="24"/>
        </w:rPr>
        <w:t>对开挖的截面和弃土堆场采用无纺布或草栅对进行临时覆盖。</w:t>
      </w:r>
    </w:p>
    <w:p>
      <w:pPr>
        <w:adjustRightInd w:val="0"/>
        <w:snapToGrid w:val="0"/>
        <w:spacing w:line="360" w:lineRule="auto"/>
        <w:ind w:firstLine="480" w:firstLineChars="200"/>
        <w:rPr>
          <w:color w:val="auto"/>
          <w:sz w:val="24"/>
        </w:rPr>
      </w:pPr>
      <w:r>
        <w:rPr>
          <w:color w:val="auto"/>
          <w:sz w:val="24"/>
        </w:rPr>
        <w:t>（2）植物防护措施</w:t>
      </w:r>
    </w:p>
    <w:p>
      <w:pPr>
        <w:adjustRightInd w:val="0"/>
        <w:snapToGrid w:val="0"/>
        <w:spacing w:line="360" w:lineRule="auto"/>
        <w:ind w:firstLine="480" w:firstLineChars="200"/>
        <w:rPr>
          <w:color w:val="auto"/>
          <w:sz w:val="24"/>
        </w:rPr>
      </w:pPr>
      <w:r>
        <w:rPr>
          <w:color w:val="auto"/>
          <w:sz w:val="24"/>
        </w:rPr>
        <w:t>植物防护措施主要包括植树、种草、或乔灌草结合，或种植农作物等形式。</w:t>
      </w:r>
    </w:p>
    <w:p>
      <w:pPr>
        <w:adjustRightInd w:val="0"/>
        <w:snapToGrid w:val="0"/>
        <w:spacing w:line="360" w:lineRule="auto"/>
        <w:ind w:firstLine="480" w:firstLineChars="200"/>
        <w:rPr>
          <w:color w:val="auto"/>
          <w:sz w:val="24"/>
        </w:rPr>
      </w:pPr>
      <w:r>
        <w:rPr>
          <w:color w:val="auto"/>
          <w:sz w:val="24"/>
        </w:rPr>
        <w:t>工程施工区的植被在开挖时，保留表层土壤，便于用于植被恢复和绿化工程；施工完成后，在房屋周围、道路两侧、空地等尽早进行绿化，搞好植被的恢复、再造。</w:t>
      </w:r>
    </w:p>
    <w:p>
      <w:pPr>
        <w:adjustRightInd w:val="0"/>
        <w:snapToGrid w:val="0"/>
        <w:spacing w:line="360" w:lineRule="auto"/>
        <w:ind w:firstLine="480" w:firstLineChars="200"/>
        <w:rPr>
          <w:color w:val="auto"/>
          <w:sz w:val="24"/>
        </w:rPr>
      </w:pPr>
      <w:r>
        <w:rPr>
          <w:color w:val="auto"/>
          <w:sz w:val="24"/>
        </w:rPr>
        <w:t>（3）工程管理措施</w:t>
      </w:r>
    </w:p>
    <w:p>
      <w:pPr>
        <w:spacing w:line="360" w:lineRule="auto"/>
        <w:ind w:firstLine="480" w:firstLineChars="200"/>
        <w:rPr>
          <w:color w:val="auto"/>
          <w:sz w:val="24"/>
        </w:rPr>
      </w:pPr>
      <w:r>
        <w:rPr>
          <w:color w:val="auto"/>
          <w:sz w:val="24"/>
        </w:rPr>
        <w:t>①土石方开挖应尽量避开雨季施工，并在雨季到来之前做好边坡防护及排水设施，并及时将弃渣运至临时弃渣区，禁止就地弃渣。</w:t>
      </w:r>
    </w:p>
    <w:p>
      <w:pPr>
        <w:spacing w:line="360" w:lineRule="auto"/>
        <w:ind w:firstLine="480" w:firstLineChars="200"/>
        <w:rPr>
          <w:color w:val="auto"/>
          <w:sz w:val="24"/>
        </w:rPr>
      </w:pPr>
      <w:r>
        <w:rPr>
          <w:color w:val="auto"/>
          <w:sz w:val="24"/>
        </w:rPr>
        <w:t>②控制土石方工程的施工周期，尽可能减少疏松土壤的裸露时间。</w:t>
      </w:r>
    </w:p>
    <w:p>
      <w:pPr>
        <w:spacing w:line="360" w:lineRule="auto"/>
        <w:ind w:firstLine="480" w:firstLineChars="200"/>
        <w:rPr>
          <w:color w:val="auto"/>
          <w:sz w:val="24"/>
        </w:rPr>
      </w:pPr>
      <w:r>
        <w:rPr>
          <w:color w:val="auto"/>
          <w:sz w:val="24"/>
        </w:rPr>
        <w:t>③开挖边坡的砌筑工程，在达到设计稳定边坡后及时护砌，同时做好坡面、坡脚排水系统，做到施工一段，砌筑加固防护一段。</w:t>
      </w:r>
    </w:p>
    <w:p>
      <w:pPr>
        <w:spacing w:line="360" w:lineRule="auto"/>
        <w:ind w:firstLine="480" w:firstLineChars="200"/>
        <w:rPr>
          <w:color w:val="auto"/>
          <w:sz w:val="24"/>
        </w:rPr>
      </w:pPr>
      <w:r>
        <w:rPr>
          <w:color w:val="auto"/>
          <w:sz w:val="24"/>
        </w:rPr>
        <w:t>④排水沟和沉砂凼应定期清理，保障施工区域排水畅通，清理出的泥沙运往弃渣场进行掩埋堆弃。</w:t>
      </w:r>
    </w:p>
    <w:p>
      <w:pPr>
        <w:spacing w:line="360" w:lineRule="auto"/>
        <w:ind w:firstLine="560"/>
        <w:rPr>
          <w:color w:val="auto"/>
          <w:sz w:val="24"/>
        </w:rPr>
      </w:pPr>
      <w:r>
        <w:rPr>
          <w:color w:val="auto"/>
          <w:sz w:val="24"/>
        </w:rPr>
        <w:t>评价建议，建设单位尽快编制水土保持方案，并按水土保持方案落实水保措施。在采取各项水土保持措施后，可以使项目的水土流失得到有效的控制。</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445" w:name="_Toc8020"/>
      <w:bookmarkStart w:id="446" w:name="_Toc883"/>
      <w:bookmarkStart w:id="447" w:name="_Toc249"/>
      <w:r>
        <w:rPr>
          <w:rFonts w:ascii="Times New Roman" w:hAnsi="Times New Roman" w:cs="Times New Roman" w:eastAsiaTheme="majorEastAsia"/>
          <w:bCs/>
          <w:color w:val="auto"/>
          <w:kern w:val="2"/>
          <w:szCs w:val="32"/>
          <w:lang w:val="en-US" w:eastAsia="zh-CN"/>
        </w:rPr>
        <w:t>运营期环境影响预测与评价</w:t>
      </w:r>
      <w:bookmarkEnd w:id="445"/>
      <w:bookmarkEnd w:id="446"/>
      <w:bookmarkEnd w:id="447"/>
    </w:p>
    <w:p>
      <w:pPr>
        <w:pStyle w:val="180"/>
        <w:rPr>
          <w:rFonts w:hint="default" w:ascii="Times New Roman" w:hAnsi="Times New Roman" w:cs="Times New Roman" w:eastAsiaTheme="majorEastAsia"/>
          <w:b/>
          <w:bCs w:val="0"/>
          <w:color w:val="auto"/>
          <w:sz w:val="24"/>
          <w:szCs w:val="24"/>
        </w:rPr>
      </w:pPr>
      <w:bookmarkStart w:id="448" w:name="_Toc26968"/>
      <w:r>
        <w:rPr>
          <w:rFonts w:hint="default" w:ascii="Times New Roman" w:hAnsi="Times New Roman" w:cs="Times New Roman" w:eastAsiaTheme="majorEastAsia"/>
          <w:b/>
          <w:bCs w:val="0"/>
          <w:color w:val="auto"/>
          <w:sz w:val="24"/>
          <w:szCs w:val="24"/>
        </w:rPr>
        <w:t>地下水环境影响分析</w:t>
      </w:r>
      <w:bookmarkEnd w:id="448"/>
    </w:p>
    <w:p>
      <w:pPr>
        <w:spacing w:line="360" w:lineRule="auto"/>
        <w:ind w:firstLine="482" w:firstLineChars="200"/>
        <w:rPr>
          <w:rFonts w:cs="宋体"/>
          <w:color w:val="auto"/>
          <w:sz w:val="24"/>
        </w:rPr>
      </w:pPr>
      <w:r>
        <w:rPr>
          <w:rFonts w:hint="eastAsia" w:ascii="宋体" w:hAnsi="宋体"/>
          <w:b/>
          <w:color w:val="auto"/>
          <w:sz w:val="24"/>
        </w:rPr>
        <w:t>1、区域水文地质</w:t>
      </w:r>
    </w:p>
    <w:p>
      <w:pPr>
        <w:spacing w:line="360" w:lineRule="auto"/>
        <w:ind w:firstLine="480" w:firstLineChars="200"/>
        <w:rPr>
          <w:rFonts w:cs="宋体"/>
          <w:color w:val="auto"/>
          <w:sz w:val="24"/>
        </w:rPr>
      </w:pPr>
      <w:r>
        <w:rPr>
          <w:rFonts w:hint="eastAsia" w:cs="宋体"/>
          <w:color w:val="auto"/>
          <w:sz w:val="24"/>
        </w:rPr>
        <w:t>（1）地质概况</w:t>
      </w:r>
    </w:p>
    <w:p>
      <w:pPr>
        <w:spacing w:line="360" w:lineRule="auto"/>
        <w:ind w:firstLine="480" w:firstLineChars="200"/>
        <w:rPr>
          <w:rFonts w:cs="宋体"/>
          <w:color w:val="auto"/>
          <w:sz w:val="24"/>
        </w:rPr>
      </w:pPr>
      <w:r>
        <w:rPr>
          <w:rFonts w:hint="eastAsia" w:ascii="Times New Roman" w:hAnsi="Times New Roman" w:cs="Times New Roman"/>
          <w:color w:val="auto"/>
          <w:sz w:val="24"/>
          <w:szCs w:val="24"/>
          <w:lang w:eastAsia="zh-CN"/>
        </w:rPr>
        <w:t>境内地质主要构造为恩阳向斜褶皱带，该向斜褶皱带受北西向构造影响较明显，轴部和两翼出露白垩系剑门关组地层。镇内主要出露地层为中生界白垩系下统剑门关组和汉阳铺组，其母岩为陆相沉积物。恩阳河两岸的河漫滩和阶地零星分布新生界第四系更新统（老冲积）和全新统（新冲积）地层</w:t>
      </w:r>
      <w:r>
        <w:rPr>
          <w:rFonts w:hAnsi="宋体"/>
          <w:color w:val="auto"/>
          <w:sz w:val="24"/>
        </w:rPr>
        <w:t>。</w:t>
      </w:r>
    </w:p>
    <w:p>
      <w:pPr>
        <w:spacing w:line="360" w:lineRule="auto"/>
        <w:ind w:firstLine="480" w:firstLineChars="200"/>
        <w:rPr>
          <w:rFonts w:cs="宋体"/>
          <w:color w:val="auto"/>
          <w:sz w:val="24"/>
        </w:rPr>
      </w:pPr>
      <w:r>
        <w:rPr>
          <w:rFonts w:hint="eastAsia" w:cs="宋体"/>
          <w:color w:val="auto"/>
          <w:sz w:val="24"/>
        </w:rPr>
        <w:t>（2）地下水补、径、排条件</w:t>
      </w:r>
    </w:p>
    <w:p>
      <w:pPr>
        <w:spacing w:line="360" w:lineRule="auto"/>
        <w:ind w:firstLine="480" w:firstLineChars="200"/>
        <w:rPr>
          <w:rFonts w:hAnsi="宋体"/>
          <w:color w:val="auto"/>
          <w:sz w:val="24"/>
        </w:rPr>
      </w:pPr>
      <w:r>
        <w:rPr>
          <w:rFonts w:hint="eastAsia" w:ascii="Times New Roman" w:hAnsi="Times New Roman" w:cs="Times New Roman"/>
          <w:color w:val="auto"/>
          <w:sz w:val="24"/>
          <w:szCs w:val="24"/>
          <w:lang w:eastAsia="zh-CN"/>
        </w:rPr>
        <w:t>恩阳区地下水类型有风化带空隙裂隙水、基岩裂隙水、第四系冲洪积孔隙水和残坡积孔隙水，以风化带孔隙裂隙水为主。主要接受地表水和大气降水补给</w:t>
      </w:r>
      <w:r>
        <w:rPr>
          <w:rFonts w:hint="eastAsia" w:hAnsi="宋体"/>
          <w:color w:val="auto"/>
          <w:sz w:val="24"/>
        </w:rPr>
        <w:t>。</w:t>
      </w:r>
    </w:p>
    <w:p>
      <w:pPr>
        <w:spacing w:line="360" w:lineRule="auto"/>
        <w:ind w:firstLine="482" w:firstLineChars="200"/>
        <w:rPr>
          <w:color w:val="auto"/>
          <w:sz w:val="24"/>
        </w:rPr>
      </w:pPr>
      <w:r>
        <w:rPr>
          <w:rFonts w:hint="eastAsia"/>
          <w:b/>
          <w:color w:val="auto"/>
          <w:sz w:val="24"/>
        </w:rPr>
        <w:t>2</w:t>
      </w:r>
      <w:r>
        <w:rPr>
          <w:b/>
          <w:color w:val="auto"/>
          <w:sz w:val="24"/>
        </w:rPr>
        <w:t>、地下水评价范围</w:t>
      </w:r>
    </w:p>
    <w:p>
      <w:pPr>
        <w:tabs>
          <w:tab w:val="left" w:pos="1220"/>
        </w:tabs>
        <w:spacing w:line="360" w:lineRule="auto"/>
        <w:ind w:firstLine="504" w:firstLineChars="210"/>
        <w:rPr>
          <w:bCs/>
          <w:color w:val="auto"/>
          <w:kern w:val="0"/>
          <w:sz w:val="24"/>
        </w:rPr>
      </w:pPr>
      <w:r>
        <w:rPr>
          <w:bCs/>
          <w:color w:val="auto"/>
          <w:kern w:val="0"/>
          <w:sz w:val="24"/>
        </w:rPr>
        <w:t>根据《环境影响评价技术导则--地下水环境》(HJ610-2016)中相关要求，地下水评价范围确定方法有公式法、查表法和自定义法三种，本评价采用公式法及自定义法确定项目地下水评价范围。</w:t>
      </w:r>
    </w:p>
    <w:p>
      <w:pPr>
        <w:tabs>
          <w:tab w:val="left" w:pos="1220"/>
        </w:tabs>
        <w:spacing w:line="360" w:lineRule="auto"/>
        <w:ind w:firstLine="504" w:firstLineChars="210"/>
        <w:rPr>
          <w:bCs/>
          <w:color w:val="auto"/>
          <w:kern w:val="0"/>
          <w:sz w:val="24"/>
        </w:rPr>
      </w:pPr>
      <w:r>
        <w:rPr>
          <w:bCs/>
          <w:color w:val="auto"/>
          <w:kern w:val="0"/>
          <w:sz w:val="24"/>
        </w:rPr>
        <w:t>当建设项目所在地水文地质条件相对简单，且所掌握的资料能够满足公式计算法的要求时，应采用公式计算法确定：</w:t>
      </w:r>
    </w:p>
    <w:p>
      <w:pPr>
        <w:tabs>
          <w:tab w:val="left" w:pos="1220"/>
        </w:tabs>
        <w:spacing w:line="360" w:lineRule="auto"/>
        <w:ind w:firstLine="504" w:firstLineChars="210"/>
        <w:rPr>
          <w:rFonts w:hint="default" w:eastAsia="宋体"/>
          <w:bCs/>
          <w:color w:val="auto"/>
          <w:kern w:val="0"/>
          <w:sz w:val="24"/>
          <w:lang w:val="en-US" w:eastAsia="zh-CN"/>
        </w:rPr>
      </w:pPr>
      <w:r>
        <w:rPr>
          <w:rFonts w:hint="eastAsia"/>
          <w:color w:val="auto"/>
          <w:sz w:val="24"/>
          <w:szCs w:val="24"/>
        </w:rPr>
        <w:t>根据</w:t>
      </w:r>
      <w:r>
        <w:rPr>
          <w:rFonts w:hint="eastAsia"/>
          <w:color w:val="auto"/>
          <w:sz w:val="24"/>
          <w:szCs w:val="24"/>
          <w:lang w:val="en-US" w:eastAsia="zh-CN"/>
        </w:rPr>
        <w:t>地勘及</w:t>
      </w:r>
      <w:r>
        <w:rPr>
          <w:rFonts w:hint="eastAsia"/>
          <w:color w:val="auto"/>
          <w:sz w:val="24"/>
          <w:szCs w:val="24"/>
        </w:rPr>
        <w:t>相关水文地质资料</w:t>
      </w:r>
      <w:r>
        <w:rPr>
          <w:rFonts w:hint="eastAsia"/>
          <w:bCs/>
          <w:color w:val="auto"/>
          <w:kern w:val="0"/>
          <w:sz w:val="24"/>
          <w:lang w:eastAsia="zh-CN"/>
        </w:rPr>
        <w:t>，</w:t>
      </w:r>
      <w:r>
        <w:rPr>
          <w:rFonts w:hint="eastAsia"/>
          <w:color w:val="auto"/>
          <w:sz w:val="24"/>
          <w:szCs w:val="24"/>
        </w:rPr>
        <w:t>水力坡度</w:t>
      </w:r>
      <w:r>
        <w:rPr>
          <w:rFonts w:hint="eastAsia"/>
          <w:color w:val="auto"/>
          <w:sz w:val="24"/>
          <w:szCs w:val="24"/>
          <w:lang w:val="en-US" w:eastAsia="zh-CN"/>
        </w:rPr>
        <w:t>取</w:t>
      </w:r>
      <w:r>
        <w:rPr>
          <w:rFonts w:hint="eastAsia"/>
          <w:color w:val="auto"/>
          <w:sz w:val="24"/>
          <w:szCs w:val="24"/>
        </w:rPr>
        <w:t>2</w:t>
      </w:r>
      <w:r>
        <w:rPr>
          <w:rFonts w:hint="eastAsia"/>
          <w:color w:val="auto"/>
          <w:sz w:val="24"/>
          <w:szCs w:val="24"/>
          <w:lang w:val="en-US" w:eastAsia="zh-CN"/>
        </w:rPr>
        <w:t>%</w:t>
      </w:r>
      <w:r>
        <w:rPr>
          <w:rFonts w:hint="eastAsia"/>
          <w:color w:val="auto"/>
          <w:sz w:val="24"/>
          <w:szCs w:val="24"/>
        </w:rPr>
        <w:t>左右，渗透系数</w:t>
      </w:r>
      <w:r>
        <w:rPr>
          <w:rFonts w:hint="eastAsia"/>
          <w:color w:val="auto"/>
          <w:sz w:val="24"/>
          <w:szCs w:val="24"/>
          <w:lang w:val="en-US" w:eastAsia="zh-CN"/>
        </w:rPr>
        <w:t>取0.25</w:t>
      </w:r>
      <w:r>
        <w:rPr>
          <w:rFonts w:hint="eastAsia"/>
          <w:color w:val="auto"/>
          <w:sz w:val="24"/>
          <w:szCs w:val="24"/>
        </w:rPr>
        <w:t>m/d</w:t>
      </w:r>
      <w:r>
        <w:rPr>
          <w:rFonts w:hint="eastAsia"/>
          <w:color w:val="auto"/>
          <w:sz w:val="24"/>
          <w:szCs w:val="24"/>
          <w:lang w:eastAsia="zh-CN"/>
        </w:rPr>
        <w:t>，</w:t>
      </w:r>
      <w:r>
        <w:rPr>
          <w:bCs/>
          <w:color w:val="auto"/>
          <w:kern w:val="0"/>
          <w:sz w:val="24"/>
        </w:rPr>
        <w:t>有效孔隙度取</w:t>
      </w:r>
      <w:r>
        <w:rPr>
          <w:rFonts w:hint="eastAsia"/>
          <w:bCs/>
          <w:color w:val="auto"/>
          <w:kern w:val="0"/>
          <w:sz w:val="24"/>
          <w:lang w:val="en-US" w:eastAsia="zh-CN"/>
        </w:rPr>
        <w:t>0.565。</w:t>
      </w:r>
    </w:p>
    <w:p>
      <w:pPr>
        <w:tabs>
          <w:tab w:val="left" w:pos="1220"/>
        </w:tabs>
        <w:spacing w:line="360" w:lineRule="auto"/>
        <w:ind w:firstLine="504" w:firstLineChars="210"/>
        <w:rPr>
          <w:bCs/>
          <w:color w:val="auto"/>
          <w:kern w:val="0"/>
          <w:sz w:val="24"/>
        </w:rPr>
      </w:pPr>
      <w:r>
        <w:rPr>
          <w:bCs/>
          <w:color w:val="auto"/>
          <w:kern w:val="0"/>
          <w:sz w:val="24"/>
        </w:rPr>
        <w:t>L=α×K×I×T/ne</w:t>
      </w:r>
    </w:p>
    <w:p>
      <w:pPr>
        <w:tabs>
          <w:tab w:val="left" w:pos="1220"/>
        </w:tabs>
        <w:spacing w:line="360" w:lineRule="auto"/>
        <w:ind w:firstLine="504" w:firstLineChars="210"/>
        <w:rPr>
          <w:bCs/>
          <w:color w:val="auto"/>
          <w:kern w:val="0"/>
          <w:sz w:val="24"/>
        </w:rPr>
      </w:pPr>
      <w:r>
        <w:rPr>
          <w:bCs/>
          <w:color w:val="auto"/>
          <w:kern w:val="0"/>
          <w:sz w:val="24"/>
        </w:rPr>
        <w:t>式中：L—下游迁移距离</w:t>
      </w:r>
    </w:p>
    <w:p>
      <w:pPr>
        <w:tabs>
          <w:tab w:val="left" w:pos="1220"/>
        </w:tabs>
        <w:spacing w:line="360" w:lineRule="auto"/>
        <w:ind w:firstLine="504" w:firstLineChars="210"/>
        <w:rPr>
          <w:bCs/>
          <w:color w:val="auto"/>
          <w:kern w:val="0"/>
          <w:sz w:val="24"/>
        </w:rPr>
      </w:pPr>
      <w:r>
        <w:rPr>
          <w:bCs/>
          <w:color w:val="auto"/>
          <w:kern w:val="0"/>
          <w:sz w:val="24"/>
        </w:rPr>
        <w:t>α—变化系数，α≥1，一般取2；</w:t>
      </w:r>
    </w:p>
    <w:p>
      <w:pPr>
        <w:tabs>
          <w:tab w:val="left" w:pos="1220"/>
        </w:tabs>
        <w:spacing w:line="360" w:lineRule="auto"/>
        <w:ind w:firstLine="504" w:firstLineChars="210"/>
        <w:rPr>
          <w:bCs/>
          <w:color w:val="auto"/>
          <w:kern w:val="0"/>
          <w:sz w:val="24"/>
        </w:rPr>
      </w:pPr>
      <w:r>
        <w:rPr>
          <w:bCs/>
          <w:color w:val="auto"/>
          <w:kern w:val="0"/>
          <w:sz w:val="24"/>
        </w:rPr>
        <w:t>K—渗透系数，m/d（取</w:t>
      </w:r>
      <w:r>
        <w:rPr>
          <w:rFonts w:hint="eastAsia"/>
          <w:bCs/>
          <w:color w:val="auto"/>
          <w:kern w:val="0"/>
          <w:sz w:val="24"/>
          <w:lang w:val="en-US" w:eastAsia="zh-CN"/>
        </w:rPr>
        <w:t>0.25</w:t>
      </w:r>
      <w:r>
        <w:rPr>
          <w:bCs/>
          <w:color w:val="auto"/>
          <w:kern w:val="0"/>
          <w:sz w:val="24"/>
        </w:rPr>
        <w:t>m/d）；</w:t>
      </w:r>
    </w:p>
    <w:p>
      <w:pPr>
        <w:tabs>
          <w:tab w:val="left" w:pos="1220"/>
        </w:tabs>
        <w:spacing w:line="360" w:lineRule="auto"/>
        <w:ind w:firstLine="504" w:firstLineChars="210"/>
        <w:rPr>
          <w:bCs/>
          <w:color w:val="auto"/>
          <w:kern w:val="0"/>
          <w:sz w:val="24"/>
        </w:rPr>
      </w:pPr>
      <w:r>
        <w:rPr>
          <w:bCs/>
          <w:color w:val="auto"/>
          <w:kern w:val="0"/>
          <w:sz w:val="24"/>
        </w:rPr>
        <w:t>I—水力坡度，无量纲（</w:t>
      </w:r>
      <w:r>
        <w:rPr>
          <w:rFonts w:hint="eastAsia"/>
          <w:bCs/>
          <w:color w:val="auto"/>
          <w:kern w:val="0"/>
          <w:sz w:val="24"/>
          <w:lang w:val="en-US" w:eastAsia="zh-CN"/>
        </w:rPr>
        <w:t>0.02</w:t>
      </w:r>
      <w:r>
        <w:rPr>
          <w:bCs/>
          <w:color w:val="auto"/>
          <w:kern w:val="0"/>
          <w:sz w:val="24"/>
        </w:rPr>
        <w:t>）；</w:t>
      </w:r>
    </w:p>
    <w:p>
      <w:pPr>
        <w:tabs>
          <w:tab w:val="left" w:pos="1220"/>
        </w:tabs>
        <w:spacing w:line="360" w:lineRule="auto"/>
        <w:ind w:firstLine="504" w:firstLineChars="210"/>
        <w:rPr>
          <w:bCs/>
          <w:color w:val="auto"/>
          <w:kern w:val="0"/>
          <w:sz w:val="24"/>
        </w:rPr>
      </w:pPr>
      <w:r>
        <w:rPr>
          <w:bCs/>
          <w:color w:val="auto"/>
          <w:kern w:val="0"/>
          <w:sz w:val="24"/>
        </w:rPr>
        <w:t>T—质点迁移天数，取值不小于5000d；</w:t>
      </w:r>
    </w:p>
    <w:p>
      <w:pPr>
        <w:tabs>
          <w:tab w:val="left" w:pos="1220"/>
        </w:tabs>
        <w:spacing w:line="360" w:lineRule="auto"/>
        <w:ind w:firstLine="504" w:firstLineChars="210"/>
        <w:rPr>
          <w:bCs/>
          <w:color w:val="auto"/>
          <w:kern w:val="0"/>
          <w:sz w:val="24"/>
        </w:rPr>
      </w:pPr>
      <w:r>
        <w:rPr>
          <w:bCs/>
          <w:color w:val="auto"/>
          <w:kern w:val="0"/>
          <w:sz w:val="24"/>
        </w:rPr>
        <w:t>ne—有效孔隙度，取0.</w:t>
      </w:r>
      <w:r>
        <w:rPr>
          <w:rFonts w:hint="eastAsia"/>
          <w:bCs/>
          <w:color w:val="auto"/>
          <w:kern w:val="0"/>
          <w:sz w:val="24"/>
          <w:lang w:val="en-US" w:eastAsia="zh-CN"/>
        </w:rPr>
        <w:t>565</w:t>
      </w:r>
      <w:r>
        <w:rPr>
          <w:bCs/>
          <w:color w:val="auto"/>
          <w:kern w:val="0"/>
          <w:sz w:val="24"/>
        </w:rPr>
        <w:t>，无量纲。</w:t>
      </w:r>
    </w:p>
    <w:p>
      <w:pPr>
        <w:tabs>
          <w:tab w:val="left" w:pos="1220"/>
        </w:tabs>
        <w:spacing w:line="360" w:lineRule="auto"/>
        <w:ind w:firstLine="504" w:firstLineChars="210"/>
        <w:rPr>
          <w:bCs/>
          <w:color w:val="auto"/>
          <w:kern w:val="0"/>
          <w:sz w:val="24"/>
        </w:rPr>
      </w:pPr>
      <w:r>
        <w:rPr>
          <w:bCs/>
          <w:color w:val="auto"/>
          <w:kern w:val="0"/>
          <w:sz w:val="24"/>
        </w:rPr>
        <w:t>经计算L为</w:t>
      </w:r>
      <w:r>
        <w:rPr>
          <w:rFonts w:hint="eastAsia"/>
          <w:bCs/>
          <w:color w:val="auto"/>
          <w:kern w:val="0"/>
          <w:sz w:val="24"/>
          <w:lang w:val="en-US" w:eastAsia="zh-CN"/>
        </w:rPr>
        <w:t>88.5</w:t>
      </w:r>
      <w:r>
        <w:rPr>
          <w:bCs/>
          <w:color w:val="auto"/>
          <w:kern w:val="0"/>
          <w:sz w:val="24"/>
        </w:rPr>
        <w:t>m。</w:t>
      </w:r>
    </w:p>
    <w:p>
      <w:pPr>
        <w:spacing w:line="360" w:lineRule="auto"/>
        <w:ind w:firstLine="480" w:firstLineChars="200"/>
        <w:rPr>
          <w:color w:val="auto"/>
          <w:sz w:val="24"/>
          <w:szCs w:val="24"/>
        </w:rPr>
      </w:pPr>
      <w:r>
        <w:rPr>
          <w:bCs/>
          <w:color w:val="auto"/>
          <w:kern w:val="0"/>
          <w:sz w:val="24"/>
        </w:rPr>
        <w:t>本次地下水环境影响调查评价范围：</w:t>
      </w:r>
      <w:r>
        <w:rPr>
          <w:rFonts w:hint="eastAsia" w:ascii="Times New Roman" w:hAnsi="Times New Roman" w:cs="Times New Roman"/>
          <w:color w:val="auto"/>
          <w:sz w:val="24"/>
        </w:rPr>
        <w:t>项目场地下游</w:t>
      </w:r>
      <w:r>
        <w:rPr>
          <w:rFonts w:hint="eastAsia" w:cs="Times New Roman"/>
          <w:color w:val="auto"/>
          <w:sz w:val="24"/>
          <w:lang w:val="en-US" w:eastAsia="zh-CN"/>
        </w:rPr>
        <w:t>88.5</w:t>
      </w:r>
      <w:r>
        <w:rPr>
          <w:rFonts w:hint="eastAsia" w:ascii="Times New Roman" w:hAnsi="Times New Roman" w:cs="Times New Roman"/>
          <w:color w:val="auto"/>
          <w:sz w:val="24"/>
        </w:rPr>
        <w:t>m和两侧</w:t>
      </w:r>
      <w:r>
        <w:rPr>
          <w:rFonts w:hint="eastAsia" w:cs="Times New Roman"/>
          <w:color w:val="auto"/>
          <w:sz w:val="24"/>
          <w:lang w:val="en-US" w:eastAsia="zh-CN"/>
        </w:rPr>
        <w:t>44.25m</w:t>
      </w:r>
      <w:r>
        <w:rPr>
          <w:rFonts w:hint="eastAsia" w:ascii="Times New Roman" w:hAnsi="Times New Roman" w:cs="Times New Roman"/>
          <w:color w:val="auto"/>
          <w:sz w:val="24"/>
        </w:rPr>
        <w:t>区域。</w:t>
      </w:r>
      <w:r>
        <w:rPr>
          <w:bCs/>
          <w:color w:val="auto"/>
          <w:kern w:val="0"/>
          <w:sz w:val="24"/>
        </w:rPr>
        <w:t>据测算，本项目地下水环境影响评价范围共计0.</w:t>
      </w:r>
      <w:r>
        <w:rPr>
          <w:rFonts w:hint="eastAsia"/>
          <w:bCs/>
          <w:color w:val="auto"/>
          <w:kern w:val="0"/>
          <w:sz w:val="24"/>
          <w:lang w:val="en-US" w:eastAsia="zh-CN"/>
        </w:rPr>
        <w:t>431</w:t>
      </w:r>
      <w:r>
        <w:rPr>
          <w:bCs/>
          <w:color w:val="auto"/>
          <w:kern w:val="0"/>
          <w:sz w:val="24"/>
        </w:rPr>
        <w:t>km</w:t>
      </w:r>
      <w:r>
        <w:rPr>
          <w:bCs/>
          <w:color w:val="auto"/>
          <w:kern w:val="0"/>
          <w:sz w:val="24"/>
          <w:vertAlign w:val="superscript"/>
        </w:rPr>
        <w:t>2</w:t>
      </w:r>
      <w:r>
        <w:rPr>
          <w:bCs/>
          <w:color w:val="auto"/>
          <w:kern w:val="0"/>
          <w:sz w:val="24"/>
        </w:rPr>
        <w:t>。</w:t>
      </w:r>
    </w:p>
    <w:p>
      <w:pPr>
        <w:tabs>
          <w:tab w:val="left" w:pos="1220"/>
        </w:tabs>
        <w:spacing w:line="360" w:lineRule="auto"/>
        <w:ind w:firstLine="504" w:firstLineChars="210"/>
        <w:rPr>
          <w:rFonts w:hint="eastAsia" w:eastAsia="宋体"/>
          <w:bCs/>
          <w:color w:val="auto"/>
          <w:kern w:val="0"/>
          <w:sz w:val="24"/>
          <w:lang w:eastAsia="zh-CN"/>
        </w:rPr>
      </w:pPr>
      <w:r>
        <w:rPr>
          <w:bCs/>
          <w:color w:val="auto"/>
          <w:kern w:val="0"/>
          <w:sz w:val="24"/>
        </w:rPr>
        <w:t>据测算，本项目地下水环境影响评价范围共计0.</w:t>
      </w:r>
      <w:r>
        <w:rPr>
          <w:rFonts w:hint="eastAsia"/>
          <w:bCs/>
          <w:color w:val="auto"/>
          <w:kern w:val="0"/>
          <w:sz w:val="24"/>
          <w:lang w:val="en-US" w:eastAsia="zh-CN"/>
        </w:rPr>
        <w:t>431</w:t>
      </w:r>
      <w:r>
        <w:rPr>
          <w:bCs/>
          <w:color w:val="auto"/>
          <w:kern w:val="0"/>
          <w:sz w:val="24"/>
        </w:rPr>
        <w:t>km</w:t>
      </w:r>
      <w:r>
        <w:rPr>
          <w:bCs/>
          <w:color w:val="auto"/>
          <w:kern w:val="0"/>
          <w:sz w:val="24"/>
          <w:vertAlign w:val="superscript"/>
        </w:rPr>
        <w:t>2</w:t>
      </w:r>
      <w:r>
        <w:rPr>
          <w:bCs/>
          <w:color w:val="auto"/>
          <w:kern w:val="0"/>
          <w:sz w:val="24"/>
        </w:rPr>
        <w:t>。</w:t>
      </w:r>
    </w:p>
    <w:p>
      <w:pPr>
        <w:ind w:firstLine="420" w:firstLineChars="200"/>
        <w:jc w:val="center"/>
        <w:rPr>
          <w:rFonts w:hint="eastAsia"/>
          <w:b/>
          <w:color w:val="auto"/>
          <w:lang w:val="en-US" w:eastAsia="zh-CN"/>
        </w:rPr>
      </w:pPr>
      <w:r>
        <w:rPr>
          <w:color w:val="auto"/>
        </w:rPr>
        <w:drawing>
          <wp:inline distT="0" distB="0" distL="114300" distR="114300">
            <wp:extent cx="5172075" cy="41529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9"/>
                    <a:stretch>
                      <a:fillRect/>
                    </a:stretch>
                  </pic:blipFill>
                  <pic:spPr>
                    <a:xfrm>
                      <a:off x="0" y="0"/>
                      <a:ext cx="5172075" cy="4152900"/>
                    </a:xfrm>
                    <a:prstGeom prst="rect">
                      <a:avLst/>
                    </a:prstGeom>
                    <a:noFill/>
                    <a:ln>
                      <a:noFill/>
                    </a:ln>
                  </pic:spPr>
                </pic:pic>
              </a:graphicData>
            </a:graphic>
          </wp:inline>
        </w:drawing>
      </w:r>
    </w:p>
    <w:p>
      <w:pPr>
        <w:ind w:firstLine="422" w:firstLineChars="200"/>
        <w:jc w:val="center"/>
        <w:rPr>
          <w:rFonts w:hint="default"/>
          <w:b/>
          <w:color w:val="auto"/>
          <w:lang w:val="en-US" w:eastAsia="zh-CN"/>
        </w:rPr>
      </w:pPr>
      <w:r>
        <w:rPr>
          <w:rFonts w:hint="eastAsia"/>
          <w:b/>
          <w:color w:val="auto"/>
          <w:lang w:val="en-US" w:eastAsia="zh-CN"/>
        </w:rPr>
        <w:t>图5.2-1项目地下水评价范围图</w:t>
      </w:r>
    </w:p>
    <w:p>
      <w:pPr>
        <w:pStyle w:val="35"/>
        <w:rPr>
          <w:bCs/>
          <w:color w:val="auto"/>
          <w:szCs w:val="24"/>
        </w:rPr>
      </w:pPr>
      <w:r>
        <w:rPr>
          <w:rFonts w:hint="eastAsia"/>
          <w:b/>
          <w:color w:val="auto"/>
        </w:rPr>
        <w:t>3</w:t>
      </w:r>
      <w:r>
        <w:rPr>
          <w:b/>
          <w:color w:val="auto"/>
        </w:rPr>
        <w:t>、</w:t>
      </w:r>
      <w:r>
        <w:rPr>
          <w:rFonts w:hint="eastAsia"/>
          <w:b/>
          <w:color w:val="auto"/>
        </w:rPr>
        <w:t>泄漏量及源强核算</w:t>
      </w:r>
    </w:p>
    <w:p>
      <w:pPr>
        <w:tabs>
          <w:tab w:val="left" w:pos="1220"/>
        </w:tabs>
        <w:spacing w:line="360" w:lineRule="auto"/>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根据本项目运行状况分析，项目正常运行状况下对地下水环境影响极小。</w:t>
      </w:r>
    </w:p>
    <w:p>
      <w:pPr>
        <w:tabs>
          <w:tab w:val="left" w:pos="1220"/>
        </w:tabs>
        <w:spacing w:line="360" w:lineRule="auto"/>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选取最不利区域，考虑</w:t>
      </w:r>
      <w:r>
        <w:rPr>
          <w:rFonts w:hint="eastAsia" w:cs="Times New Roman"/>
          <w:bCs/>
          <w:color w:val="auto"/>
          <w:kern w:val="0"/>
          <w:sz w:val="24"/>
          <w:lang w:val="en-US" w:eastAsia="zh-CN"/>
        </w:rPr>
        <w:t>粪尿收集</w:t>
      </w:r>
      <w:r>
        <w:rPr>
          <w:rFonts w:hint="eastAsia" w:ascii="Times New Roman" w:hAnsi="Times New Roman" w:cs="Times New Roman"/>
          <w:bCs/>
          <w:color w:val="auto"/>
          <w:kern w:val="0"/>
          <w:sz w:val="24"/>
          <w:lang w:val="en-US" w:eastAsia="zh-CN"/>
        </w:rPr>
        <w:t>池</w:t>
      </w:r>
      <w:r>
        <w:rPr>
          <w:rFonts w:ascii="Times New Roman" w:hAnsi="Times New Roman" w:cs="Times New Roman"/>
          <w:bCs/>
          <w:color w:val="auto"/>
          <w:kern w:val="0"/>
          <w:sz w:val="24"/>
        </w:rPr>
        <w:t>（</w:t>
      </w:r>
      <w:r>
        <w:rPr>
          <w:rFonts w:hint="eastAsia" w:cs="Times New Roman"/>
          <w:bCs/>
          <w:color w:val="auto"/>
          <w:kern w:val="0"/>
          <w:sz w:val="24"/>
          <w:lang w:val="en-US" w:eastAsia="zh-CN"/>
        </w:rPr>
        <w:t>5</w:t>
      </w:r>
      <w:r>
        <w:rPr>
          <w:rFonts w:hint="eastAsia" w:ascii="Times New Roman" w:hAnsi="Times New Roman" w:cs="Times New Roman"/>
          <w:bCs/>
          <w:color w:val="auto"/>
          <w:kern w:val="0"/>
          <w:sz w:val="24"/>
          <w:lang w:val="en-US" w:eastAsia="zh-CN"/>
        </w:rPr>
        <w:t>0</w:t>
      </w:r>
      <w:r>
        <w:rPr>
          <w:rFonts w:ascii="Times New Roman" w:hAnsi="Times New Roman" w:cs="Times New Roman"/>
          <w:bCs/>
          <w:color w:val="auto"/>
          <w:kern w:val="0"/>
          <w:sz w:val="24"/>
        </w:rPr>
        <w:t>m</w:t>
      </w:r>
      <w:r>
        <w:rPr>
          <w:rFonts w:ascii="Times New Roman" w:hAnsi="Times New Roman" w:cs="Times New Roman"/>
          <w:bCs/>
          <w:color w:val="auto"/>
          <w:kern w:val="0"/>
          <w:sz w:val="24"/>
          <w:vertAlign w:val="superscript"/>
        </w:rPr>
        <w:t>3</w:t>
      </w:r>
      <w:r>
        <w:rPr>
          <w:rFonts w:ascii="Times New Roman" w:hAnsi="Times New Roman" w:cs="Times New Roman"/>
          <w:bCs/>
          <w:color w:val="auto"/>
          <w:kern w:val="0"/>
          <w:sz w:val="24"/>
        </w:rPr>
        <w:t>）池体老化，发生渗漏，监测井中污染离子浓度异常升高，厂区暂停运行。考虑最大不利影响即不考虑包气带的吸附作用，泄漏废水下渗全部进入地下水系统。预测因子的选取主要依据废水水质和国家地方要求控制的污染物来确定。</w:t>
      </w:r>
    </w:p>
    <w:p>
      <w:pPr>
        <w:tabs>
          <w:tab w:val="left" w:pos="1220"/>
        </w:tabs>
        <w:spacing w:line="360" w:lineRule="auto"/>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破损面积按池体浸湿总面积的</w:t>
      </w:r>
      <w:r>
        <w:rPr>
          <w:rFonts w:hint="eastAsia" w:cs="Times New Roman"/>
          <w:bCs/>
          <w:color w:val="auto"/>
          <w:kern w:val="0"/>
          <w:sz w:val="24"/>
          <w:lang w:val="en-US" w:eastAsia="zh-CN"/>
        </w:rPr>
        <w:t>1</w:t>
      </w:r>
      <w:r>
        <w:rPr>
          <w:rFonts w:ascii="Times New Roman" w:hAnsi="Times New Roman" w:cs="Times New Roman"/>
          <w:bCs/>
          <w:color w:val="auto"/>
          <w:kern w:val="0"/>
          <w:sz w:val="24"/>
        </w:rPr>
        <w:t>%计，池体浸湿容积按80%计。池内污（废）水发生泄漏事故，按达西公式计算源强，公式如下：</w:t>
      </w:r>
    </w:p>
    <w:p>
      <w:pPr>
        <w:tabs>
          <w:tab w:val="left" w:pos="1220"/>
        </w:tabs>
        <w:spacing w:line="360" w:lineRule="auto"/>
        <w:ind w:firstLine="504" w:firstLineChars="210"/>
        <w:rPr>
          <w:rFonts w:ascii="Times New Roman" w:hAnsi="Times New Roman" w:cs="Times New Roman"/>
          <w:bCs/>
          <w:color w:val="auto"/>
          <w:kern w:val="0"/>
          <w:sz w:val="24"/>
        </w:rPr>
      </w:pPr>
      <m:oMathPara>
        <m:oMath>
          <m:r>
            <m:rPr>
              <m:sty m:val="p"/>
            </m:rPr>
            <w:rPr>
              <w:rFonts w:ascii="Cambria Math" w:hAnsi="Cambria Math" w:cs="Times New Roman"/>
              <w:color w:val="auto"/>
              <w:kern w:val="0"/>
              <w:sz w:val="24"/>
            </w:rPr>
            <m:t>Q=K×i×A</m:t>
          </m:r>
        </m:oMath>
      </m:oMathPara>
    </w:p>
    <w:p>
      <w:pPr>
        <w:tabs>
          <w:tab w:val="left" w:pos="1220"/>
        </w:tabs>
        <w:spacing w:line="360" w:lineRule="auto"/>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式中：Q－渗入到地下水的污水量(m</w:t>
      </w:r>
      <w:r>
        <w:rPr>
          <w:rFonts w:ascii="Times New Roman" w:hAnsi="Times New Roman" w:cs="Times New Roman"/>
          <w:bCs/>
          <w:color w:val="auto"/>
          <w:kern w:val="0"/>
          <w:sz w:val="24"/>
          <w:vertAlign w:val="superscript"/>
        </w:rPr>
        <w:t>3</w:t>
      </w:r>
      <w:r>
        <w:rPr>
          <w:rFonts w:ascii="Times New Roman" w:hAnsi="Times New Roman" w:cs="Times New Roman"/>
          <w:bCs/>
          <w:color w:val="auto"/>
          <w:kern w:val="0"/>
          <w:sz w:val="24"/>
        </w:rPr>
        <w:t>/d)；</w:t>
      </w:r>
    </w:p>
    <w:p>
      <w:pPr>
        <w:tabs>
          <w:tab w:val="left" w:pos="1220"/>
        </w:tabs>
        <w:spacing w:line="360" w:lineRule="auto"/>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K－渗透系数(m/d)，K=</w:t>
      </w:r>
      <w:r>
        <w:rPr>
          <w:rFonts w:hint="eastAsia" w:cs="Times New Roman"/>
          <w:bCs/>
          <w:color w:val="auto"/>
          <w:kern w:val="0"/>
          <w:sz w:val="24"/>
          <w:lang w:val="en-US" w:eastAsia="zh-CN"/>
        </w:rPr>
        <w:t>0.25</w:t>
      </w:r>
      <w:r>
        <w:rPr>
          <w:rFonts w:ascii="Times New Roman" w:hAnsi="Times New Roman" w:cs="Times New Roman"/>
          <w:bCs/>
          <w:color w:val="auto"/>
          <w:kern w:val="0"/>
          <w:sz w:val="24"/>
        </w:rPr>
        <w:t>m/d；</w:t>
      </w:r>
    </w:p>
    <w:p>
      <w:pPr>
        <w:tabs>
          <w:tab w:val="left" w:pos="1220"/>
        </w:tabs>
        <w:spacing w:line="360" w:lineRule="auto"/>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i ——水力坡度（0.0</w:t>
      </w:r>
      <w:r>
        <w:rPr>
          <w:rFonts w:hint="eastAsia" w:cs="Times New Roman"/>
          <w:bCs/>
          <w:color w:val="auto"/>
          <w:kern w:val="0"/>
          <w:sz w:val="24"/>
          <w:lang w:val="en-US" w:eastAsia="zh-CN"/>
        </w:rPr>
        <w:t>2</w:t>
      </w:r>
      <w:r>
        <w:rPr>
          <w:rFonts w:ascii="Times New Roman" w:hAnsi="Times New Roman" w:cs="Times New Roman"/>
          <w:bCs/>
          <w:color w:val="auto"/>
          <w:kern w:val="0"/>
          <w:sz w:val="24"/>
        </w:rPr>
        <w:t>，无量纲）；</w:t>
      </w:r>
    </w:p>
    <w:p>
      <w:pPr>
        <w:tabs>
          <w:tab w:val="left" w:pos="1220"/>
        </w:tabs>
        <w:spacing w:line="360" w:lineRule="auto"/>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A－污水池的泄漏面积(m</w:t>
      </w:r>
      <w:r>
        <w:rPr>
          <w:rFonts w:ascii="Times New Roman" w:hAnsi="Times New Roman" w:cs="Times New Roman"/>
          <w:bCs/>
          <w:color w:val="auto"/>
          <w:kern w:val="0"/>
          <w:sz w:val="24"/>
          <w:vertAlign w:val="superscript"/>
        </w:rPr>
        <w:t>2</w:t>
      </w:r>
      <w:r>
        <w:rPr>
          <w:rFonts w:ascii="Times New Roman" w:hAnsi="Times New Roman" w:cs="Times New Roman"/>
          <w:bCs/>
          <w:color w:val="auto"/>
          <w:kern w:val="0"/>
          <w:sz w:val="24"/>
        </w:rPr>
        <w:t>)。</w:t>
      </w:r>
    </w:p>
    <w:p>
      <w:pPr>
        <w:tabs>
          <w:tab w:val="left" w:pos="1220"/>
        </w:tabs>
        <w:spacing w:line="360" w:lineRule="auto"/>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计算参数及计算结果见下表。</w:t>
      </w:r>
    </w:p>
    <w:p>
      <w:pPr>
        <w:jc w:val="center"/>
        <w:rPr>
          <w:rFonts w:eastAsia="黑体"/>
          <w:color w:val="auto"/>
        </w:rPr>
      </w:pPr>
      <w:r>
        <w:rPr>
          <w:rFonts w:hint="eastAsia" w:eastAsia="黑体"/>
          <w:color w:val="auto"/>
          <w:lang w:val="en-US" w:eastAsia="zh-CN"/>
        </w:rPr>
        <w:t xml:space="preserve">表5.2-1  </w:t>
      </w:r>
      <w:r>
        <w:rPr>
          <w:rFonts w:eastAsia="黑体"/>
          <w:color w:val="auto"/>
        </w:rPr>
        <w:t>本项目非正常工况</w:t>
      </w:r>
      <w:r>
        <w:rPr>
          <w:rFonts w:hint="eastAsia" w:eastAsia="黑体"/>
          <w:color w:val="auto"/>
          <w:lang w:val="en-US" w:eastAsia="zh-CN"/>
        </w:rPr>
        <w:t>调节池</w:t>
      </w:r>
      <w:r>
        <w:rPr>
          <w:rFonts w:eastAsia="黑体"/>
          <w:color w:val="auto"/>
        </w:rPr>
        <w:t>下渗量计算结果</w:t>
      </w:r>
    </w:p>
    <w:tbl>
      <w:tblPr>
        <w:tblStyle w:val="8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973"/>
        <w:gridCol w:w="912"/>
        <w:gridCol w:w="1130"/>
        <w:gridCol w:w="903"/>
        <w:gridCol w:w="908"/>
        <w:gridCol w:w="1417"/>
        <w:gridCol w:w="874"/>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Merge w:val="restart"/>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cs="Times New Roman"/>
                <w:b/>
                <w:snapToGrid w:val="0"/>
                <w:color w:val="auto"/>
                <w:kern w:val="0"/>
              </w:rPr>
              <w:t>污染源</w:t>
            </w:r>
          </w:p>
        </w:tc>
        <w:tc>
          <w:tcPr>
            <w:tcW w:w="973" w:type="dxa"/>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cs="Times New Roman"/>
                <w:b/>
                <w:snapToGrid w:val="0"/>
                <w:color w:val="auto"/>
                <w:kern w:val="0"/>
              </w:rPr>
              <w:t>废水量</w:t>
            </w:r>
          </w:p>
        </w:tc>
        <w:tc>
          <w:tcPr>
            <w:tcW w:w="2042" w:type="dxa"/>
            <w:gridSpan w:val="2"/>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snapToGrid w:val="0"/>
                <w:color w:val="auto"/>
                <w:kern w:val="0"/>
                <w:lang w:val="en-US" w:eastAsia="zh-CN"/>
              </w:rPr>
            </w:pPr>
            <w:r>
              <w:rPr>
                <w:rFonts w:hint="default" w:ascii="Times New Roman" w:hAnsi="Times New Roman" w:cs="Times New Roman"/>
                <w:b/>
                <w:snapToGrid w:val="0"/>
                <w:color w:val="auto"/>
                <w:kern w:val="0"/>
              </w:rPr>
              <w:t>耗氧量（COD</w:t>
            </w:r>
            <w:r>
              <w:rPr>
                <w:rFonts w:hint="default" w:ascii="Times New Roman" w:hAnsi="Times New Roman" w:cs="Times New Roman"/>
                <w:b/>
                <w:snapToGrid w:val="0"/>
                <w:color w:val="auto"/>
                <w:kern w:val="0"/>
                <w:vertAlign w:val="subscript"/>
              </w:rPr>
              <w:t>Mn</w:t>
            </w:r>
            <w:r>
              <w:rPr>
                <w:rFonts w:hint="default" w:ascii="Times New Roman" w:hAnsi="Times New Roman" w:cs="Times New Roman"/>
                <w:b/>
                <w:snapToGrid w:val="0"/>
                <w:color w:val="auto"/>
                <w:kern w:val="0"/>
              </w:rPr>
              <w:t>法）</w:t>
            </w:r>
          </w:p>
        </w:tc>
        <w:tc>
          <w:tcPr>
            <w:tcW w:w="1811" w:type="dxa"/>
            <w:gridSpan w:val="2"/>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cs="Times New Roman"/>
                <w:b/>
                <w:snapToGrid w:val="0"/>
                <w:color w:val="auto"/>
                <w:kern w:val="0"/>
              </w:rPr>
              <w:t>氨氮</w:t>
            </w:r>
          </w:p>
        </w:tc>
        <w:tc>
          <w:tcPr>
            <w:tcW w:w="1417" w:type="dxa"/>
            <w:vMerge w:val="restart"/>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cs="Times New Roman"/>
                <w:b/>
                <w:snapToGrid w:val="0"/>
                <w:color w:val="auto"/>
                <w:kern w:val="0"/>
              </w:rPr>
              <w:t>池体尺寸</w:t>
            </w:r>
          </w:p>
        </w:tc>
        <w:tc>
          <w:tcPr>
            <w:tcW w:w="874" w:type="dxa"/>
            <w:vMerge w:val="restart"/>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eastAsia="宋体" w:cs="Times New Roman"/>
                <w:b/>
                <w:snapToGrid w:val="0"/>
                <w:color w:val="auto"/>
                <w:kern w:val="0"/>
              </w:rPr>
              <w:t>浸湿总面积(m</w:t>
            </w:r>
            <w:r>
              <w:rPr>
                <w:rFonts w:hint="default" w:ascii="Times New Roman" w:hAnsi="Times New Roman" w:eastAsia="宋体" w:cs="Times New Roman"/>
                <w:b/>
                <w:snapToGrid w:val="0"/>
                <w:color w:val="auto"/>
                <w:kern w:val="0"/>
                <w:vertAlign w:val="superscript"/>
              </w:rPr>
              <w:t>2</w:t>
            </w:r>
            <w:r>
              <w:rPr>
                <w:rFonts w:hint="default" w:ascii="Times New Roman" w:hAnsi="Times New Roman" w:eastAsia="宋体" w:cs="Times New Roman"/>
                <w:b/>
                <w:snapToGrid w:val="0"/>
                <w:color w:val="auto"/>
                <w:kern w:val="0"/>
              </w:rPr>
              <w:t>)</w:t>
            </w:r>
          </w:p>
        </w:tc>
        <w:tc>
          <w:tcPr>
            <w:tcW w:w="933" w:type="dxa"/>
            <w:vMerge w:val="restart"/>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eastAsia="宋体" w:cs="Times New Roman"/>
                <w:b/>
                <w:snapToGrid w:val="0"/>
                <w:color w:val="auto"/>
                <w:kern w:val="0"/>
              </w:rPr>
              <w:t>破损面积(m</w:t>
            </w:r>
            <w:r>
              <w:rPr>
                <w:rFonts w:hint="default" w:ascii="Times New Roman" w:hAnsi="Times New Roman" w:eastAsia="宋体" w:cs="Times New Roman"/>
                <w:b/>
                <w:snapToGrid w:val="0"/>
                <w:color w:val="auto"/>
                <w:kern w:val="0"/>
                <w:vertAlign w:val="superscript"/>
              </w:rPr>
              <w:t>2</w:t>
            </w:r>
            <w:r>
              <w:rPr>
                <w:rFonts w:hint="default" w:ascii="Times New Roman" w:hAnsi="Times New Roman" w:eastAsia="宋体" w:cs="Times New Roman"/>
                <w:b/>
                <w:snapToGrid w:val="0"/>
                <w:color w:val="auto"/>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Merge w:val="continue"/>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p>
        </w:tc>
        <w:tc>
          <w:tcPr>
            <w:tcW w:w="973" w:type="dxa"/>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cs="Times New Roman"/>
                <w:b/>
                <w:snapToGrid w:val="0"/>
                <w:color w:val="auto"/>
                <w:kern w:val="0"/>
              </w:rPr>
              <w:t>m</w:t>
            </w:r>
            <w:r>
              <w:rPr>
                <w:rFonts w:hint="default" w:ascii="Times New Roman" w:hAnsi="Times New Roman" w:cs="Times New Roman"/>
                <w:b/>
                <w:snapToGrid w:val="0"/>
                <w:color w:val="auto"/>
                <w:kern w:val="0"/>
                <w:vertAlign w:val="superscript"/>
              </w:rPr>
              <w:t>3</w:t>
            </w:r>
            <w:r>
              <w:rPr>
                <w:rFonts w:hint="default" w:ascii="Times New Roman" w:hAnsi="Times New Roman" w:cs="Times New Roman"/>
                <w:b/>
                <w:snapToGrid w:val="0"/>
                <w:color w:val="auto"/>
                <w:kern w:val="0"/>
              </w:rPr>
              <w:t>/d</w:t>
            </w:r>
          </w:p>
        </w:tc>
        <w:tc>
          <w:tcPr>
            <w:tcW w:w="912" w:type="dxa"/>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cs="Times New Roman"/>
                <w:b/>
                <w:snapToGrid w:val="0"/>
                <w:color w:val="auto"/>
                <w:kern w:val="0"/>
              </w:rPr>
              <w:t>mg/L</w:t>
            </w:r>
          </w:p>
        </w:tc>
        <w:tc>
          <w:tcPr>
            <w:tcW w:w="1130" w:type="dxa"/>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eastAsia" w:ascii="Times New Roman" w:cs="Times New Roman"/>
                <w:b/>
                <w:snapToGrid w:val="0"/>
                <w:color w:val="auto"/>
                <w:kern w:val="0"/>
                <w:lang w:val="en-US" w:eastAsia="zh-CN"/>
              </w:rPr>
              <w:t>m</w:t>
            </w:r>
            <w:r>
              <w:rPr>
                <w:rFonts w:hint="default" w:ascii="Times New Roman" w:hAnsi="Times New Roman" w:cs="Times New Roman"/>
                <w:b/>
                <w:snapToGrid w:val="0"/>
                <w:color w:val="auto"/>
                <w:kern w:val="0"/>
              </w:rPr>
              <w:t>g/d</w:t>
            </w:r>
          </w:p>
        </w:tc>
        <w:tc>
          <w:tcPr>
            <w:tcW w:w="903" w:type="dxa"/>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default" w:ascii="Times New Roman" w:hAnsi="Times New Roman" w:cs="Times New Roman"/>
                <w:b/>
                <w:snapToGrid w:val="0"/>
                <w:color w:val="auto"/>
                <w:kern w:val="0"/>
              </w:rPr>
              <w:t>mg/L</w:t>
            </w:r>
          </w:p>
        </w:tc>
        <w:tc>
          <w:tcPr>
            <w:tcW w:w="908" w:type="dxa"/>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rPr>
            </w:pPr>
            <w:r>
              <w:rPr>
                <w:rFonts w:hint="eastAsia" w:ascii="Times New Roman" w:cs="Times New Roman"/>
                <w:b/>
                <w:snapToGrid w:val="0"/>
                <w:color w:val="auto"/>
                <w:kern w:val="0"/>
                <w:lang w:val="en-US" w:eastAsia="zh-CN"/>
              </w:rPr>
              <w:t>m</w:t>
            </w:r>
            <w:r>
              <w:rPr>
                <w:rFonts w:hint="default" w:ascii="Times New Roman" w:hAnsi="Times New Roman" w:cs="Times New Roman"/>
                <w:b/>
                <w:snapToGrid w:val="0"/>
                <w:color w:val="auto"/>
                <w:kern w:val="0"/>
              </w:rPr>
              <w:t>g/d</w:t>
            </w:r>
          </w:p>
        </w:tc>
        <w:tc>
          <w:tcPr>
            <w:tcW w:w="1417" w:type="dxa"/>
            <w:vMerge w:val="continue"/>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p>
        </w:tc>
        <w:tc>
          <w:tcPr>
            <w:tcW w:w="874" w:type="dxa"/>
            <w:vMerge w:val="continue"/>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p>
        </w:tc>
        <w:tc>
          <w:tcPr>
            <w:tcW w:w="933" w:type="dxa"/>
            <w:vMerge w:val="continue"/>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snapToGrid w:val="0"/>
                <w:color w:val="auto"/>
                <w:kern w:val="0"/>
                <w:lang w:eastAsia="zh-CN"/>
              </w:rPr>
            </w:pPr>
            <w:r>
              <w:rPr>
                <w:rFonts w:hint="eastAsia" w:ascii="Times New Roman" w:cs="Times New Roman"/>
                <w:snapToGrid w:val="0"/>
                <w:color w:val="auto"/>
                <w:kern w:val="0"/>
                <w:lang w:val="en-US" w:eastAsia="zh-CN"/>
              </w:rPr>
              <w:t>粪尿收集</w:t>
            </w:r>
            <w:r>
              <w:rPr>
                <w:rFonts w:hint="eastAsia" w:ascii="Times New Roman" w:hAnsi="Times New Roman" w:cs="Times New Roman"/>
                <w:snapToGrid w:val="0"/>
                <w:color w:val="auto"/>
                <w:kern w:val="0"/>
                <w:lang w:val="en-US" w:eastAsia="zh-CN"/>
              </w:rPr>
              <w:t>池</w:t>
            </w:r>
          </w:p>
        </w:tc>
        <w:tc>
          <w:tcPr>
            <w:tcW w:w="97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eastAsia" w:cs="Times New Roman"/>
                <w:color w:val="auto"/>
                <w:lang w:val="en-US" w:eastAsia="zh-CN"/>
              </w:rPr>
              <w:t>002</w:t>
            </w:r>
          </w:p>
        </w:tc>
        <w:tc>
          <w:tcPr>
            <w:tcW w:w="91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221.8</w:t>
            </w:r>
          </w:p>
        </w:tc>
        <w:tc>
          <w:tcPr>
            <w:tcW w:w="113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cs="Times New Roman"/>
                <w:i w:val="0"/>
                <w:color w:val="auto"/>
                <w:kern w:val="0"/>
                <w:sz w:val="21"/>
                <w:szCs w:val="21"/>
                <w:u w:val="none"/>
                <w:lang w:val="en-US" w:eastAsia="zh-CN" w:bidi="ar"/>
              </w:rPr>
              <w:t>443.6</w:t>
            </w:r>
          </w:p>
        </w:tc>
        <w:tc>
          <w:tcPr>
            <w:tcW w:w="90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22.1</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cs="Times New Roman"/>
                <w:i w:val="0"/>
                <w:color w:val="auto"/>
                <w:kern w:val="0"/>
                <w:sz w:val="21"/>
                <w:szCs w:val="21"/>
                <w:u w:val="none"/>
                <w:lang w:val="en-US" w:eastAsia="zh-CN" w:bidi="ar"/>
              </w:rPr>
              <w:t>44.2</w:t>
            </w:r>
          </w:p>
        </w:tc>
        <w:tc>
          <w:tcPr>
            <w:tcW w:w="14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5</w:t>
            </w:r>
            <w:r>
              <w:rPr>
                <w:rFonts w:hint="default" w:ascii="Times New Roman" w:hAnsi="Times New Roman" w:cs="Times New Roman"/>
                <w:color w:val="auto"/>
              </w:rPr>
              <w:t>m×4m×</w:t>
            </w:r>
            <w:r>
              <w:rPr>
                <w:rFonts w:hint="eastAsia" w:cs="Times New Roman"/>
                <w:color w:val="auto"/>
                <w:lang w:val="en-US" w:eastAsia="zh-CN"/>
              </w:rPr>
              <w:t>2.5</w:t>
            </w:r>
            <w:r>
              <w:rPr>
                <w:rFonts w:hint="default" w:ascii="Times New Roman" w:hAnsi="Times New Roman" w:cs="Times New Roman"/>
                <w:color w:val="auto"/>
              </w:rPr>
              <w:t>m</w:t>
            </w:r>
          </w:p>
        </w:tc>
        <w:tc>
          <w:tcPr>
            <w:tcW w:w="87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40</w:t>
            </w:r>
          </w:p>
        </w:tc>
        <w:tc>
          <w:tcPr>
            <w:tcW w:w="9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8" w:type="dxa"/>
            <w:vAlign w:val="center"/>
          </w:tcPr>
          <w:p>
            <w:pPr>
              <w:pStyle w:val="4"/>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标准值</w:t>
            </w:r>
          </w:p>
        </w:tc>
        <w:tc>
          <w:tcPr>
            <w:tcW w:w="973"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91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3</w:t>
            </w:r>
          </w:p>
        </w:tc>
        <w:tc>
          <w:tcPr>
            <w:tcW w:w="113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90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0.5</w:t>
            </w:r>
          </w:p>
        </w:tc>
        <w:tc>
          <w:tcPr>
            <w:tcW w:w="90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14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87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9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bl>
    <w:p>
      <w:pPr>
        <w:pStyle w:val="4"/>
        <w:adjustRightInd w:val="0"/>
        <w:snapToGrid w:val="0"/>
        <w:spacing w:after="0"/>
        <w:rPr>
          <w:rFonts w:ascii="Times New Roman" w:hAnsi="Times New Roman" w:cs="Times New Roman"/>
          <w:snapToGrid w:val="0"/>
          <w:color w:val="auto"/>
          <w:kern w:val="0"/>
        </w:rPr>
      </w:pPr>
      <w:r>
        <w:rPr>
          <w:rFonts w:ascii="Times New Roman" w:hAnsi="Times New Roman" w:cs="Times New Roman"/>
          <w:bCs/>
          <w:color w:val="auto"/>
          <w:kern w:val="0"/>
        </w:rPr>
        <w:t>备注：</w:t>
      </w:r>
      <w:r>
        <w:rPr>
          <w:rFonts w:ascii="Times New Roman" w:hAnsi="Times New Roman" w:cs="Times New Roman"/>
          <w:snapToGrid w:val="0"/>
          <w:color w:val="auto"/>
          <w:kern w:val="0"/>
        </w:rPr>
        <w:t>耗氧量（COD</w:t>
      </w:r>
      <w:r>
        <w:rPr>
          <w:rFonts w:ascii="Times New Roman" w:hAnsi="Times New Roman" w:cs="Times New Roman"/>
          <w:snapToGrid w:val="0"/>
          <w:color w:val="auto"/>
          <w:kern w:val="0"/>
          <w:vertAlign w:val="subscript"/>
        </w:rPr>
        <w:t>Mn</w:t>
      </w:r>
      <w:r>
        <w:rPr>
          <w:rFonts w:ascii="Times New Roman" w:hAnsi="Times New Roman" w:cs="Times New Roman"/>
          <w:snapToGrid w:val="0"/>
          <w:color w:val="auto"/>
          <w:kern w:val="0"/>
        </w:rPr>
        <w:t>法）</w:t>
      </w:r>
      <w:r>
        <w:rPr>
          <w:rFonts w:ascii="Times New Roman" w:hAnsi="Times New Roman" w:eastAsia="宋体" w:cs="Times New Roman"/>
          <w:color w:val="auto"/>
          <w:kern w:val="0"/>
        </w:rPr>
        <w:t>取值为</w:t>
      </w:r>
      <w:r>
        <w:rPr>
          <w:rFonts w:ascii="Times New Roman" w:hAnsi="Times New Roman" w:cs="Times New Roman"/>
          <w:bCs/>
          <w:color w:val="auto"/>
          <w:kern w:val="0"/>
        </w:rPr>
        <w:t>COD</w:t>
      </w:r>
      <w:r>
        <w:rPr>
          <w:rFonts w:ascii="Times New Roman" w:hAnsi="Times New Roman" w:cs="Times New Roman"/>
          <w:bCs/>
          <w:color w:val="auto"/>
          <w:kern w:val="0"/>
          <w:vertAlign w:val="subscript"/>
        </w:rPr>
        <w:t>Cr</w:t>
      </w:r>
      <w:r>
        <w:rPr>
          <w:rFonts w:ascii="Times New Roman" w:hAnsi="Times New Roman" w:eastAsia="宋体" w:cs="Times New Roman"/>
          <w:color w:val="auto"/>
          <w:kern w:val="0"/>
        </w:rPr>
        <w:t>的四分之一。废水浓度</w:t>
      </w:r>
      <w:r>
        <w:rPr>
          <w:rFonts w:hint="eastAsia" w:ascii="Times New Roman" w:hAnsi="Times New Roman" w:eastAsia="宋体" w:cs="Times New Roman"/>
          <w:color w:val="auto"/>
          <w:kern w:val="0"/>
        </w:rPr>
        <w:t>参考《畜禽养殖业污染治理工程技术规范》（HJ497-2009）中对畜禽养殖废水中污染物质量浓度的标准值</w:t>
      </w:r>
      <w:r>
        <w:rPr>
          <w:rFonts w:hint="eastAsia" w:ascii="Times New Roman" w:cs="Times New Roman"/>
          <w:color w:val="auto"/>
          <w:kern w:val="0"/>
          <w:lang w:val="en-US" w:eastAsia="zh-CN"/>
        </w:rPr>
        <w:t>CODcr887mg/L、氨氮22.1mg/L</w:t>
      </w:r>
      <w:r>
        <w:rPr>
          <w:rFonts w:ascii="Times New Roman" w:hAnsi="Times New Roman" w:eastAsia="宋体" w:cs="Times New Roman"/>
          <w:color w:val="auto"/>
          <w:kern w:val="0"/>
        </w:rPr>
        <w:t>。</w:t>
      </w:r>
    </w:p>
    <w:p>
      <w:pPr>
        <w:pStyle w:val="35"/>
        <w:rPr>
          <w:color w:val="auto"/>
        </w:rPr>
      </w:pPr>
      <w:r>
        <w:rPr>
          <w:rFonts w:hint="eastAsia"/>
          <w:b/>
          <w:color w:val="auto"/>
        </w:rPr>
        <w:t>4</w:t>
      </w:r>
      <w:r>
        <w:rPr>
          <w:b/>
          <w:color w:val="auto"/>
        </w:rPr>
        <w:t>、</w:t>
      </w:r>
      <w:r>
        <w:rPr>
          <w:rFonts w:hint="eastAsia"/>
          <w:b/>
          <w:color w:val="auto"/>
        </w:rPr>
        <w:t>预测原则</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项目地下水环境影响预测原则为：</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（1）考虑到地下水环境污染的隐蔽性和难恢复性，遵循环境安全性原则，为评价各方案的环境安全和环境保护措施的合理性提供依据。</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（2）预测的范围、时段、内容和方法根据评价工作等级、工程特征与环境特征，结合当地环境功能和环保要求确定，以拟建项目对地下水水质的影响及由此而产生的主要环境水文地质问题为重点。</w:t>
      </w:r>
    </w:p>
    <w:p>
      <w:pPr>
        <w:pStyle w:val="35"/>
        <w:rPr>
          <w:color w:val="auto"/>
        </w:rPr>
      </w:pPr>
      <w:r>
        <w:rPr>
          <w:rFonts w:hint="eastAsia"/>
          <w:b/>
          <w:color w:val="auto"/>
          <w:lang w:val="en-US" w:eastAsia="zh-CN"/>
        </w:rPr>
        <w:t>5</w:t>
      </w:r>
      <w:r>
        <w:rPr>
          <w:b/>
          <w:color w:val="auto"/>
        </w:rPr>
        <w:t>、</w:t>
      </w:r>
      <w:r>
        <w:rPr>
          <w:rFonts w:hint="eastAsia"/>
          <w:b/>
          <w:color w:val="auto"/>
        </w:rPr>
        <w:t>预测范围及时段</w:t>
      </w:r>
    </w:p>
    <w:p>
      <w:pPr>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（1）预测范围</w:t>
      </w:r>
    </w:p>
    <w:p>
      <w:pPr>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rPr>
        <w:t>本项目预测评价范围为：项目场地下游</w:t>
      </w:r>
      <w:r>
        <w:rPr>
          <w:rFonts w:hint="eastAsia" w:cs="Times New Roman"/>
          <w:color w:val="auto"/>
          <w:sz w:val="24"/>
          <w:lang w:val="en-US" w:eastAsia="zh-CN"/>
        </w:rPr>
        <w:t>88.5</w:t>
      </w:r>
      <w:r>
        <w:rPr>
          <w:rFonts w:hint="eastAsia" w:ascii="Times New Roman" w:hAnsi="Times New Roman" w:cs="Times New Roman"/>
          <w:color w:val="auto"/>
          <w:sz w:val="24"/>
        </w:rPr>
        <w:t>m和两侧</w:t>
      </w:r>
      <w:r>
        <w:rPr>
          <w:rFonts w:hint="eastAsia" w:cs="Times New Roman"/>
          <w:color w:val="auto"/>
          <w:sz w:val="24"/>
          <w:lang w:val="en-US" w:eastAsia="zh-CN"/>
        </w:rPr>
        <w:t>44.25m</w:t>
      </w:r>
      <w:r>
        <w:rPr>
          <w:rFonts w:hint="eastAsia" w:ascii="Times New Roman" w:hAnsi="Times New Roman" w:cs="Times New Roman"/>
          <w:color w:val="auto"/>
          <w:sz w:val="24"/>
        </w:rPr>
        <w:t>区域</w:t>
      </w:r>
      <w:r>
        <w:rPr>
          <w:rFonts w:hint="eastAsia" w:cs="Times New Roman"/>
          <w:color w:val="auto"/>
          <w:sz w:val="24"/>
          <w:lang w:eastAsia="zh-CN"/>
        </w:rPr>
        <w:t>，</w:t>
      </w:r>
      <w:r>
        <w:rPr>
          <w:bCs/>
          <w:color w:val="auto"/>
          <w:kern w:val="0"/>
          <w:sz w:val="24"/>
        </w:rPr>
        <w:t>地下水环境影响评价范围共计0.</w:t>
      </w:r>
      <w:r>
        <w:rPr>
          <w:rFonts w:hint="eastAsia"/>
          <w:bCs/>
          <w:color w:val="auto"/>
          <w:kern w:val="0"/>
          <w:sz w:val="24"/>
          <w:lang w:val="en-US" w:eastAsia="zh-CN"/>
        </w:rPr>
        <w:t>431</w:t>
      </w:r>
      <w:r>
        <w:rPr>
          <w:bCs/>
          <w:color w:val="auto"/>
          <w:kern w:val="0"/>
          <w:sz w:val="24"/>
        </w:rPr>
        <w:t>km</w:t>
      </w:r>
      <w:r>
        <w:rPr>
          <w:bCs/>
          <w:color w:val="auto"/>
          <w:kern w:val="0"/>
          <w:sz w:val="24"/>
          <w:vertAlign w:val="superscript"/>
        </w:rPr>
        <w:t>2</w:t>
      </w:r>
    </w:p>
    <w:p>
      <w:pPr>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（2）预测时段</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非正常状况下预测100d、1000d。</w:t>
      </w:r>
    </w:p>
    <w:p>
      <w:pPr>
        <w:pStyle w:val="35"/>
        <w:rPr>
          <w:rFonts w:hint="eastAsia"/>
          <w:b/>
          <w:color w:val="auto"/>
        </w:rPr>
      </w:pPr>
      <w:r>
        <w:rPr>
          <w:rFonts w:hint="eastAsia"/>
          <w:b/>
          <w:color w:val="auto"/>
          <w:lang w:val="en-US" w:eastAsia="zh-CN"/>
        </w:rPr>
        <w:t>6</w:t>
      </w:r>
      <w:r>
        <w:rPr>
          <w:b/>
          <w:color w:val="auto"/>
        </w:rPr>
        <w:t>、</w:t>
      </w:r>
      <w:r>
        <w:rPr>
          <w:rFonts w:hint="eastAsia"/>
          <w:b/>
          <w:color w:val="auto"/>
        </w:rPr>
        <w:t>非正常工况预测分析</w:t>
      </w:r>
    </w:p>
    <w:p>
      <w:pPr>
        <w:spacing w:line="360" w:lineRule="auto"/>
        <w:ind w:firstLine="482" w:firstLineChars="200"/>
        <w:outlineLvl w:val="4"/>
        <w:rPr>
          <w:rFonts w:ascii="Times New Roman" w:hAnsi="Times New Roman" w:cs="Times New Roman"/>
          <w:b/>
          <w:color w:val="auto"/>
          <w:sz w:val="24"/>
        </w:rPr>
      </w:pPr>
      <w:r>
        <w:rPr>
          <w:rFonts w:hint="eastAsia" w:ascii="Times New Roman" w:hAnsi="Times New Roman" w:cs="Times New Roman"/>
          <w:b/>
          <w:color w:val="auto"/>
          <w:sz w:val="24"/>
          <w:lang w:eastAsia="zh-CN"/>
        </w:rPr>
        <w:t>（</w:t>
      </w:r>
      <w:r>
        <w:rPr>
          <w:rFonts w:hint="eastAsia" w:ascii="Times New Roman" w:hAnsi="Times New Roman" w:cs="Times New Roman"/>
          <w:b/>
          <w:color w:val="auto"/>
          <w:sz w:val="24"/>
          <w:lang w:val="en-US" w:eastAsia="zh-CN"/>
        </w:rPr>
        <w:t>1</w:t>
      </w:r>
      <w:r>
        <w:rPr>
          <w:rFonts w:hint="eastAsia" w:ascii="Times New Roman" w:hAnsi="Times New Roman" w:cs="Times New Roman"/>
          <w:b/>
          <w:color w:val="auto"/>
          <w:sz w:val="24"/>
          <w:lang w:eastAsia="zh-CN"/>
        </w:rPr>
        <w:t>）</w:t>
      </w:r>
      <w:r>
        <w:rPr>
          <w:rFonts w:ascii="Times New Roman" w:hAnsi="Times New Roman" w:cs="Times New Roman"/>
          <w:b/>
          <w:color w:val="auto"/>
          <w:sz w:val="24"/>
        </w:rPr>
        <w:t>地下预测模型</w:t>
      </w:r>
    </w:p>
    <w:p>
      <w:pPr>
        <w:spacing w:line="360" w:lineRule="auto"/>
        <w:ind w:firstLine="360" w:firstLineChars="150"/>
        <w:rPr>
          <w:rFonts w:ascii="Times New Roman" w:hAnsi="Times New Roman" w:cs="Times New Roman"/>
          <w:color w:val="auto"/>
          <w:sz w:val="24"/>
        </w:rPr>
      </w:pPr>
      <w:r>
        <w:rPr>
          <w:rFonts w:ascii="Times New Roman" w:hAnsi="Times New Roman" w:cs="Times New Roman"/>
          <w:color w:val="auto"/>
          <w:sz w:val="24"/>
        </w:rPr>
        <w:t>本次评价采用导则D.1.2.2.2</w:t>
      </w:r>
      <w:r>
        <w:rPr>
          <w:rFonts w:hint="eastAsia" w:cs="Times New Roman"/>
          <w:color w:val="auto"/>
          <w:sz w:val="24"/>
          <w:lang w:eastAsia="zh-CN"/>
        </w:rPr>
        <w:t>“</w:t>
      </w:r>
      <w:r>
        <w:rPr>
          <w:rFonts w:ascii="Times New Roman" w:hAnsi="Times New Roman" w:cs="Times New Roman"/>
          <w:color w:val="auto"/>
          <w:sz w:val="24"/>
        </w:rPr>
        <w:t>连续注入示踪剂—平面连续点源</w:t>
      </w:r>
      <w:r>
        <w:rPr>
          <w:rFonts w:hint="eastAsia" w:cs="Times New Roman"/>
          <w:color w:val="auto"/>
          <w:sz w:val="24"/>
          <w:lang w:eastAsia="zh-CN"/>
        </w:rPr>
        <w:t>”</w:t>
      </w:r>
      <w:r>
        <w:rPr>
          <w:rFonts w:ascii="Times New Roman" w:hAnsi="Times New Roman" w:cs="Times New Roman"/>
          <w:color w:val="auto"/>
          <w:sz w:val="24"/>
        </w:rPr>
        <w:t>预测模型。具体公式如下：</w:t>
      </w:r>
    </w:p>
    <w:p>
      <w:pPr>
        <w:spacing w:line="360" w:lineRule="auto"/>
        <w:ind w:firstLine="360" w:firstLineChars="150"/>
        <w:rPr>
          <w:rFonts w:ascii="Times New Roman" w:hAnsi="Times New Roman" w:cs="Times New Roman"/>
          <w:color w:val="auto"/>
          <w:sz w:val="24"/>
        </w:rPr>
      </w:pPr>
      <w:r>
        <w:rPr>
          <w:rFonts w:ascii="Times New Roman" w:hAnsi="Times New Roman" w:cs="Times New Roman"/>
          <w:color w:val="auto"/>
          <w:sz w:val="24"/>
        </w:rPr>
        <w:t>D.1.2.2.2连续注入示踪剂一一平面连续点源的公式：</w:t>
      </w:r>
    </w:p>
    <w:p>
      <w:pPr>
        <w:jc w:val="center"/>
        <w:rPr>
          <w:rFonts w:ascii="Times New Roman" w:hAnsi="Times New Roman" w:cs="Times New Roman"/>
          <w:color w:val="auto"/>
          <w:sz w:val="24"/>
        </w:rPr>
      </w:pPr>
      <m:oMathPara>
        <m:oMath>
          <m:r>
            <m:rPr>
              <m:sty m:val="p"/>
            </m:rPr>
            <w:rPr>
              <w:rFonts w:ascii="Cambria Math" w:hAnsi="Cambria Math" w:cs="Times New Roman"/>
              <w:color w:val="auto"/>
              <w:sz w:val="24"/>
            </w:rPr>
            <m:t>C</m:t>
          </m:r>
          <m:d>
            <m:dPr>
              <m:ctrlPr>
                <w:rPr>
                  <w:rFonts w:ascii="Cambria Math" w:hAnsi="Cambria Math" w:cs="Times New Roman"/>
                  <w:color w:val="auto"/>
                  <w:sz w:val="24"/>
                </w:rPr>
              </m:ctrlPr>
            </m:dPr>
            <m:e>
              <m:r>
                <m:rPr>
                  <m:sty m:val="p"/>
                </m:rPr>
                <w:rPr>
                  <w:rFonts w:ascii="Cambria Math" w:hAnsi="Cambria Math" w:cs="Times New Roman"/>
                  <w:color w:val="auto"/>
                  <w:sz w:val="24"/>
                </w:rPr>
                <m:t>x，y，t</m:t>
              </m:r>
              <m:ctrlPr>
                <w:rPr>
                  <w:rFonts w:ascii="Cambria Math" w:hAnsi="Cambria Math" w:cs="Times New Roman"/>
                  <w:color w:val="auto"/>
                  <w:sz w:val="24"/>
                </w:rPr>
              </m:ctrlPr>
            </m:e>
          </m:d>
          <m:r>
            <m:rPr>
              <m:sty m:val="p"/>
            </m:rPr>
            <w:rPr>
              <w:rFonts w:ascii="Cambria Math" w:hAnsi="Cambria Math" w:cs="Times New Roman"/>
              <w:color w:val="auto"/>
              <w:sz w:val="24"/>
            </w:rPr>
            <m:t>=</m:t>
          </m:r>
          <m:f>
            <m:fPr>
              <m:ctrlPr>
                <w:rPr>
                  <w:rFonts w:ascii="Cambria Math" w:hAnsi="Cambria Math" w:cs="Times New Roman"/>
                  <w:color w:val="auto"/>
                  <w:sz w:val="24"/>
                </w:rPr>
              </m:ctrlPr>
            </m:fPr>
            <m:num>
              <m:sSub>
                <m:sSubPr>
                  <m:ctrlPr>
                    <w:rPr>
                      <w:rFonts w:ascii="Cambria Math" w:hAnsi="Cambria Math" w:cs="Times New Roman"/>
                      <w:color w:val="auto"/>
                      <w:sz w:val="24"/>
                    </w:rPr>
                  </m:ctrlPr>
                </m:sSubPr>
                <m:e>
                  <m:r>
                    <m:rPr>
                      <m:sty m:val="p"/>
                    </m:rPr>
                    <w:rPr>
                      <w:rFonts w:ascii="Cambria Math" w:hAnsi="Cambria Math" w:cs="Times New Roman"/>
                      <w:color w:val="auto"/>
                      <w:sz w:val="24"/>
                    </w:rPr>
                    <m:t>m</m:t>
                  </m:r>
                  <m:ctrlPr>
                    <w:rPr>
                      <w:rFonts w:ascii="Cambria Math" w:hAnsi="Cambria Math" w:cs="Times New Roman"/>
                      <w:color w:val="auto"/>
                      <w:sz w:val="24"/>
                    </w:rPr>
                  </m:ctrlPr>
                </m:e>
                <m:sub>
                  <m:r>
                    <m:rPr>
                      <m:sty m:val="p"/>
                    </m:rPr>
                    <w:rPr>
                      <w:rFonts w:ascii="Cambria Math" w:hAnsi="Cambria Math" w:cs="Times New Roman"/>
                      <w:color w:val="auto"/>
                      <w:sz w:val="24"/>
                    </w:rPr>
                    <m:t>t</m:t>
                  </m:r>
                  <m:ctrlPr>
                    <w:rPr>
                      <w:rFonts w:ascii="Cambria Math" w:hAnsi="Cambria Math" w:cs="Times New Roman"/>
                      <w:color w:val="auto"/>
                      <w:sz w:val="24"/>
                    </w:rPr>
                  </m:ctrlPr>
                </m:sub>
              </m:sSub>
              <m:ctrlPr>
                <w:rPr>
                  <w:rFonts w:ascii="Cambria Math" w:hAnsi="Cambria Math" w:cs="Times New Roman"/>
                  <w:color w:val="auto"/>
                  <w:sz w:val="24"/>
                </w:rPr>
              </m:ctrlPr>
            </m:num>
            <m:den>
              <m:r>
                <m:rPr>
                  <m:sty m:val="p"/>
                </m:rPr>
                <w:rPr>
                  <w:rFonts w:ascii="Cambria Math" w:hAnsi="Cambria Math" w:cs="Times New Roman"/>
                  <w:color w:val="auto"/>
                  <w:sz w:val="24"/>
                </w:rPr>
                <m:t>4πMn</m:t>
              </m:r>
              <m:rad>
                <m:radPr>
                  <m:degHide m:val="1"/>
                  <m:ctrlPr>
                    <w:rPr>
                      <w:rFonts w:ascii="Cambria Math" w:hAnsi="Cambria Math" w:cs="Times New Roman"/>
                      <w:color w:val="auto"/>
                      <w:sz w:val="24"/>
                    </w:rPr>
                  </m:ctrlPr>
                </m:radPr>
                <m:deg>
                  <m:ctrlPr>
                    <w:rPr>
                      <w:rFonts w:ascii="Cambria Math" w:hAnsi="Cambria Math" w:cs="Times New Roman"/>
                      <w:color w:val="auto"/>
                      <w:sz w:val="24"/>
                    </w:rPr>
                  </m:ctrlPr>
                </m:deg>
                <m:e>
                  <m:sSub>
                    <m:sSubPr>
                      <m:ctrlPr>
                        <w:rPr>
                          <w:rFonts w:ascii="Cambria Math" w:hAnsi="Cambria Math" w:cs="Times New Roman"/>
                          <w:color w:val="auto"/>
                          <w:sz w:val="24"/>
                        </w:rPr>
                      </m:ctrlPr>
                    </m:sSubPr>
                    <m:e>
                      <m:r>
                        <m:rPr>
                          <m:sty m:val="p"/>
                        </m:rPr>
                        <w:rPr>
                          <w:rFonts w:ascii="Cambria Math" w:hAnsi="Cambria Math" w:cs="Times New Roman"/>
                          <w:color w:val="auto"/>
                          <w:sz w:val="24"/>
                        </w:rPr>
                        <m:t>D</m:t>
                      </m:r>
                      <m:ctrlPr>
                        <w:rPr>
                          <w:rFonts w:ascii="Cambria Math" w:hAnsi="Cambria Math" w:cs="Times New Roman"/>
                          <w:color w:val="auto"/>
                          <w:sz w:val="24"/>
                        </w:rPr>
                      </m:ctrlPr>
                    </m:e>
                    <m:sub>
                      <m:r>
                        <m:rPr>
                          <m:sty m:val="p"/>
                        </m:rPr>
                        <w:rPr>
                          <w:rFonts w:ascii="Cambria Math" w:hAnsi="Cambria Math" w:cs="Times New Roman"/>
                          <w:color w:val="auto"/>
                          <w:sz w:val="24"/>
                        </w:rPr>
                        <m:t>L</m:t>
                      </m:r>
                      <m:ctrlPr>
                        <w:rPr>
                          <w:rFonts w:ascii="Cambria Math" w:hAnsi="Cambria Math" w:cs="Times New Roman"/>
                          <w:color w:val="auto"/>
                          <w:sz w:val="24"/>
                        </w:rPr>
                      </m:ctrlPr>
                    </m:sub>
                  </m:sSub>
                  <m:sSub>
                    <m:sSubPr>
                      <m:ctrlPr>
                        <w:rPr>
                          <w:rFonts w:ascii="Cambria Math" w:hAnsi="Cambria Math" w:cs="Times New Roman"/>
                          <w:color w:val="auto"/>
                          <w:sz w:val="24"/>
                        </w:rPr>
                      </m:ctrlPr>
                    </m:sSubPr>
                    <m:e>
                      <m:r>
                        <m:rPr>
                          <m:sty m:val="p"/>
                        </m:rPr>
                        <w:rPr>
                          <w:rFonts w:ascii="Cambria Math" w:hAnsi="Cambria Math" w:cs="Times New Roman"/>
                          <w:color w:val="auto"/>
                          <w:sz w:val="24"/>
                        </w:rPr>
                        <m:t>D</m:t>
                      </m:r>
                      <m:ctrlPr>
                        <w:rPr>
                          <w:rFonts w:ascii="Cambria Math" w:hAnsi="Cambria Math" w:cs="Times New Roman"/>
                          <w:color w:val="auto"/>
                          <w:sz w:val="24"/>
                        </w:rPr>
                      </m:ctrlPr>
                    </m:e>
                    <m:sub>
                      <m:r>
                        <m:rPr>
                          <m:sty m:val="p"/>
                        </m:rPr>
                        <w:rPr>
                          <w:rFonts w:ascii="Cambria Math" w:hAnsi="Cambria Math" w:cs="Times New Roman"/>
                          <w:color w:val="auto"/>
                          <w:sz w:val="24"/>
                        </w:rPr>
                        <m:t>T</m:t>
                      </m:r>
                      <m:ctrlPr>
                        <w:rPr>
                          <w:rFonts w:ascii="Cambria Math" w:hAnsi="Cambria Math" w:cs="Times New Roman"/>
                          <w:color w:val="auto"/>
                          <w:sz w:val="24"/>
                        </w:rPr>
                      </m:ctrlPr>
                    </m:sub>
                  </m:sSub>
                  <m:ctrlPr>
                    <w:rPr>
                      <w:rFonts w:ascii="Cambria Math" w:hAnsi="Cambria Math" w:cs="Times New Roman"/>
                      <w:color w:val="auto"/>
                      <w:sz w:val="24"/>
                    </w:rPr>
                  </m:ctrlPr>
                </m:e>
              </m:rad>
              <m:ctrlPr>
                <w:rPr>
                  <w:rFonts w:ascii="Cambria Math" w:hAnsi="Cambria Math" w:cs="Times New Roman"/>
                  <w:color w:val="auto"/>
                  <w:sz w:val="24"/>
                </w:rPr>
              </m:ctrlPr>
            </m:den>
          </m:f>
          <m:sSup>
            <m:sSupPr>
              <m:ctrlPr>
                <w:rPr>
                  <w:rFonts w:ascii="Cambria Math" w:hAnsi="Cambria Math" w:cs="Times New Roman"/>
                  <w:color w:val="auto"/>
                  <w:sz w:val="24"/>
                </w:rPr>
              </m:ctrlPr>
            </m:sSupPr>
            <m:e>
              <m:r>
                <m:rPr>
                  <m:sty m:val="p"/>
                </m:rPr>
                <w:rPr>
                  <w:rFonts w:ascii="Cambria Math" w:hAnsi="Cambria Math" w:cs="Times New Roman"/>
                  <w:color w:val="auto"/>
                  <w:sz w:val="24"/>
                </w:rPr>
                <m:t>e</m:t>
              </m:r>
              <m:ctrlPr>
                <w:rPr>
                  <w:rFonts w:ascii="Cambria Math" w:hAnsi="Cambria Math" w:cs="Times New Roman"/>
                  <w:color w:val="auto"/>
                  <w:sz w:val="24"/>
                </w:rPr>
              </m:ctrlPr>
            </m:e>
            <m:sup>
              <m:f>
                <m:fPr>
                  <m:ctrlPr>
                    <w:rPr>
                      <w:rFonts w:ascii="Cambria Math" w:hAnsi="Cambria Math" w:cs="Times New Roman"/>
                      <w:color w:val="auto"/>
                      <w:sz w:val="24"/>
                    </w:rPr>
                  </m:ctrlPr>
                </m:fPr>
                <m:num>
                  <m:r>
                    <m:rPr>
                      <m:sty m:val="p"/>
                    </m:rPr>
                    <w:rPr>
                      <w:rFonts w:ascii="Cambria Math" w:hAnsi="Cambria Math" w:cs="Times New Roman"/>
                      <w:color w:val="auto"/>
                      <w:sz w:val="24"/>
                    </w:rPr>
                    <m:t>xu</m:t>
                  </m:r>
                  <m:ctrlPr>
                    <w:rPr>
                      <w:rFonts w:ascii="Cambria Math" w:hAnsi="Cambria Math" w:cs="Times New Roman"/>
                      <w:color w:val="auto"/>
                      <w:sz w:val="24"/>
                    </w:rPr>
                  </m:ctrlPr>
                </m:num>
                <m:den>
                  <m:r>
                    <m:rPr>
                      <m:sty m:val="p"/>
                    </m:rPr>
                    <w:rPr>
                      <w:rFonts w:ascii="Cambria Math" w:hAnsi="Cambria Math" w:cs="Times New Roman"/>
                      <w:color w:val="auto"/>
                      <w:sz w:val="24"/>
                    </w:rPr>
                    <m:t>2</m:t>
                  </m:r>
                  <m:sSub>
                    <m:sSubPr>
                      <m:ctrlPr>
                        <w:rPr>
                          <w:rFonts w:ascii="Cambria Math" w:hAnsi="Cambria Math" w:cs="Times New Roman"/>
                          <w:color w:val="auto"/>
                          <w:sz w:val="24"/>
                        </w:rPr>
                      </m:ctrlPr>
                    </m:sSubPr>
                    <m:e>
                      <m:r>
                        <m:rPr>
                          <m:sty m:val="p"/>
                        </m:rPr>
                        <w:rPr>
                          <w:rFonts w:ascii="Cambria Math" w:hAnsi="Cambria Math" w:cs="Times New Roman"/>
                          <w:color w:val="auto"/>
                          <w:sz w:val="24"/>
                        </w:rPr>
                        <m:t>D</m:t>
                      </m:r>
                      <m:ctrlPr>
                        <w:rPr>
                          <w:rFonts w:ascii="Cambria Math" w:hAnsi="Cambria Math" w:cs="Times New Roman"/>
                          <w:color w:val="auto"/>
                          <w:sz w:val="24"/>
                        </w:rPr>
                      </m:ctrlPr>
                    </m:e>
                    <m:sub>
                      <m:r>
                        <m:rPr>
                          <m:sty m:val="p"/>
                        </m:rPr>
                        <w:rPr>
                          <w:rFonts w:ascii="Cambria Math" w:hAnsi="Cambria Math" w:cs="Times New Roman"/>
                          <w:color w:val="auto"/>
                          <w:sz w:val="24"/>
                        </w:rPr>
                        <m:t>L</m:t>
                      </m:r>
                      <m:ctrlPr>
                        <w:rPr>
                          <w:rFonts w:ascii="Cambria Math" w:hAnsi="Cambria Math" w:cs="Times New Roman"/>
                          <w:color w:val="auto"/>
                          <w:sz w:val="24"/>
                        </w:rPr>
                      </m:ctrlPr>
                    </m:sub>
                  </m:sSub>
                  <m:ctrlPr>
                    <w:rPr>
                      <w:rFonts w:ascii="Cambria Math" w:hAnsi="Cambria Math" w:cs="Times New Roman"/>
                      <w:color w:val="auto"/>
                      <w:sz w:val="24"/>
                    </w:rPr>
                  </m:ctrlPr>
                </m:den>
              </m:f>
              <m:ctrlPr>
                <w:rPr>
                  <w:rFonts w:ascii="Cambria Math" w:hAnsi="Cambria Math" w:cs="Times New Roman"/>
                  <w:color w:val="auto"/>
                  <w:sz w:val="24"/>
                </w:rPr>
              </m:ctrlPr>
            </m:sup>
          </m:sSup>
          <m:d>
            <m:dPr>
              <m:begChr m:val="["/>
              <m:endChr m:val="]"/>
              <m:ctrlPr>
                <w:rPr>
                  <w:rFonts w:ascii="Cambria Math" w:hAnsi="Cambria Math" w:cs="Times New Roman"/>
                  <w:color w:val="auto"/>
                  <w:sz w:val="24"/>
                </w:rPr>
              </m:ctrlPr>
            </m:dPr>
            <m:e>
              <m:r>
                <m:rPr>
                  <m:sty m:val="p"/>
                </m:rPr>
                <w:rPr>
                  <w:rFonts w:ascii="Cambria Math" w:hAnsi="Cambria Math" w:cs="Times New Roman"/>
                  <w:color w:val="auto"/>
                  <w:sz w:val="24"/>
                </w:rPr>
                <m:t>2</m:t>
              </m:r>
              <m:sSub>
                <m:sSubPr>
                  <m:ctrlPr>
                    <w:rPr>
                      <w:rFonts w:ascii="Cambria Math" w:hAnsi="Cambria Math" w:cs="Times New Roman"/>
                      <w:color w:val="auto"/>
                      <w:sz w:val="24"/>
                    </w:rPr>
                  </m:ctrlPr>
                </m:sSubPr>
                <m:e>
                  <m:r>
                    <m:rPr>
                      <m:sty m:val="p"/>
                    </m:rPr>
                    <w:rPr>
                      <w:rFonts w:ascii="Cambria Math" w:hAnsi="Cambria Math" w:cs="Times New Roman"/>
                      <w:color w:val="auto"/>
                      <w:sz w:val="24"/>
                    </w:rPr>
                    <m:t>K</m:t>
                  </m:r>
                  <m:ctrlPr>
                    <w:rPr>
                      <w:rFonts w:ascii="Cambria Math" w:hAnsi="Cambria Math" w:cs="Times New Roman"/>
                      <w:color w:val="auto"/>
                      <w:sz w:val="24"/>
                    </w:rPr>
                  </m:ctrlPr>
                </m:e>
                <m:sub>
                  <m:r>
                    <m:rPr>
                      <m:sty m:val="p"/>
                    </m:rPr>
                    <w:rPr>
                      <w:rFonts w:ascii="Cambria Math" w:hAnsi="Cambria Math" w:cs="Times New Roman"/>
                      <w:color w:val="auto"/>
                      <w:sz w:val="24"/>
                    </w:rPr>
                    <m:t>0</m:t>
                  </m:r>
                  <m:ctrlPr>
                    <w:rPr>
                      <w:rFonts w:ascii="Cambria Math" w:hAnsi="Cambria Math" w:cs="Times New Roman"/>
                      <w:color w:val="auto"/>
                      <w:sz w:val="24"/>
                    </w:rPr>
                  </m:ctrlPr>
                </m:sub>
              </m:sSub>
              <m:d>
                <m:dPr>
                  <m:ctrlPr>
                    <w:rPr>
                      <w:rFonts w:ascii="Cambria Math" w:hAnsi="Cambria Math" w:cs="Times New Roman"/>
                      <w:color w:val="auto"/>
                      <w:sz w:val="24"/>
                    </w:rPr>
                  </m:ctrlPr>
                </m:dPr>
                <m:e>
                  <m:r>
                    <m:rPr>
                      <m:sty m:val="p"/>
                    </m:rPr>
                    <w:rPr>
                      <w:rFonts w:ascii="Cambria Math" w:hAnsi="Cambria Math" w:cs="Times New Roman"/>
                      <w:color w:val="auto"/>
                      <w:sz w:val="24"/>
                    </w:rPr>
                    <m:t>β</m:t>
                  </m:r>
                  <m:ctrlPr>
                    <w:rPr>
                      <w:rFonts w:ascii="Cambria Math" w:hAnsi="Cambria Math" w:cs="Times New Roman"/>
                      <w:color w:val="auto"/>
                      <w:sz w:val="24"/>
                    </w:rPr>
                  </m:ctrlPr>
                </m:e>
              </m:d>
              <m:r>
                <m:rPr>
                  <m:sty m:val="p"/>
                </m:rPr>
                <w:rPr>
                  <w:rFonts w:ascii="Cambria Math" w:hAnsi="Cambria Math" w:cs="Times New Roman"/>
                  <w:color w:val="auto"/>
                  <w:sz w:val="24"/>
                </w:rPr>
                <m:t>−W（</m:t>
              </m:r>
              <m:f>
                <m:fPr>
                  <m:ctrlPr>
                    <w:rPr>
                      <w:rFonts w:ascii="Cambria Math" w:hAnsi="Cambria Math" w:cs="Times New Roman"/>
                      <w:color w:val="auto"/>
                      <w:sz w:val="24"/>
                    </w:rPr>
                  </m:ctrlPr>
                </m:fPr>
                <m:num>
                  <m:sSup>
                    <m:sSupPr>
                      <m:ctrlPr>
                        <w:rPr>
                          <w:rFonts w:ascii="Cambria Math" w:hAnsi="Cambria Math" w:cs="Times New Roman"/>
                          <w:color w:val="auto"/>
                          <w:sz w:val="24"/>
                        </w:rPr>
                      </m:ctrlPr>
                    </m:sSupPr>
                    <m:e>
                      <m:r>
                        <m:rPr>
                          <m:sty m:val="p"/>
                        </m:rPr>
                        <w:rPr>
                          <w:rFonts w:ascii="Cambria Math" w:hAnsi="Cambria Math" w:cs="Times New Roman"/>
                          <w:color w:val="auto"/>
                          <w:sz w:val="24"/>
                        </w:rPr>
                        <m:t>u</m:t>
                      </m:r>
                      <m:ctrlPr>
                        <w:rPr>
                          <w:rFonts w:ascii="Cambria Math" w:hAnsi="Cambria Math" w:cs="Times New Roman"/>
                          <w:color w:val="auto"/>
                          <w:sz w:val="24"/>
                        </w:rPr>
                      </m:ctrlPr>
                    </m:e>
                    <m:sup>
                      <m:r>
                        <m:rPr>
                          <m:sty m:val="p"/>
                        </m:rPr>
                        <w:rPr>
                          <w:rFonts w:ascii="Cambria Math" w:hAnsi="Cambria Math" w:cs="Times New Roman"/>
                          <w:color w:val="auto"/>
                          <w:sz w:val="24"/>
                        </w:rPr>
                        <m:t>2</m:t>
                      </m:r>
                      <m:ctrlPr>
                        <w:rPr>
                          <w:rFonts w:ascii="Cambria Math" w:hAnsi="Cambria Math" w:cs="Times New Roman"/>
                          <w:color w:val="auto"/>
                          <w:sz w:val="24"/>
                        </w:rPr>
                      </m:ctrlPr>
                    </m:sup>
                  </m:sSup>
                  <m:r>
                    <m:rPr>
                      <m:sty m:val="p"/>
                    </m:rPr>
                    <w:rPr>
                      <w:rFonts w:ascii="Cambria Math" w:hAnsi="Cambria Math" w:cs="Times New Roman"/>
                      <w:color w:val="auto"/>
                      <w:sz w:val="24"/>
                    </w:rPr>
                    <m:t>t</m:t>
                  </m:r>
                  <m:ctrlPr>
                    <w:rPr>
                      <w:rFonts w:ascii="Cambria Math" w:hAnsi="Cambria Math" w:cs="Times New Roman"/>
                      <w:color w:val="auto"/>
                      <w:sz w:val="24"/>
                    </w:rPr>
                  </m:ctrlPr>
                </m:num>
                <m:den>
                  <m:r>
                    <m:rPr>
                      <m:sty m:val="p"/>
                    </m:rPr>
                    <w:rPr>
                      <w:rFonts w:ascii="Cambria Math" w:hAnsi="Cambria Math" w:cs="Times New Roman"/>
                      <w:color w:val="auto"/>
                      <w:sz w:val="24"/>
                    </w:rPr>
                    <m:t>4</m:t>
                  </m:r>
                  <m:sSub>
                    <m:sSubPr>
                      <m:ctrlPr>
                        <w:rPr>
                          <w:rFonts w:ascii="Cambria Math" w:hAnsi="Cambria Math" w:cs="Times New Roman"/>
                          <w:color w:val="auto"/>
                          <w:sz w:val="24"/>
                        </w:rPr>
                      </m:ctrlPr>
                    </m:sSubPr>
                    <m:e>
                      <m:r>
                        <m:rPr>
                          <m:sty m:val="p"/>
                        </m:rPr>
                        <w:rPr>
                          <w:rFonts w:ascii="Cambria Math" w:hAnsi="Cambria Math" w:cs="Times New Roman"/>
                          <w:color w:val="auto"/>
                          <w:sz w:val="24"/>
                        </w:rPr>
                        <m:t>D</m:t>
                      </m:r>
                      <m:ctrlPr>
                        <w:rPr>
                          <w:rFonts w:ascii="Cambria Math" w:hAnsi="Cambria Math" w:cs="Times New Roman"/>
                          <w:color w:val="auto"/>
                          <w:sz w:val="24"/>
                        </w:rPr>
                      </m:ctrlPr>
                    </m:e>
                    <m:sub>
                      <m:r>
                        <m:rPr>
                          <m:sty m:val="p"/>
                        </m:rPr>
                        <w:rPr>
                          <w:rFonts w:ascii="Cambria Math" w:hAnsi="Cambria Math" w:cs="Times New Roman"/>
                          <w:color w:val="auto"/>
                          <w:sz w:val="24"/>
                        </w:rPr>
                        <m:t>L</m:t>
                      </m:r>
                      <m:ctrlPr>
                        <w:rPr>
                          <w:rFonts w:ascii="Cambria Math" w:hAnsi="Cambria Math" w:cs="Times New Roman"/>
                          <w:color w:val="auto"/>
                          <w:sz w:val="24"/>
                        </w:rPr>
                      </m:ctrlPr>
                    </m:sub>
                  </m:sSub>
                  <m:ctrlPr>
                    <w:rPr>
                      <w:rFonts w:ascii="Cambria Math" w:hAnsi="Cambria Math" w:cs="Times New Roman"/>
                      <w:color w:val="auto"/>
                      <w:sz w:val="24"/>
                    </w:rPr>
                  </m:ctrlPr>
                </m:den>
              </m:f>
              <m:r>
                <m:rPr>
                  <m:sty m:val="p"/>
                </m:rPr>
                <w:rPr>
                  <w:rFonts w:ascii="Cambria Math" w:hAnsi="Cambria Math" w:cs="Times New Roman"/>
                  <w:color w:val="auto"/>
                  <w:sz w:val="24"/>
                </w:rPr>
                <m:t>，β）</m:t>
              </m:r>
              <m:ctrlPr>
                <w:rPr>
                  <w:rFonts w:ascii="Cambria Math" w:hAnsi="Cambria Math" w:cs="Times New Roman"/>
                  <w:color w:val="auto"/>
                  <w:sz w:val="24"/>
                </w:rPr>
              </m:ctrlPr>
            </m:e>
          </m:d>
        </m:oMath>
      </m:oMathPara>
    </w:p>
    <w:p>
      <w:pPr>
        <w:jc w:val="center"/>
        <w:rPr>
          <w:rFonts w:ascii="Times New Roman" w:hAnsi="Times New Roman" w:cs="Times New Roman"/>
          <w:color w:val="auto"/>
          <w:sz w:val="24"/>
        </w:rPr>
      </w:pPr>
      <m:oMathPara>
        <m:oMath>
          <m:r>
            <m:rPr>
              <m:sty m:val="p"/>
            </m:rPr>
            <w:rPr>
              <w:rFonts w:ascii="Cambria Math" w:hAnsi="Cambria Math" w:cs="Times New Roman"/>
              <w:color w:val="auto"/>
              <w:sz w:val="24"/>
            </w:rPr>
            <m:t>β=</m:t>
          </m:r>
          <m:rad>
            <m:radPr>
              <m:degHide m:val="1"/>
              <m:ctrlPr>
                <w:rPr>
                  <w:rFonts w:ascii="Cambria Math" w:hAnsi="Cambria Math" w:cs="Times New Roman"/>
                  <w:color w:val="auto"/>
                  <w:sz w:val="24"/>
                </w:rPr>
              </m:ctrlPr>
            </m:radPr>
            <m:deg>
              <m:ctrlPr>
                <w:rPr>
                  <w:rFonts w:ascii="Cambria Math" w:hAnsi="Cambria Math" w:cs="Times New Roman"/>
                  <w:color w:val="auto"/>
                  <w:sz w:val="24"/>
                </w:rPr>
              </m:ctrlPr>
            </m:deg>
            <m:e>
              <m:f>
                <m:fPr>
                  <m:ctrlPr>
                    <w:rPr>
                      <w:rFonts w:ascii="Cambria Math" w:hAnsi="Cambria Math" w:cs="Times New Roman"/>
                      <w:color w:val="auto"/>
                      <w:sz w:val="24"/>
                    </w:rPr>
                  </m:ctrlPr>
                </m:fPr>
                <m:num>
                  <m:sSup>
                    <m:sSupPr>
                      <m:ctrlPr>
                        <w:rPr>
                          <w:rFonts w:ascii="Cambria Math" w:hAnsi="Cambria Math" w:cs="Times New Roman"/>
                          <w:color w:val="auto"/>
                          <w:sz w:val="24"/>
                        </w:rPr>
                      </m:ctrlPr>
                    </m:sSupPr>
                    <m:e>
                      <m:r>
                        <m:rPr>
                          <m:sty m:val="p"/>
                        </m:rPr>
                        <w:rPr>
                          <w:rFonts w:ascii="Cambria Math" w:hAnsi="Cambria Math" w:cs="Times New Roman"/>
                          <w:color w:val="auto"/>
                          <w:sz w:val="24"/>
                        </w:rPr>
                        <m:t>u</m:t>
                      </m:r>
                      <m:ctrlPr>
                        <w:rPr>
                          <w:rFonts w:ascii="Cambria Math" w:hAnsi="Cambria Math" w:cs="Times New Roman"/>
                          <w:color w:val="auto"/>
                          <w:sz w:val="24"/>
                        </w:rPr>
                      </m:ctrlPr>
                    </m:e>
                    <m:sup>
                      <m:r>
                        <m:rPr>
                          <m:sty m:val="p"/>
                        </m:rPr>
                        <w:rPr>
                          <w:rFonts w:ascii="Cambria Math" w:hAnsi="Cambria Math" w:cs="Times New Roman"/>
                          <w:color w:val="auto"/>
                          <w:sz w:val="24"/>
                        </w:rPr>
                        <m:t>2</m:t>
                      </m:r>
                      <m:ctrlPr>
                        <w:rPr>
                          <w:rFonts w:ascii="Cambria Math" w:hAnsi="Cambria Math" w:cs="Times New Roman"/>
                          <w:color w:val="auto"/>
                          <w:sz w:val="24"/>
                        </w:rPr>
                      </m:ctrlPr>
                    </m:sup>
                  </m:sSup>
                  <m:sSup>
                    <m:sSupPr>
                      <m:ctrlPr>
                        <w:rPr>
                          <w:rFonts w:ascii="Cambria Math" w:hAnsi="Cambria Math" w:cs="Times New Roman"/>
                          <w:color w:val="auto"/>
                          <w:sz w:val="24"/>
                        </w:rPr>
                      </m:ctrlPr>
                    </m:sSupPr>
                    <m:e>
                      <m:r>
                        <m:rPr>
                          <m:sty m:val="p"/>
                        </m:rPr>
                        <w:rPr>
                          <w:rFonts w:ascii="Cambria Math" w:hAnsi="Cambria Math" w:cs="Times New Roman"/>
                          <w:color w:val="auto"/>
                          <w:sz w:val="24"/>
                        </w:rPr>
                        <m:t>x</m:t>
                      </m:r>
                      <m:ctrlPr>
                        <w:rPr>
                          <w:rFonts w:ascii="Cambria Math" w:hAnsi="Cambria Math" w:cs="Times New Roman"/>
                          <w:color w:val="auto"/>
                          <w:sz w:val="24"/>
                        </w:rPr>
                      </m:ctrlPr>
                    </m:e>
                    <m:sup>
                      <m:r>
                        <m:rPr>
                          <m:sty m:val="p"/>
                        </m:rPr>
                        <w:rPr>
                          <w:rFonts w:ascii="Cambria Math" w:hAnsi="Cambria Math" w:cs="Times New Roman"/>
                          <w:color w:val="auto"/>
                          <w:sz w:val="24"/>
                        </w:rPr>
                        <m:t>2</m:t>
                      </m:r>
                      <m:ctrlPr>
                        <w:rPr>
                          <w:rFonts w:ascii="Cambria Math" w:hAnsi="Cambria Math" w:cs="Times New Roman"/>
                          <w:color w:val="auto"/>
                          <w:sz w:val="24"/>
                        </w:rPr>
                      </m:ctrlPr>
                    </m:sup>
                  </m:sSup>
                  <m:ctrlPr>
                    <w:rPr>
                      <w:rFonts w:ascii="Cambria Math" w:hAnsi="Cambria Math" w:cs="Times New Roman"/>
                      <w:color w:val="auto"/>
                      <w:sz w:val="24"/>
                    </w:rPr>
                  </m:ctrlPr>
                </m:num>
                <m:den>
                  <m:r>
                    <m:rPr>
                      <m:sty m:val="p"/>
                    </m:rPr>
                    <w:rPr>
                      <w:rFonts w:ascii="Cambria Math" w:hAnsi="Cambria Math" w:cs="Times New Roman"/>
                      <w:color w:val="auto"/>
                      <w:sz w:val="24"/>
                    </w:rPr>
                    <m:t>4</m:t>
                  </m:r>
                  <m:sSubSup>
                    <m:sSubSupPr>
                      <m:ctrlPr>
                        <w:rPr>
                          <w:rFonts w:ascii="Cambria Math" w:hAnsi="Cambria Math" w:cs="Times New Roman"/>
                          <w:color w:val="auto"/>
                          <w:sz w:val="24"/>
                        </w:rPr>
                      </m:ctrlPr>
                    </m:sSubSupPr>
                    <m:e>
                      <m:r>
                        <m:rPr>
                          <m:sty m:val="p"/>
                        </m:rPr>
                        <w:rPr>
                          <w:rFonts w:ascii="Cambria Math" w:hAnsi="Cambria Math" w:cs="Times New Roman"/>
                          <w:color w:val="auto"/>
                          <w:sz w:val="24"/>
                        </w:rPr>
                        <m:t>D</m:t>
                      </m:r>
                      <m:ctrlPr>
                        <w:rPr>
                          <w:rFonts w:ascii="Cambria Math" w:hAnsi="Cambria Math" w:cs="Times New Roman"/>
                          <w:color w:val="auto"/>
                          <w:sz w:val="24"/>
                        </w:rPr>
                      </m:ctrlPr>
                    </m:e>
                    <m:sub>
                      <m:r>
                        <m:rPr>
                          <m:sty m:val="p"/>
                        </m:rPr>
                        <w:rPr>
                          <w:rFonts w:ascii="Cambria Math" w:hAnsi="Cambria Math" w:cs="Times New Roman"/>
                          <w:color w:val="auto"/>
                          <w:sz w:val="24"/>
                        </w:rPr>
                        <m:t>L</m:t>
                      </m:r>
                      <m:ctrlPr>
                        <w:rPr>
                          <w:rFonts w:ascii="Cambria Math" w:hAnsi="Cambria Math" w:cs="Times New Roman"/>
                          <w:color w:val="auto"/>
                          <w:sz w:val="24"/>
                        </w:rPr>
                      </m:ctrlPr>
                    </m:sub>
                    <m:sup>
                      <m:r>
                        <m:rPr>
                          <m:sty m:val="p"/>
                        </m:rPr>
                        <w:rPr>
                          <w:rFonts w:ascii="Cambria Math" w:hAnsi="Cambria Math" w:cs="Times New Roman"/>
                          <w:color w:val="auto"/>
                          <w:sz w:val="24"/>
                        </w:rPr>
                        <m:t>2</m:t>
                      </m:r>
                      <m:ctrlPr>
                        <w:rPr>
                          <w:rFonts w:ascii="Cambria Math" w:hAnsi="Cambria Math" w:cs="Times New Roman"/>
                          <w:color w:val="auto"/>
                          <w:sz w:val="24"/>
                        </w:rPr>
                      </m:ctrlPr>
                    </m:sup>
                  </m:sSubSup>
                  <m:ctrlPr>
                    <w:rPr>
                      <w:rFonts w:ascii="Cambria Math" w:hAnsi="Cambria Math" w:cs="Times New Roman"/>
                      <w:color w:val="auto"/>
                      <w:sz w:val="24"/>
                    </w:rPr>
                  </m:ctrlPr>
                </m:den>
              </m:f>
              <m:r>
                <m:rPr>
                  <m:sty m:val="p"/>
                </m:rPr>
                <w:rPr>
                  <w:rFonts w:ascii="Cambria Math" w:hAnsi="Cambria Math" w:cs="Times New Roman"/>
                  <w:color w:val="auto"/>
                  <w:sz w:val="24"/>
                </w:rPr>
                <m:t>+</m:t>
              </m:r>
              <m:f>
                <m:fPr>
                  <m:ctrlPr>
                    <w:rPr>
                      <w:rFonts w:ascii="Cambria Math" w:hAnsi="Cambria Math" w:cs="Times New Roman"/>
                      <w:color w:val="auto"/>
                      <w:sz w:val="24"/>
                    </w:rPr>
                  </m:ctrlPr>
                </m:fPr>
                <m:num>
                  <m:sSup>
                    <m:sSupPr>
                      <m:ctrlPr>
                        <w:rPr>
                          <w:rFonts w:ascii="Cambria Math" w:hAnsi="Cambria Math" w:cs="Times New Roman"/>
                          <w:color w:val="auto"/>
                          <w:sz w:val="24"/>
                        </w:rPr>
                      </m:ctrlPr>
                    </m:sSupPr>
                    <m:e>
                      <m:r>
                        <m:rPr>
                          <m:sty m:val="p"/>
                        </m:rPr>
                        <w:rPr>
                          <w:rFonts w:ascii="Cambria Math" w:hAnsi="Cambria Math" w:cs="Times New Roman"/>
                          <w:color w:val="auto"/>
                          <w:sz w:val="24"/>
                        </w:rPr>
                        <m:t>u</m:t>
                      </m:r>
                      <m:ctrlPr>
                        <w:rPr>
                          <w:rFonts w:ascii="Cambria Math" w:hAnsi="Cambria Math" w:cs="Times New Roman"/>
                          <w:color w:val="auto"/>
                          <w:sz w:val="24"/>
                        </w:rPr>
                      </m:ctrlPr>
                    </m:e>
                    <m:sup>
                      <m:r>
                        <m:rPr>
                          <m:sty m:val="p"/>
                        </m:rPr>
                        <w:rPr>
                          <w:rFonts w:ascii="Cambria Math" w:hAnsi="Cambria Math" w:cs="Times New Roman"/>
                          <w:color w:val="auto"/>
                          <w:sz w:val="24"/>
                        </w:rPr>
                        <m:t>2</m:t>
                      </m:r>
                      <m:ctrlPr>
                        <w:rPr>
                          <w:rFonts w:ascii="Cambria Math" w:hAnsi="Cambria Math" w:cs="Times New Roman"/>
                          <w:color w:val="auto"/>
                          <w:sz w:val="24"/>
                        </w:rPr>
                      </m:ctrlPr>
                    </m:sup>
                  </m:sSup>
                  <m:sSup>
                    <m:sSupPr>
                      <m:ctrlPr>
                        <w:rPr>
                          <w:rFonts w:ascii="Cambria Math" w:hAnsi="Cambria Math" w:cs="Times New Roman"/>
                          <w:color w:val="auto"/>
                          <w:sz w:val="24"/>
                        </w:rPr>
                      </m:ctrlPr>
                    </m:sSupPr>
                    <m:e>
                      <m:r>
                        <m:rPr>
                          <m:sty m:val="p"/>
                        </m:rPr>
                        <w:rPr>
                          <w:rFonts w:ascii="Cambria Math" w:hAnsi="Cambria Math" w:cs="Times New Roman"/>
                          <w:color w:val="auto"/>
                          <w:sz w:val="24"/>
                        </w:rPr>
                        <m:t>y</m:t>
                      </m:r>
                      <m:ctrlPr>
                        <w:rPr>
                          <w:rFonts w:ascii="Cambria Math" w:hAnsi="Cambria Math" w:cs="Times New Roman"/>
                          <w:color w:val="auto"/>
                          <w:sz w:val="24"/>
                        </w:rPr>
                      </m:ctrlPr>
                    </m:e>
                    <m:sup>
                      <m:r>
                        <m:rPr>
                          <m:sty m:val="p"/>
                        </m:rPr>
                        <w:rPr>
                          <w:rFonts w:ascii="Cambria Math" w:hAnsi="Cambria Math" w:cs="Times New Roman"/>
                          <w:color w:val="auto"/>
                          <w:sz w:val="24"/>
                        </w:rPr>
                        <m:t>2</m:t>
                      </m:r>
                      <m:ctrlPr>
                        <w:rPr>
                          <w:rFonts w:ascii="Cambria Math" w:hAnsi="Cambria Math" w:cs="Times New Roman"/>
                          <w:color w:val="auto"/>
                          <w:sz w:val="24"/>
                        </w:rPr>
                      </m:ctrlPr>
                    </m:sup>
                  </m:sSup>
                  <m:ctrlPr>
                    <w:rPr>
                      <w:rFonts w:ascii="Cambria Math" w:hAnsi="Cambria Math" w:cs="Times New Roman"/>
                      <w:color w:val="auto"/>
                      <w:sz w:val="24"/>
                    </w:rPr>
                  </m:ctrlPr>
                </m:num>
                <m:den>
                  <m:r>
                    <m:rPr>
                      <m:sty m:val="p"/>
                    </m:rPr>
                    <w:rPr>
                      <w:rFonts w:ascii="Cambria Math" w:hAnsi="Cambria Math" w:cs="Times New Roman"/>
                      <w:color w:val="auto"/>
                      <w:sz w:val="24"/>
                    </w:rPr>
                    <m:t>4</m:t>
                  </m:r>
                  <m:sSub>
                    <m:sSubPr>
                      <m:ctrlPr>
                        <w:rPr>
                          <w:rFonts w:ascii="Cambria Math" w:hAnsi="Cambria Math" w:cs="Times New Roman"/>
                          <w:color w:val="auto"/>
                          <w:sz w:val="24"/>
                        </w:rPr>
                      </m:ctrlPr>
                    </m:sSubPr>
                    <m:e>
                      <m:r>
                        <m:rPr>
                          <m:sty m:val="p"/>
                        </m:rPr>
                        <w:rPr>
                          <w:rFonts w:ascii="Cambria Math" w:hAnsi="Cambria Math" w:cs="Times New Roman"/>
                          <w:color w:val="auto"/>
                          <w:sz w:val="24"/>
                        </w:rPr>
                        <m:t>D</m:t>
                      </m:r>
                      <m:ctrlPr>
                        <w:rPr>
                          <w:rFonts w:ascii="Cambria Math" w:hAnsi="Cambria Math" w:cs="Times New Roman"/>
                          <w:color w:val="auto"/>
                          <w:sz w:val="24"/>
                        </w:rPr>
                      </m:ctrlPr>
                    </m:e>
                    <m:sub>
                      <m:r>
                        <m:rPr>
                          <m:sty m:val="p"/>
                        </m:rPr>
                        <w:rPr>
                          <w:rFonts w:ascii="Cambria Math" w:hAnsi="Cambria Math" w:cs="Times New Roman"/>
                          <w:color w:val="auto"/>
                          <w:sz w:val="24"/>
                        </w:rPr>
                        <m:t>L</m:t>
                      </m:r>
                      <m:ctrlPr>
                        <w:rPr>
                          <w:rFonts w:ascii="Cambria Math" w:hAnsi="Cambria Math" w:cs="Times New Roman"/>
                          <w:color w:val="auto"/>
                          <w:sz w:val="24"/>
                        </w:rPr>
                      </m:ctrlPr>
                    </m:sub>
                  </m:sSub>
                  <m:sSub>
                    <m:sSubPr>
                      <m:ctrlPr>
                        <w:rPr>
                          <w:rFonts w:ascii="Cambria Math" w:hAnsi="Cambria Math" w:cs="Times New Roman"/>
                          <w:color w:val="auto"/>
                          <w:sz w:val="24"/>
                        </w:rPr>
                      </m:ctrlPr>
                    </m:sSubPr>
                    <m:e>
                      <m:r>
                        <m:rPr>
                          <m:sty m:val="p"/>
                        </m:rPr>
                        <w:rPr>
                          <w:rFonts w:ascii="Cambria Math" w:hAnsi="Cambria Math" w:cs="Times New Roman"/>
                          <w:color w:val="auto"/>
                          <w:sz w:val="24"/>
                        </w:rPr>
                        <m:t>D</m:t>
                      </m:r>
                      <m:ctrlPr>
                        <w:rPr>
                          <w:rFonts w:ascii="Cambria Math" w:hAnsi="Cambria Math" w:cs="Times New Roman"/>
                          <w:color w:val="auto"/>
                          <w:sz w:val="24"/>
                        </w:rPr>
                      </m:ctrlPr>
                    </m:e>
                    <m:sub>
                      <m:r>
                        <m:rPr>
                          <m:sty m:val="p"/>
                        </m:rPr>
                        <w:rPr>
                          <w:rFonts w:ascii="Cambria Math" w:hAnsi="Cambria Math" w:cs="Times New Roman"/>
                          <w:color w:val="auto"/>
                          <w:sz w:val="24"/>
                        </w:rPr>
                        <m:t>T</m:t>
                      </m:r>
                      <m:ctrlPr>
                        <w:rPr>
                          <w:rFonts w:ascii="Cambria Math" w:hAnsi="Cambria Math" w:cs="Times New Roman"/>
                          <w:color w:val="auto"/>
                          <w:sz w:val="24"/>
                        </w:rPr>
                      </m:ctrlPr>
                    </m:sub>
                  </m:sSub>
                  <m:ctrlPr>
                    <w:rPr>
                      <w:rFonts w:ascii="Cambria Math" w:hAnsi="Cambria Math" w:cs="Times New Roman"/>
                      <w:color w:val="auto"/>
                      <w:sz w:val="24"/>
                    </w:rPr>
                  </m:ctrlPr>
                </m:den>
              </m:f>
              <m:ctrlPr>
                <w:rPr>
                  <w:rFonts w:ascii="Cambria Math" w:hAnsi="Cambria Math" w:cs="Times New Roman"/>
                  <w:color w:val="auto"/>
                  <w:sz w:val="24"/>
                </w:rPr>
              </m:ctrlPr>
            </m:e>
          </m:rad>
        </m:oMath>
      </m:oMathPara>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式中：</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x，y—计算点处的位置坐标m；</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t—时间，d；</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C(x，y，t)—t时刻点x，y处的示踪剂深度，g/L；</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M—承压含水层的厚度，m；</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m</w:t>
      </w:r>
      <w:r>
        <w:rPr>
          <w:rFonts w:ascii="Times New Roman" w:hAnsi="Times New Roman" w:cs="Times New Roman"/>
          <w:color w:val="auto"/>
          <w:sz w:val="24"/>
          <w:szCs w:val="24"/>
          <w:vertAlign w:val="subscript"/>
        </w:rPr>
        <w:t>t</w:t>
      </w:r>
      <w:r>
        <w:rPr>
          <w:rFonts w:ascii="Times New Roman" w:hAnsi="Times New Roman" w:cs="Times New Roman"/>
          <w:color w:val="auto"/>
          <w:sz w:val="24"/>
          <w:szCs w:val="24"/>
        </w:rPr>
        <w:t>—单位时间注入示踪剂的质量，kg/d；</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u—水流速度，m/d；</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ne—有效孔隙度，无量纲；</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Dt—纵向弥散系数，m</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/d；</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Dr—横向y方向的弥散系数，m</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/d；</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π—圆周率；</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K</w:t>
      </w:r>
      <w:r>
        <w:rPr>
          <w:rFonts w:ascii="Times New Roman" w:hAnsi="Times New Roman" w:cs="Times New Roman"/>
          <w:color w:val="auto"/>
          <w:sz w:val="24"/>
          <w:szCs w:val="24"/>
          <w:vertAlign w:val="subscript"/>
        </w:rPr>
        <w:t>0</w:t>
      </w:r>
      <w:r>
        <w:rPr>
          <w:rFonts w:ascii="Times New Roman" w:hAnsi="Times New Roman" w:cs="Times New Roman"/>
          <w:color w:val="auto"/>
          <w:sz w:val="24"/>
          <w:szCs w:val="24"/>
        </w:rPr>
        <w:t>(β)—第二类零阶修正贝塞尔函数；</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szCs w:val="24"/>
        </w:rPr>
        <w:t>W(u</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t/4D</w:t>
      </w:r>
      <w:r>
        <w:rPr>
          <w:rFonts w:ascii="Times New Roman" w:hAnsi="Times New Roman" w:cs="Times New Roman"/>
          <w:color w:val="auto"/>
          <w:sz w:val="24"/>
          <w:szCs w:val="24"/>
          <w:vertAlign w:val="subscript"/>
        </w:rPr>
        <w:t>L</w:t>
      </w:r>
      <w:r>
        <w:rPr>
          <w:rFonts w:ascii="Times New Roman" w:hAnsi="Times New Roman" w:cs="Times New Roman"/>
          <w:color w:val="auto"/>
          <w:sz w:val="24"/>
          <w:szCs w:val="24"/>
        </w:rPr>
        <w:t>，β)—第二类零阶修正贝塞尔函数。</w:t>
      </w:r>
    </w:p>
    <w:p>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4"/>
        <w:rPr>
          <w:rFonts w:hint="eastAsia" w:ascii="Times New Roman" w:hAnsi="Times New Roman" w:cs="Times New Roman"/>
          <w:b/>
          <w:color w:val="auto"/>
          <w:sz w:val="24"/>
          <w:lang w:eastAsia="zh-CN"/>
        </w:rPr>
      </w:pPr>
      <w:r>
        <w:rPr>
          <w:rFonts w:hint="eastAsia" w:ascii="Times New Roman" w:hAnsi="Times New Roman" w:cs="Times New Roman"/>
          <w:b/>
          <w:color w:val="auto"/>
          <w:sz w:val="24"/>
          <w:lang w:eastAsia="zh-CN"/>
        </w:rPr>
        <w:t>（</w:t>
      </w:r>
      <w:r>
        <w:rPr>
          <w:rFonts w:hint="eastAsia" w:ascii="Times New Roman" w:hAnsi="Times New Roman" w:cs="Times New Roman"/>
          <w:b/>
          <w:color w:val="auto"/>
          <w:sz w:val="24"/>
          <w:lang w:val="en-US" w:eastAsia="zh-CN"/>
        </w:rPr>
        <w:t>2</w:t>
      </w:r>
      <w:r>
        <w:rPr>
          <w:rFonts w:hint="eastAsia" w:ascii="Times New Roman" w:hAnsi="Times New Roman" w:cs="Times New Roman"/>
          <w:b/>
          <w:color w:val="auto"/>
          <w:sz w:val="24"/>
          <w:lang w:eastAsia="zh-CN"/>
        </w:rPr>
        <w:t>）水文地质参数的确定</w:t>
      </w:r>
    </w:p>
    <w:p>
      <w:pPr>
        <w:spacing w:line="360" w:lineRule="auto"/>
        <w:ind w:firstLine="465"/>
        <w:rPr>
          <w:rFonts w:ascii="Times New Roman" w:hAnsi="Times New Roman" w:cs="Times New Roman"/>
          <w:color w:val="auto"/>
          <w:sz w:val="24"/>
        </w:rPr>
      </w:pPr>
      <w:r>
        <w:rPr>
          <w:rFonts w:hint="eastAsia"/>
          <w:color w:val="auto"/>
          <w:sz w:val="24"/>
          <w:szCs w:val="24"/>
        </w:rPr>
        <w:t>有关根据现场水文地质试验结果及相关水文地质资料</w:t>
      </w:r>
      <w:r>
        <w:rPr>
          <w:color w:val="auto"/>
          <w:sz w:val="24"/>
          <w:szCs w:val="24"/>
        </w:rPr>
        <w:t>根据评价水文地质资料</w:t>
      </w:r>
      <w:r>
        <w:rPr>
          <w:rFonts w:hint="eastAsia"/>
          <w:color w:val="auto"/>
          <w:sz w:val="24"/>
          <w:szCs w:val="24"/>
          <w:lang w:eastAsia="zh-CN"/>
        </w:rPr>
        <w:t>，</w:t>
      </w:r>
      <w:r>
        <w:rPr>
          <w:rFonts w:hint="eastAsia"/>
          <w:color w:val="auto"/>
          <w:sz w:val="24"/>
          <w:szCs w:val="24"/>
        </w:rPr>
        <w:t>本次预测模型参数详见表5</w:t>
      </w:r>
      <w:r>
        <w:rPr>
          <w:rFonts w:hint="eastAsia"/>
          <w:color w:val="auto"/>
          <w:sz w:val="24"/>
          <w:szCs w:val="24"/>
          <w:lang w:val="en-US" w:eastAsia="zh-CN"/>
        </w:rPr>
        <w:t>.2</w:t>
      </w:r>
      <w:r>
        <w:rPr>
          <w:rFonts w:hint="eastAsia"/>
          <w:color w:val="auto"/>
          <w:sz w:val="24"/>
          <w:szCs w:val="24"/>
        </w:rPr>
        <w:t>-</w:t>
      </w:r>
      <w:r>
        <w:rPr>
          <w:rFonts w:hint="eastAsia"/>
          <w:color w:val="auto"/>
          <w:sz w:val="24"/>
          <w:szCs w:val="24"/>
          <w:lang w:val="en-US" w:eastAsia="zh-CN"/>
        </w:rPr>
        <w:t>2</w:t>
      </w:r>
      <w:r>
        <w:rPr>
          <w:rFonts w:ascii="Times New Roman" w:hAnsi="Times New Roman" w:cs="Times New Roman"/>
          <w:color w:val="auto"/>
          <w:sz w:val="24"/>
        </w:rPr>
        <w:t>。</w:t>
      </w:r>
    </w:p>
    <w:p>
      <w:pPr>
        <w:jc w:val="center"/>
        <w:rPr>
          <w:rFonts w:hint="eastAsia" w:eastAsia="黑体"/>
          <w:color w:val="auto"/>
          <w:lang w:val="en-US" w:eastAsia="zh-CN"/>
        </w:rPr>
      </w:pPr>
      <w:r>
        <w:rPr>
          <w:rFonts w:hint="eastAsia" w:eastAsia="黑体"/>
          <w:color w:val="auto"/>
          <w:lang w:val="en-US" w:eastAsia="zh-CN"/>
        </w:rPr>
        <w:t>表5.2-2  参数选择及计算结果</w:t>
      </w:r>
    </w:p>
    <w:tbl>
      <w:tblPr>
        <w:tblStyle w:val="89"/>
        <w:tblW w:w="8742"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725"/>
        <w:gridCol w:w="2971"/>
        <w:gridCol w:w="785"/>
        <w:gridCol w:w="2131"/>
        <w:gridCol w:w="213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2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序号</w:t>
            </w:r>
          </w:p>
        </w:tc>
        <w:tc>
          <w:tcPr>
            <w:tcW w:w="29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参数</w:t>
            </w:r>
          </w:p>
        </w:tc>
        <w:tc>
          <w:tcPr>
            <w:tcW w:w="7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单位</w:t>
            </w:r>
          </w:p>
        </w:tc>
        <w:tc>
          <w:tcPr>
            <w:tcW w:w="213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取值</w:t>
            </w:r>
          </w:p>
        </w:tc>
        <w:tc>
          <w:tcPr>
            <w:tcW w:w="2130" w:type="dxa"/>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2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含水层的厚度M</w:t>
            </w:r>
          </w:p>
        </w:tc>
        <w:tc>
          <w:tcPr>
            <w:tcW w:w="7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m</w:t>
            </w:r>
          </w:p>
        </w:tc>
        <w:tc>
          <w:tcPr>
            <w:tcW w:w="21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2130"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2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w:t>
            </w:r>
          </w:p>
        </w:tc>
        <w:tc>
          <w:tcPr>
            <w:tcW w:w="29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水流速度u</w:t>
            </w:r>
          </w:p>
        </w:tc>
        <w:tc>
          <w:tcPr>
            <w:tcW w:w="7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m/d</w:t>
            </w:r>
          </w:p>
        </w:tc>
        <w:tc>
          <w:tcPr>
            <w:tcW w:w="21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eastAsia" w:cs="Times New Roman"/>
                <w:color w:val="auto"/>
                <w:lang w:val="en-US" w:eastAsia="zh-CN"/>
              </w:rPr>
              <w:t>0114</w:t>
            </w:r>
          </w:p>
        </w:tc>
        <w:tc>
          <w:tcPr>
            <w:tcW w:w="2130"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2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w:t>
            </w:r>
          </w:p>
        </w:tc>
        <w:tc>
          <w:tcPr>
            <w:tcW w:w="29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有效孔隙度n</w:t>
            </w:r>
          </w:p>
        </w:tc>
        <w:tc>
          <w:tcPr>
            <w:tcW w:w="7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21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eastAsia" w:cs="Times New Roman"/>
                <w:color w:val="auto"/>
                <w:lang w:val="en-US" w:eastAsia="zh-CN"/>
              </w:rPr>
              <w:t>565</w:t>
            </w:r>
          </w:p>
        </w:tc>
        <w:tc>
          <w:tcPr>
            <w:tcW w:w="2130"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2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4</w:t>
            </w:r>
          </w:p>
        </w:tc>
        <w:tc>
          <w:tcPr>
            <w:tcW w:w="29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vertAlign w:val="subscript"/>
              </w:rPr>
            </w:pPr>
            <w:r>
              <w:rPr>
                <w:rFonts w:hint="default" w:ascii="Times New Roman" w:hAnsi="Times New Roman" w:cs="Times New Roman"/>
                <w:color w:val="auto"/>
              </w:rPr>
              <w:t>纵向弥散度系数D</w:t>
            </w:r>
            <w:r>
              <w:rPr>
                <w:rFonts w:hint="default" w:ascii="Times New Roman" w:hAnsi="Times New Roman" w:cs="Times New Roman"/>
                <w:color w:val="auto"/>
                <w:vertAlign w:val="subscript"/>
              </w:rPr>
              <w:t>L</w:t>
            </w:r>
          </w:p>
        </w:tc>
        <w:tc>
          <w:tcPr>
            <w:tcW w:w="7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/d</w:t>
            </w:r>
          </w:p>
        </w:tc>
        <w:tc>
          <w:tcPr>
            <w:tcW w:w="21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2130"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2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5</w:t>
            </w:r>
          </w:p>
        </w:tc>
        <w:tc>
          <w:tcPr>
            <w:tcW w:w="29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vertAlign w:val="subscript"/>
              </w:rPr>
            </w:pPr>
            <w:r>
              <w:rPr>
                <w:rFonts w:hint="default" w:ascii="Times New Roman" w:hAnsi="Times New Roman" w:cs="Times New Roman"/>
                <w:color w:val="auto"/>
              </w:rPr>
              <w:t>横向弥散度系数D</w:t>
            </w:r>
            <w:r>
              <w:rPr>
                <w:rFonts w:hint="default" w:ascii="Times New Roman" w:hAnsi="Times New Roman" w:cs="Times New Roman"/>
                <w:color w:val="auto"/>
                <w:vertAlign w:val="subscript"/>
              </w:rPr>
              <w:t>T</w:t>
            </w:r>
          </w:p>
        </w:tc>
        <w:tc>
          <w:tcPr>
            <w:tcW w:w="7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/d</w:t>
            </w:r>
          </w:p>
        </w:tc>
        <w:tc>
          <w:tcPr>
            <w:tcW w:w="213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0.05</w:t>
            </w:r>
          </w:p>
        </w:tc>
        <w:tc>
          <w:tcPr>
            <w:tcW w:w="2130"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bl>
    <w:p>
      <w:pPr>
        <w:spacing w:line="240" w:lineRule="auto"/>
        <w:jc w:val="left"/>
        <w:rPr>
          <w:rFonts w:hint="eastAsia" w:ascii="Times New Roman" w:hAnsi="Times New Roman" w:eastAsia="宋体" w:cs="Times New Roman"/>
          <w:color w:val="auto"/>
          <w:lang w:eastAsia="zh-CN"/>
        </w:rPr>
      </w:pPr>
      <w:r>
        <w:rPr>
          <w:rFonts w:ascii="Times New Roman" w:hAnsi="Times New Roman" w:cs="Times New Roman"/>
          <w:color w:val="auto"/>
        </w:rPr>
        <w:t>备注：</w:t>
      </w:r>
      <w:r>
        <w:rPr>
          <w:rFonts w:hint="eastAsia" w:ascii="宋体" w:hAnsi="宋体" w:eastAsia="宋体" w:cs="宋体"/>
          <w:color w:val="auto"/>
        </w:rPr>
        <w:t>①</w:t>
      </w:r>
      <w:r>
        <w:rPr>
          <w:rFonts w:ascii="Times New Roman" w:hAnsi="Times New Roman" w:cs="Times New Roman"/>
          <w:color w:val="auto"/>
        </w:rPr>
        <w:t>根据达西定律u= ki/n，K取</w:t>
      </w:r>
      <w:r>
        <w:rPr>
          <w:rFonts w:hint="eastAsia" w:cs="Times New Roman"/>
          <w:color w:val="auto"/>
          <w:lang w:val="en-US" w:eastAsia="zh-CN"/>
        </w:rPr>
        <w:t>0.25</w:t>
      </w:r>
      <w:r>
        <w:rPr>
          <w:rFonts w:ascii="Times New Roman" w:hAnsi="Times New Roman" w:cs="Times New Roman"/>
          <w:color w:val="auto"/>
        </w:rPr>
        <w:t>m/d，i取0.0</w:t>
      </w:r>
      <w:r>
        <w:rPr>
          <w:rFonts w:hint="eastAsia" w:cs="Times New Roman"/>
          <w:color w:val="auto"/>
          <w:lang w:val="en-US" w:eastAsia="zh-CN"/>
        </w:rPr>
        <w:t>2</w:t>
      </w:r>
      <w:r>
        <w:rPr>
          <w:rFonts w:ascii="Times New Roman" w:hAnsi="Times New Roman" w:cs="Times New Roman"/>
          <w:color w:val="auto"/>
        </w:rPr>
        <w:t>，n取0.</w:t>
      </w:r>
      <w:r>
        <w:rPr>
          <w:rFonts w:hint="eastAsia" w:cs="Times New Roman"/>
          <w:color w:val="auto"/>
          <w:lang w:val="en-US" w:eastAsia="zh-CN"/>
        </w:rPr>
        <w:t>44</w:t>
      </w:r>
      <w:r>
        <w:rPr>
          <w:rFonts w:ascii="Times New Roman" w:hAnsi="Times New Roman" w:cs="Times New Roman"/>
          <w:color w:val="auto"/>
        </w:rPr>
        <w:t>，经计算，水流速度为0.</w:t>
      </w:r>
      <w:r>
        <w:rPr>
          <w:rFonts w:hint="eastAsia" w:cs="Times New Roman"/>
          <w:color w:val="auto"/>
          <w:lang w:val="en-US" w:eastAsia="zh-CN"/>
        </w:rPr>
        <w:t>0114</w:t>
      </w:r>
      <w:r>
        <w:rPr>
          <w:rFonts w:ascii="Times New Roman" w:hAnsi="Times New Roman" w:cs="Times New Roman"/>
          <w:color w:val="auto"/>
        </w:rPr>
        <w:t>m/d</w:t>
      </w:r>
      <w:r>
        <w:rPr>
          <w:rFonts w:hint="eastAsia"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4"/>
        <w:rPr>
          <w:rFonts w:ascii="Times New Roman" w:hAnsi="Times New Roman" w:cs="Times New Roman"/>
          <w:b/>
          <w:color w:val="auto"/>
          <w:sz w:val="24"/>
        </w:rPr>
      </w:pPr>
      <w:r>
        <w:rPr>
          <w:rFonts w:hint="eastAsia" w:ascii="Times New Roman" w:hAnsi="Times New Roman" w:cs="Times New Roman"/>
          <w:b/>
          <w:color w:val="auto"/>
          <w:sz w:val="24"/>
          <w:lang w:eastAsia="zh-CN"/>
        </w:rPr>
        <w:t>（</w:t>
      </w:r>
      <w:r>
        <w:rPr>
          <w:rFonts w:hint="eastAsia" w:ascii="Times New Roman" w:hAnsi="Times New Roman" w:cs="Times New Roman"/>
          <w:b/>
          <w:color w:val="auto"/>
          <w:sz w:val="24"/>
          <w:lang w:val="en-US" w:eastAsia="zh-CN"/>
        </w:rPr>
        <w:t>3</w:t>
      </w:r>
      <w:r>
        <w:rPr>
          <w:rFonts w:hint="eastAsia" w:ascii="Times New Roman" w:hAnsi="Times New Roman" w:cs="Times New Roman"/>
          <w:b/>
          <w:color w:val="auto"/>
          <w:sz w:val="24"/>
          <w:lang w:eastAsia="zh-CN"/>
        </w:rPr>
        <w:t>）</w:t>
      </w:r>
      <w:r>
        <w:rPr>
          <w:rFonts w:ascii="Times New Roman" w:hAnsi="Times New Roman" w:cs="Times New Roman"/>
          <w:b/>
          <w:color w:val="auto"/>
          <w:sz w:val="24"/>
        </w:rPr>
        <w:t>预测结果分析</w:t>
      </w:r>
    </w:p>
    <w:p>
      <w:pPr>
        <w:spacing w:line="360" w:lineRule="auto"/>
        <w:ind w:firstLine="465"/>
        <w:rPr>
          <w:rFonts w:ascii="Times New Roman" w:hAnsi="Times New Roman" w:cs="Times New Roman"/>
          <w:color w:val="auto"/>
          <w:sz w:val="24"/>
        </w:rPr>
      </w:pPr>
      <w:r>
        <w:rPr>
          <w:rFonts w:ascii="Times New Roman" w:hAnsi="Times New Roman" w:cs="Times New Roman"/>
          <w:color w:val="auto"/>
          <w:sz w:val="24"/>
        </w:rPr>
        <w:t>根据项目工程分析，对于污水处理选取</w:t>
      </w:r>
      <w:r>
        <w:rPr>
          <w:rFonts w:hint="eastAsia" w:cs="Times New Roman"/>
          <w:color w:val="auto"/>
          <w:sz w:val="24"/>
          <w:lang w:val="en-US" w:eastAsia="zh-CN"/>
        </w:rPr>
        <w:t>耗氧量</w:t>
      </w:r>
      <w:r>
        <w:rPr>
          <w:rFonts w:ascii="Times New Roman" w:hAnsi="Times New Roman" w:cs="Times New Roman"/>
          <w:color w:val="auto"/>
          <w:sz w:val="24"/>
        </w:rPr>
        <w:t>、NH</w:t>
      </w:r>
      <w:r>
        <w:rPr>
          <w:rFonts w:ascii="Times New Roman" w:hAnsi="Times New Roman" w:cs="Times New Roman"/>
          <w:color w:val="auto"/>
          <w:sz w:val="24"/>
          <w:vertAlign w:val="subscript"/>
        </w:rPr>
        <w:t>3</w:t>
      </w:r>
      <w:r>
        <w:rPr>
          <w:rFonts w:ascii="Times New Roman" w:hAnsi="Times New Roman" w:cs="Times New Roman"/>
          <w:color w:val="auto"/>
          <w:sz w:val="24"/>
        </w:rPr>
        <w:t>-N为预测因子，预测污水处理设施在非正常工况下污染物在地下水中的迁移规律（以池体为原点，地下水流向为x 轴、垂直于地下水流向为y轴）。</w:t>
      </w:r>
    </w:p>
    <w:p>
      <w:pPr>
        <w:spacing w:line="360" w:lineRule="auto"/>
        <w:ind w:firstLine="465"/>
        <w:rPr>
          <w:rFonts w:ascii="Times New Roman" w:hAnsi="Times New Roman" w:cs="Times New Roman"/>
          <w:color w:val="auto"/>
          <w:sz w:val="24"/>
        </w:rPr>
      </w:pPr>
      <w:r>
        <w:rPr>
          <w:rFonts w:ascii="Times New Roman" w:hAnsi="Times New Roman" w:cs="Times New Roman"/>
          <w:color w:val="auto"/>
          <w:sz w:val="24"/>
        </w:rPr>
        <w:t>显示固定位置不同时段的耗氧量浓度值预测，由于污染物的持续注入，地下水中耗氧量呈现逐渐增长的趋势，距事故地点距离越远，污染物泄漏对区域地下水中污染物含量的贡献值越低。</w:t>
      </w:r>
    </w:p>
    <w:p>
      <w:pPr>
        <w:spacing w:line="360" w:lineRule="auto"/>
        <w:ind w:firstLine="482" w:firstLineChars="200"/>
        <w:outlineLvl w:val="4"/>
        <w:rPr>
          <w:rFonts w:ascii="Times New Roman" w:hAnsi="Times New Roman" w:cs="Times New Roman"/>
          <w:b/>
          <w:color w:val="auto"/>
          <w:sz w:val="24"/>
        </w:rPr>
      </w:pPr>
      <w:r>
        <w:rPr>
          <w:rFonts w:hint="eastAsia" w:ascii="Times New Roman" w:hAnsi="Times New Roman" w:cs="Times New Roman"/>
          <w:b/>
          <w:color w:val="auto"/>
          <w:sz w:val="24"/>
          <w:lang w:val="en-US" w:eastAsia="zh-CN"/>
        </w:rPr>
        <w:t>①</w:t>
      </w:r>
      <w:r>
        <w:rPr>
          <w:rFonts w:ascii="Times New Roman" w:hAnsi="Times New Roman" w:cs="Times New Roman"/>
          <w:b/>
          <w:color w:val="auto"/>
          <w:sz w:val="24"/>
        </w:rPr>
        <w:t>耗氧量预测</w:t>
      </w:r>
    </w:p>
    <w:p>
      <w:pPr>
        <w:spacing w:line="360" w:lineRule="auto"/>
        <w:ind w:firstLine="465"/>
        <w:rPr>
          <w:rFonts w:ascii="Times New Roman" w:hAnsi="Times New Roman" w:cs="Times New Roman"/>
          <w:color w:val="auto"/>
          <w:sz w:val="24"/>
        </w:rPr>
      </w:pPr>
      <w:r>
        <w:rPr>
          <w:rFonts w:ascii="Times New Roman" w:hAnsi="Times New Roman" w:cs="Times New Roman"/>
          <w:color w:val="auto"/>
          <w:sz w:val="24"/>
        </w:rPr>
        <w:t>根据预测结果</w:t>
      </w:r>
      <w:r>
        <w:rPr>
          <w:rFonts w:hint="eastAsia" w:cs="Times New Roman"/>
          <w:color w:val="auto"/>
          <w:sz w:val="24"/>
          <w:lang w:val="en-US" w:eastAsia="zh-CN"/>
        </w:rPr>
        <w:t>粪尿收集池</w:t>
      </w:r>
      <w:r>
        <w:rPr>
          <w:rFonts w:ascii="Times New Roman" w:hAnsi="Times New Roman" w:cs="Times New Roman"/>
          <w:color w:val="auto"/>
          <w:sz w:val="24"/>
        </w:rPr>
        <w:t>破损，持续泄漏100d</w:t>
      </w:r>
      <w:r>
        <w:rPr>
          <w:rFonts w:hint="eastAsia" w:cs="Times New Roman"/>
          <w:color w:val="auto"/>
          <w:sz w:val="24"/>
          <w:lang w:eastAsia="zh-CN"/>
        </w:rPr>
        <w:t>、</w:t>
      </w:r>
      <w:r>
        <w:rPr>
          <w:rFonts w:ascii="Times New Roman" w:hAnsi="Times New Roman" w:cs="Times New Roman"/>
          <w:color w:val="auto"/>
          <w:sz w:val="24"/>
        </w:rPr>
        <w:t>1000d，</w:t>
      </w:r>
      <w:r>
        <w:rPr>
          <w:rFonts w:hint="eastAsia" w:cs="Times New Roman"/>
          <w:color w:val="auto"/>
          <w:sz w:val="24"/>
          <w:lang w:val="en-US" w:eastAsia="zh-CN"/>
        </w:rPr>
        <w:t>由于废水量较少</w:t>
      </w:r>
      <w:r>
        <w:rPr>
          <w:rFonts w:ascii="Times New Roman" w:hAnsi="Times New Roman" w:cs="Times New Roman"/>
          <w:color w:val="auto"/>
          <w:sz w:val="24"/>
        </w:rPr>
        <w:t>耗氧量</w:t>
      </w:r>
      <w:r>
        <w:rPr>
          <w:rFonts w:hint="eastAsia" w:cs="Times New Roman"/>
          <w:color w:val="auto"/>
          <w:sz w:val="24"/>
          <w:lang w:val="en-US" w:eastAsia="zh-CN"/>
        </w:rPr>
        <w:t>不会超标</w:t>
      </w:r>
      <w:r>
        <w:rPr>
          <w:rFonts w:ascii="Times New Roman" w:hAnsi="Times New Roman" w:cs="Times New Roman"/>
          <w:color w:val="auto"/>
          <w:sz w:val="24"/>
        </w:rPr>
        <w:t>。</w:t>
      </w:r>
    </w:p>
    <w:p>
      <w:pPr>
        <w:spacing w:line="360" w:lineRule="auto"/>
        <w:ind w:firstLine="465"/>
        <w:rPr>
          <w:rFonts w:ascii="Times New Roman" w:hAnsi="Times New Roman" w:cs="Times New Roman"/>
          <w:color w:val="auto"/>
          <w:sz w:val="24"/>
        </w:rPr>
      </w:pPr>
      <w:r>
        <w:rPr>
          <w:rFonts w:ascii="Times New Roman" w:hAnsi="Times New Roman" w:cs="Times New Roman"/>
          <w:color w:val="auto"/>
          <w:sz w:val="24"/>
        </w:rPr>
        <w:t>不同时段区域耗氧量分布情况详见以下表。</w:t>
      </w:r>
    </w:p>
    <w:p>
      <w:pPr>
        <w:jc w:val="center"/>
        <w:rPr>
          <w:rFonts w:hint="eastAsia" w:eastAsia="黑体"/>
          <w:color w:val="auto"/>
          <w:lang w:val="en-US" w:eastAsia="zh-CN"/>
        </w:rPr>
      </w:pPr>
      <w:r>
        <w:rPr>
          <w:rFonts w:hint="eastAsia" w:eastAsia="黑体"/>
          <w:color w:val="auto"/>
          <w:lang w:val="en-US" w:eastAsia="zh-CN"/>
        </w:rPr>
        <w:t>表5.2-3 本项目粪尿收集池持续泄漏100d区域耗氧量分布情况（mg/L）（耗氧量标准值3mg/L）</w:t>
      </w:r>
    </w:p>
    <w:tbl>
      <w:tblPr>
        <w:tblStyle w:val="8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65"/>
        <w:gridCol w:w="1110"/>
        <w:gridCol w:w="1110"/>
        <w:gridCol w:w="1110"/>
        <w:gridCol w:w="1110"/>
        <w:gridCol w:w="1110"/>
        <w:gridCol w:w="1114"/>
        <w:gridCol w:w="402"/>
        <w:gridCol w:w="464"/>
        <w:gridCol w:w="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tcBorders>
              <w:tl2br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right"/>
              <w:rPr>
                <w:rFonts w:hint="default" w:ascii="Times New Roman" w:hAnsi="Times New Roman" w:cs="Times New Roman"/>
                <w:b/>
                <w:bCs/>
                <w:color w:val="auto"/>
                <w:kern w:val="0"/>
              </w:rPr>
            </w:pPr>
            <w:r>
              <w:rPr>
                <w:rFonts w:hint="eastAsia" w:cs="Times New Roman"/>
                <w:b/>
                <w:bCs/>
                <w:color w:val="auto"/>
                <w:kern w:val="0"/>
                <w:lang w:val="en-US" w:eastAsia="zh-CN"/>
              </w:rPr>
              <w:t>Y</w:t>
            </w:r>
            <w:r>
              <w:rPr>
                <w:rFonts w:hint="default" w:ascii="Times New Roman" w:hAnsi="Times New Roman" w:cs="Times New Roman"/>
                <w:b/>
                <w:bCs/>
                <w:color w:val="auto"/>
                <w:kern w:val="0"/>
              </w:rPr>
              <w:t>(m)</w:t>
            </w:r>
          </w:p>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r>
              <w:rPr>
                <w:rFonts w:hint="eastAsia" w:cs="Times New Roman"/>
                <w:b/>
                <w:bCs/>
                <w:color w:val="auto"/>
                <w:kern w:val="0"/>
                <w:lang w:val="en-US" w:eastAsia="zh-CN"/>
              </w:rPr>
              <w:t>X</w:t>
            </w:r>
            <w:r>
              <w:rPr>
                <w:rFonts w:hint="default" w:ascii="Times New Roman" w:hAnsi="Times New Roman" w:cs="Times New Roman"/>
                <w:b/>
                <w:bCs/>
                <w:color w:val="auto"/>
                <w:kern w:val="0"/>
              </w:rPr>
              <w:t>（m）</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0</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10</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20</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25</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35</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0</w:t>
            </w:r>
          </w:p>
        </w:tc>
        <w:tc>
          <w:tcPr>
            <w:tcW w:w="1110" w:type="dxa"/>
            <w:shd w:val="clear" w:color="auto" w:fill="E6E0EC" w:themeFill="accent4" w:themeFillTint="32"/>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221.8</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0.028795169</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0.000225599</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2.09751E-07</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1.93119E-11</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1.64398E-16</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0.338641128</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0.025132339</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0.000206292</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1.9396E-07</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1.79351E-11</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1.52996E-16</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10</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0.123483492</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0.015312232</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0.000141116</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1.3693E-07</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1.28211E-11</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1.10044E-16</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15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0.041680325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0.006857286</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7.27263E-05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7.39306E-08</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7.05912E-12</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6.11873E-17</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20</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0.012075355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0.002349111</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2.84929E-05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3.06052E-08</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2.99633E-12</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2.63118E-17</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0.002910471</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0.000628844</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8.56048E-06</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9.74317E-09</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9.81638E-13</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8.75523E-18</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30</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0.000573488</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0.000132757</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1.98648E-06</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2.39243E-09</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2.50109E-13</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2.25571E-18</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9.13504E-05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2.21702E-05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3.57916E-07</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4.54373E-10</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4.90068E-14</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4.50291E-19</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65"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1.16724E-05</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2.92952E-06</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5.02509E-08</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6.69046E-11</w:t>
            </w:r>
          </w:p>
        </w:tc>
        <w:tc>
          <w:tcPr>
            <w:tcW w:w="1110"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7.44069E-15</w:t>
            </w:r>
          </w:p>
        </w:tc>
        <w:tc>
          <w:tcPr>
            <w:tcW w:w="111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02"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64"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4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bl>
    <w:p>
      <w:pPr>
        <w:spacing w:line="360" w:lineRule="auto"/>
        <w:ind w:firstLine="480" w:firstLineChars="200"/>
        <w:rPr>
          <w:color w:val="auto"/>
          <w:sz w:val="24"/>
        </w:rPr>
        <w:sectPr>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p>
    <w:p>
      <w:pPr>
        <w:jc w:val="center"/>
        <w:rPr>
          <w:rFonts w:hint="eastAsia" w:eastAsia="黑体"/>
          <w:color w:val="auto"/>
          <w:lang w:val="en-US" w:eastAsia="zh-CN"/>
        </w:rPr>
      </w:pPr>
      <w:r>
        <w:rPr>
          <w:rFonts w:hint="eastAsia" w:eastAsia="黑体"/>
          <w:color w:val="auto"/>
          <w:lang w:val="en-US" w:eastAsia="zh-CN"/>
        </w:rPr>
        <w:t>表5.2-4  本项目粪尿收集池持续泄漏1000d区域耗氧量分布情况（mg/L）（耗氧量标准值3mg/L）</w:t>
      </w:r>
    </w:p>
    <w:tbl>
      <w:tblPr>
        <w:tblStyle w:val="89"/>
        <w:tblW w:w="12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287"/>
        <w:gridCol w:w="1287"/>
        <w:gridCol w:w="1287"/>
        <w:gridCol w:w="1287"/>
        <w:gridCol w:w="1287"/>
        <w:gridCol w:w="1287"/>
        <w:gridCol w:w="1287"/>
        <w:gridCol w:w="1287"/>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tcBorders>
              <w:tl2br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right"/>
              <w:rPr>
                <w:rFonts w:hint="default" w:ascii="Times New Roman" w:hAnsi="Times New Roman" w:cs="Times New Roman"/>
                <w:b/>
                <w:bCs/>
                <w:color w:val="auto"/>
                <w:kern w:val="0"/>
              </w:rPr>
            </w:pPr>
            <w:r>
              <w:rPr>
                <w:rFonts w:hint="eastAsia" w:cs="Times New Roman"/>
                <w:b/>
                <w:bCs/>
                <w:color w:val="auto"/>
                <w:kern w:val="0"/>
                <w:lang w:val="en-US" w:eastAsia="zh-CN"/>
              </w:rPr>
              <w:t>Y</w:t>
            </w:r>
            <w:r>
              <w:rPr>
                <w:rFonts w:hint="default" w:ascii="Times New Roman" w:hAnsi="Times New Roman" w:cs="Times New Roman"/>
                <w:b/>
                <w:bCs/>
                <w:color w:val="auto"/>
                <w:kern w:val="0"/>
              </w:rPr>
              <w:t>(m)</w:t>
            </w:r>
          </w:p>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r>
              <w:rPr>
                <w:rFonts w:hint="eastAsia" w:cs="Times New Roman"/>
                <w:b/>
                <w:bCs/>
                <w:color w:val="auto"/>
                <w:kern w:val="0"/>
                <w:lang w:val="en-US" w:eastAsia="zh-CN"/>
              </w:rPr>
              <w:t>X</w:t>
            </w:r>
            <w:r>
              <w:rPr>
                <w:rFonts w:hint="default" w:ascii="Times New Roman" w:hAnsi="Times New Roman" w:cs="Times New Roman"/>
                <w:b/>
                <w:bCs/>
                <w:color w:val="auto"/>
                <w:kern w:val="0"/>
              </w:rPr>
              <w:t>（m）</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0</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10</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rPr>
              <w:t>15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rPr>
              <w:t>20</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rPr>
              <w:t>25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30</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35</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0</w:t>
            </w:r>
          </w:p>
        </w:tc>
        <w:tc>
          <w:tcPr>
            <w:tcW w:w="1287" w:type="dxa"/>
            <w:shd w:val="clear" w:color="auto" w:fill="E6E0EC" w:themeFill="accent4" w:themeFillTint="32"/>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221.8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0.157946509</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0.023632349</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0.002278105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0.000127019</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3.90478E-06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1.66207E-07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1.54522E-09</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7.46073E-12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0.587840071</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0.153423202</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0.023748029</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0.002309466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0.000129233</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3.98012E-06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1.69687E-07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1.57842E-09</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7.62368E-12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10</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0.338246824</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0.127884084</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0.021546475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0.002148013</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0.000121466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3.76113E-06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1.61123E-07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1.50112E-09</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7.25788E-12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0.205087512</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0.094937508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0.017746168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0.001835577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0.000105523</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3.29583E-06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1.42302E-07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1.3292E-09</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6.43768E-12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cs="Times New Roman"/>
                <w:color w:val="auto"/>
                <w:kern w:val="0"/>
                <w:lang w:val="en-US" w:eastAsia="zh-CN"/>
              </w:rPr>
              <w:t>20</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0.123699037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0.064635559</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0.013361442</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0.001444229</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8.48008E-05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2.67916E-06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1.16919E-07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1.09595E-09</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5.32045E-12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cs="Times New Roman"/>
                <w:color w:val="auto"/>
                <w:kern w:val="0"/>
                <w:lang w:val="en-US" w:eastAsia="zh-CN"/>
              </w:rPr>
              <w:t>25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0.072672652</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0.041021352</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0.009260196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0.001048818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6.31041E-05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2.02129E-06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8.93843E-08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8.41513E-10</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4.09728E-12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cs="Times New Roman"/>
                <w:color w:val="auto"/>
                <w:kern w:val="0"/>
                <w:lang w:val="en-US" w:eastAsia="zh-CN"/>
              </w:rPr>
              <w:t>30</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0.041138718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0.024457541</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0.005941984</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0.000704798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4.35329E-05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1.41613E-06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6.35993E-08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6.01821E-10</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2.94042E-12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cs="Times New Roman"/>
                <w:color w:val="auto"/>
                <w:kern w:val="0"/>
                <w:lang w:val="en-US" w:eastAsia="zh-CN"/>
              </w:rPr>
              <w:t>35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0.022290701</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0.013742952</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0.003545784</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0.000439299</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2.78736E-05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9.21911E-07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4.21287E-08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4.0094E-10</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1.96668E-12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48"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cs="Times New Roman"/>
                <w:color w:val="auto"/>
                <w:kern w:val="0"/>
                <w:lang w:val="en-US" w:eastAsia="zh-CN"/>
              </w:rPr>
              <w:t>40</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0.011508737</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0.007285498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0.00197393</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0.000254503</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1.65838E-05</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1.4002E-06</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2.59878E-08</w:t>
            </w:r>
          </w:p>
        </w:tc>
        <w:tc>
          <w:tcPr>
            <w:tcW w:w="1287"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2.48872E-10</w:t>
            </w:r>
          </w:p>
        </w:tc>
        <w:tc>
          <w:tcPr>
            <w:tcW w:w="1289" w:type="dxa"/>
            <w:shd w:val="clear" w:color="auto" w:fill="auto"/>
            <w:noWrap/>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1.22608E-12</w:t>
            </w:r>
          </w:p>
        </w:tc>
      </w:tr>
    </w:tbl>
    <w:p>
      <w:pPr>
        <w:ind w:firstLine="465"/>
        <w:rPr>
          <w:rFonts w:ascii="Times New Roman" w:hAnsi="Times New Roman" w:cs="Times New Roman"/>
          <w:color w:val="auto"/>
          <w:sz w:val="24"/>
        </w:rPr>
      </w:pPr>
    </w:p>
    <w:p>
      <w:pPr>
        <w:ind w:firstLine="465"/>
        <w:rPr>
          <w:rFonts w:ascii="Times New Roman" w:hAnsi="Times New Roman" w:cs="Times New Roman"/>
          <w:color w:val="auto"/>
          <w:sz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ind w:firstLine="482" w:firstLineChars="200"/>
        <w:outlineLvl w:val="4"/>
        <w:rPr>
          <w:rFonts w:ascii="Times New Roman" w:hAnsi="Times New Roman" w:cs="Times New Roman"/>
          <w:b/>
          <w:color w:val="auto"/>
          <w:sz w:val="24"/>
        </w:rPr>
      </w:pPr>
      <w:r>
        <w:rPr>
          <w:rFonts w:hint="eastAsia" w:ascii="Times New Roman" w:hAnsi="Times New Roman" w:cs="Times New Roman"/>
          <w:b/>
          <w:color w:val="auto"/>
          <w:sz w:val="24"/>
          <w:lang w:val="en-US" w:eastAsia="zh-CN"/>
        </w:rPr>
        <w:t>②</w:t>
      </w:r>
      <w:r>
        <w:rPr>
          <w:rFonts w:ascii="Times New Roman" w:hAnsi="Times New Roman" w:cs="Times New Roman"/>
          <w:b/>
          <w:color w:val="auto"/>
          <w:sz w:val="24"/>
        </w:rPr>
        <w:t>氨氮预测结果</w:t>
      </w:r>
    </w:p>
    <w:p>
      <w:pPr>
        <w:spacing w:line="360" w:lineRule="auto"/>
        <w:ind w:firstLine="465"/>
        <w:rPr>
          <w:rFonts w:ascii="Times New Roman" w:hAnsi="Times New Roman" w:cs="Times New Roman"/>
          <w:color w:val="auto"/>
          <w:sz w:val="24"/>
        </w:rPr>
      </w:pPr>
      <w:r>
        <w:rPr>
          <w:rFonts w:ascii="Times New Roman" w:hAnsi="Times New Roman" w:cs="Times New Roman"/>
          <w:color w:val="auto"/>
          <w:sz w:val="24"/>
        </w:rPr>
        <w:t>根据预测结果</w:t>
      </w:r>
      <w:r>
        <w:rPr>
          <w:rFonts w:hint="eastAsia" w:ascii="Times New Roman" w:hAnsi="Times New Roman" w:cs="Times New Roman"/>
          <w:color w:val="auto"/>
          <w:sz w:val="24"/>
          <w:lang w:val="en-US" w:eastAsia="zh-CN"/>
        </w:rPr>
        <w:t>粪尿收集池</w:t>
      </w:r>
      <w:r>
        <w:rPr>
          <w:rFonts w:ascii="Times New Roman" w:hAnsi="Times New Roman" w:cs="Times New Roman"/>
          <w:color w:val="auto"/>
          <w:sz w:val="24"/>
        </w:rPr>
        <w:t>破损，持续泄漏100d</w:t>
      </w:r>
      <w:r>
        <w:rPr>
          <w:rFonts w:hint="eastAsia" w:cs="Times New Roman"/>
          <w:color w:val="auto"/>
          <w:sz w:val="24"/>
          <w:lang w:eastAsia="zh-CN"/>
        </w:rPr>
        <w:t>、</w:t>
      </w:r>
      <w:r>
        <w:rPr>
          <w:rFonts w:ascii="Times New Roman" w:hAnsi="Times New Roman" w:cs="Times New Roman"/>
          <w:color w:val="auto"/>
          <w:sz w:val="24"/>
        </w:rPr>
        <w:t>1000d，</w:t>
      </w:r>
      <w:r>
        <w:rPr>
          <w:rFonts w:hint="eastAsia" w:cs="Times New Roman"/>
          <w:color w:val="auto"/>
          <w:sz w:val="24"/>
          <w:lang w:val="en-US" w:eastAsia="zh-CN"/>
        </w:rPr>
        <w:t>由于废水量较少</w:t>
      </w:r>
      <w:r>
        <w:rPr>
          <w:rFonts w:hint="eastAsia" w:ascii="Times New Roman" w:hAnsi="Times New Roman" w:cs="Times New Roman"/>
          <w:color w:val="auto"/>
          <w:sz w:val="24"/>
        </w:rPr>
        <w:t>氨氮</w:t>
      </w:r>
      <w:r>
        <w:rPr>
          <w:rFonts w:hint="eastAsia" w:cs="Times New Roman"/>
          <w:color w:val="auto"/>
          <w:sz w:val="24"/>
          <w:lang w:val="en-US" w:eastAsia="zh-CN"/>
        </w:rPr>
        <w:t>不会超标</w:t>
      </w:r>
      <w:r>
        <w:rPr>
          <w:rFonts w:ascii="Times New Roman" w:hAnsi="Times New Roman" w:cs="Times New Roman"/>
          <w:color w:val="auto"/>
          <w:sz w:val="24"/>
        </w:rPr>
        <w:t>。</w:t>
      </w:r>
    </w:p>
    <w:p>
      <w:pPr>
        <w:spacing w:line="360" w:lineRule="auto"/>
        <w:ind w:firstLine="465"/>
        <w:rPr>
          <w:rFonts w:ascii="Times New Roman" w:hAnsi="Times New Roman" w:cs="Times New Roman"/>
          <w:color w:val="auto"/>
          <w:sz w:val="24"/>
        </w:rPr>
      </w:pPr>
      <w:r>
        <w:rPr>
          <w:rFonts w:ascii="Times New Roman" w:hAnsi="Times New Roman" w:cs="Times New Roman"/>
          <w:color w:val="auto"/>
          <w:sz w:val="24"/>
        </w:rPr>
        <w:t>不同时段区域氨氮分布情况详见以下2表。</w:t>
      </w:r>
    </w:p>
    <w:p>
      <w:pPr>
        <w:jc w:val="center"/>
        <w:rPr>
          <w:rFonts w:hint="eastAsia" w:eastAsia="黑体"/>
          <w:color w:val="auto"/>
          <w:lang w:val="en-US" w:eastAsia="zh-CN"/>
        </w:rPr>
      </w:pPr>
      <w:r>
        <w:rPr>
          <w:rFonts w:hint="eastAsia" w:eastAsia="黑体"/>
          <w:color w:val="auto"/>
          <w:lang w:val="en-US" w:eastAsia="zh-CN"/>
        </w:rPr>
        <w:t>表5.2-5  本项目粪尿收集池持续泄漏100d区域氨氮分布情况（mg/L）（氨氮标准值0.5mg/L）</w:t>
      </w:r>
    </w:p>
    <w:tbl>
      <w:tblPr>
        <w:tblStyle w:val="89"/>
        <w:tblW w:w="8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832"/>
        <w:gridCol w:w="832"/>
        <w:gridCol w:w="832"/>
        <w:gridCol w:w="832"/>
        <w:gridCol w:w="832"/>
        <w:gridCol w:w="832"/>
        <w:gridCol w:w="832"/>
        <w:gridCol w:w="832"/>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85" w:type="dxa"/>
            <w:tcBorders>
              <w:tl2br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right"/>
              <w:rPr>
                <w:rFonts w:hint="default" w:ascii="Times New Roman" w:hAnsi="Times New Roman" w:cs="Times New Roman"/>
                <w:b/>
                <w:bCs/>
                <w:color w:val="auto"/>
                <w:kern w:val="0"/>
              </w:rPr>
            </w:pPr>
            <w:r>
              <w:rPr>
                <w:rFonts w:hint="eastAsia" w:cs="Times New Roman"/>
                <w:b/>
                <w:bCs/>
                <w:color w:val="auto"/>
                <w:kern w:val="0"/>
                <w:lang w:val="en-US" w:eastAsia="zh-CN"/>
              </w:rPr>
              <w:t>Y</w:t>
            </w:r>
            <w:r>
              <w:rPr>
                <w:rFonts w:hint="default" w:ascii="Times New Roman" w:hAnsi="Times New Roman" w:cs="Times New Roman"/>
                <w:b/>
                <w:bCs/>
                <w:color w:val="auto"/>
                <w:kern w:val="0"/>
              </w:rPr>
              <w:t>(m)</w:t>
            </w:r>
          </w:p>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r>
              <w:rPr>
                <w:rFonts w:hint="eastAsia" w:cs="Times New Roman"/>
                <w:b/>
                <w:bCs/>
                <w:color w:val="auto"/>
                <w:kern w:val="0"/>
                <w:lang w:val="en-US" w:eastAsia="zh-CN"/>
              </w:rPr>
              <w:t>X</w:t>
            </w:r>
            <w:r>
              <w:rPr>
                <w:rFonts w:hint="default" w:ascii="Times New Roman" w:hAnsi="Times New Roman" w:cs="Times New Roman"/>
                <w:b/>
                <w:bCs/>
                <w:color w:val="auto"/>
                <w:kern w:val="0"/>
              </w:rPr>
              <w:t>（m）</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0</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5</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10</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15</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20</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25</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30</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35</w:t>
            </w:r>
          </w:p>
        </w:tc>
        <w:tc>
          <w:tcPr>
            <w:tcW w:w="832"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0</w:t>
            </w:r>
          </w:p>
        </w:tc>
        <w:tc>
          <w:tcPr>
            <w:tcW w:w="832" w:type="dxa"/>
            <w:shd w:val="clear" w:color="auto" w:fill="EEECE1" w:themeFill="background2"/>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22.1</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0.002869131</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2.24786E-05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2.08995E-08</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1.92422E-12</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1.63805E-17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0.03374197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0.002504169</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2.05548E-05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1.93261E-08</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1.78704E-12</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1.52444E-17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10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0.012303811</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0.0015257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1.40607E-05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1.36437E-08</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1.27748E-12</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1.09647E-17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15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0.004152999</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0.000683255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7.24639E-06</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7.36639E-09</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7.03365E-13</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6.09666E-18</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20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0.00120318</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0.000234064</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2.83901E-06</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3.04948E-09</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2.98552E-13</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2.62169E-18</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25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0.000289997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6.26576E-05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8.52961E-07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9.70802E-10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9.78098E-14</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8.72365E-19</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30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5.7142E-05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1.32278E-05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1.97931E-07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2.3838E-10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2.49207E-14</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2.24757E-19</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35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9.10209E-06</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2.20902E-06</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3.56625E-08</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4.52734E-11</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4.883E-15</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4.48667E-20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85" w:type="dxa"/>
            <w:shd w:val="clear" w:color="auto" w:fill="auto"/>
            <w:noWrap/>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等线" w:cs="Times New Roman"/>
                <w:b/>
                <w:bCs/>
                <w:color w:val="auto"/>
                <w:lang w:val="en-US" w:eastAsia="zh-CN"/>
              </w:rPr>
            </w:pPr>
            <w:r>
              <w:rPr>
                <w:rFonts w:hint="eastAsia" w:ascii="Times New Roman" w:hAnsi="Times New Roman" w:eastAsia="等线" w:cs="Times New Roman"/>
                <w:b/>
                <w:bCs/>
                <w:color w:val="auto"/>
                <w:lang w:val="en-US" w:eastAsia="zh-CN"/>
              </w:rPr>
              <w:t>40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1.16303E-06</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2.91895E-07</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5.00696E-09</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6.66633E-12</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7.41385E-16</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832"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r>
    </w:tbl>
    <w:p>
      <w:pPr>
        <w:ind w:firstLine="465"/>
        <w:rPr>
          <w:rFonts w:ascii="Times New Roman" w:hAnsi="Times New Roman" w:cs="Times New Roman"/>
          <w:color w:val="auto"/>
          <w:sz w:val="24"/>
        </w:rPr>
        <w:sectPr>
          <w:footerReference r:id="rId11" w:type="default"/>
          <w:pgSz w:w="11906" w:h="16838"/>
          <w:pgMar w:top="1440" w:right="1800" w:bottom="1440" w:left="1800" w:header="992"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黑体"/>
          <w:color w:val="auto"/>
          <w:lang w:val="en-US" w:eastAsia="zh-CN"/>
        </w:rPr>
      </w:pPr>
      <w:r>
        <w:rPr>
          <w:rFonts w:hint="eastAsia" w:eastAsia="黑体"/>
          <w:color w:val="auto"/>
          <w:lang w:val="en-US" w:eastAsia="zh-CN"/>
        </w:rPr>
        <w:t>表5.2-6  本项粪尿收集池持续泄漏1000d区域氨氮分布情况（mg/L）（氨氮标准值0.5mg/L）</w:t>
      </w:r>
    </w:p>
    <w:tbl>
      <w:tblPr>
        <w:tblStyle w:val="89"/>
        <w:tblW w:w="8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793"/>
        <w:gridCol w:w="793"/>
        <w:gridCol w:w="793"/>
        <w:gridCol w:w="793"/>
        <w:gridCol w:w="793"/>
        <w:gridCol w:w="793"/>
        <w:gridCol w:w="793"/>
        <w:gridCol w:w="793"/>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tcBorders>
              <w:tl2br w:val="single" w:color="auto" w:sz="4" w:space="0"/>
            </w:tcBorders>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right"/>
              <w:rPr>
                <w:rFonts w:hint="default" w:ascii="Times New Roman" w:hAnsi="Times New Roman" w:cs="Times New Roman"/>
                <w:b/>
                <w:bCs/>
                <w:color w:val="auto"/>
                <w:kern w:val="0"/>
              </w:rPr>
            </w:pPr>
            <w:r>
              <w:rPr>
                <w:rFonts w:hint="eastAsia" w:cs="Times New Roman"/>
                <w:b/>
                <w:bCs/>
                <w:color w:val="auto"/>
                <w:kern w:val="0"/>
                <w:lang w:val="en-US" w:eastAsia="zh-CN"/>
              </w:rPr>
              <w:t>Y</w:t>
            </w:r>
            <w:r>
              <w:rPr>
                <w:rFonts w:hint="default" w:ascii="Times New Roman" w:hAnsi="Times New Roman" w:cs="Times New Roman"/>
                <w:b/>
                <w:bCs/>
                <w:color w:val="auto"/>
                <w:kern w:val="0"/>
              </w:rPr>
              <w:t>(m)</w:t>
            </w:r>
          </w:p>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rPr>
            </w:pPr>
            <w:r>
              <w:rPr>
                <w:rFonts w:hint="eastAsia" w:cs="Times New Roman"/>
                <w:b/>
                <w:bCs/>
                <w:color w:val="auto"/>
                <w:kern w:val="0"/>
                <w:lang w:val="en-US" w:eastAsia="zh-CN"/>
              </w:rPr>
              <w:t>X</w:t>
            </w:r>
            <w:r>
              <w:rPr>
                <w:rFonts w:hint="default" w:ascii="Times New Roman" w:hAnsi="Times New Roman" w:cs="Times New Roman"/>
                <w:b/>
                <w:bCs/>
                <w:color w:val="auto"/>
                <w:kern w:val="0"/>
              </w:rPr>
              <w:t>（m）</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w:t>
            </w:r>
          </w:p>
        </w:tc>
        <w:tc>
          <w:tcPr>
            <w:tcW w:w="793" w:type="dxa"/>
            <w:shd w:val="clear" w:color="auto" w:fill="BEBEBE" w:themeFill="background1" w:themeFillShade="BF"/>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22.1</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0.013148916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0.001519884</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9.92372E-05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3.25716E-06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5.10276E-08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1.0427E-09</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3.69478E-12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6.32862E-15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0.054720353</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0.012648006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0.001515102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9.98371E-05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3.28911E-06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5.1625E-08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1.05666E-09</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3.74626E-12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6.41828E-15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0.030062564</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0.010247882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0.00134204</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9.07538E-05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3.02251E-06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4.77036E-08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9.81238E-10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3.48438E-12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5.97262E-15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0.017244924</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0.007273155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0.001062291</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7.46517E-05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2.52897E-06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4.02701E-08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8.35052E-10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2.97299E-12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5.10119E-15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0.009733082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0.004662952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0.00075693</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5.56888E-05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1.92827E-06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3.10685E-08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6.51363E-10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2.32724E-12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3.99811E-15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0.005287183</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0.002747161</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0.000489023</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3.77712E-05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1.34122E-06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2.19168E-08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4.65793E-10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1.67154E-12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2.87611E-15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0.002732706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0.001499286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0.000288198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2.33536E-05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8.52016E-07</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1.41452E-08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3.05445E-10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1.10176E-12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1.89913E-15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0.001334328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0.000760478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0.000155645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1.31951E-05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4.94925E-07</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8.35769E-09</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1.83723E-10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6.66533E-13</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1.15123E-15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41"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40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0.000612508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0.000358852</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7.72802E-05</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6.82757E-06</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2.63201E-07</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1.23596E-08</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1.01395E-10</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3.70167E-13</w:t>
            </w:r>
          </w:p>
        </w:tc>
        <w:tc>
          <w:tcPr>
            <w:tcW w:w="793" w:type="dxa"/>
            <w:shd w:val="clear" w:color="auto" w:fill="auto"/>
            <w:noWrap/>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6.41289E-16</w:t>
            </w:r>
          </w:p>
        </w:tc>
      </w:tr>
    </w:tbl>
    <w:p>
      <w:pPr>
        <w:tabs>
          <w:tab w:val="left" w:pos="1220"/>
        </w:tabs>
        <w:rPr>
          <w:rFonts w:ascii="Times New Roman" w:hAnsi="Times New Roman" w:cs="Times New Roman"/>
          <w:bCs/>
          <w:color w:val="auto"/>
          <w:kern w:val="0"/>
          <w:sz w:val="24"/>
        </w:rPr>
        <w:sectPr>
          <w:pgSz w:w="11906" w:h="16838"/>
          <w:pgMar w:top="1440" w:right="1800" w:bottom="1440" w:left="1800" w:header="992"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黑体"/>
          <w:color w:val="auto"/>
          <w:lang w:val="en-US" w:eastAsia="zh-CN"/>
        </w:rPr>
      </w:pPr>
      <w:r>
        <w:rPr>
          <w:rFonts w:hint="eastAsia" w:eastAsia="黑体"/>
          <w:color w:val="auto"/>
          <w:lang w:val="en-US" w:eastAsia="zh-CN"/>
        </w:rPr>
        <w:t>表5.2-7  本项目非正常工况不同时间地下水超标距离（m）</w:t>
      </w:r>
    </w:p>
    <w:tbl>
      <w:tblPr>
        <w:tblStyle w:val="90"/>
        <w:tblW w:w="894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55"/>
        <w:gridCol w:w="1781"/>
        <w:gridCol w:w="1221"/>
        <w:gridCol w:w="1954"/>
        <w:gridCol w:w="223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755" w:type="dxa"/>
            <w:tcBorders>
              <w:tl2br w:val="single" w:color="auto" w:sz="4" w:space="0"/>
            </w:tcBorders>
            <w:vAlign w:val="center"/>
          </w:tcPr>
          <w:p>
            <w:pPr>
              <w:keepNext w:val="0"/>
              <w:keepLines w:val="0"/>
              <w:suppressLineNumbers w:val="0"/>
              <w:spacing w:before="0" w:beforeAutospacing="0" w:after="0" w:afterAutospacing="0" w:line="240" w:lineRule="auto"/>
              <w:ind w:left="0" w:right="0"/>
              <w:jc w:val="right"/>
              <w:rPr>
                <w:rFonts w:hint="default" w:ascii="Times New Roman" w:hAnsi="Times New Roman" w:cs="Times New Roman"/>
                <w:b/>
                <w:color w:val="auto"/>
              </w:rPr>
            </w:pPr>
            <w:r>
              <w:rPr>
                <w:rFonts w:hint="default" w:ascii="Times New Roman" w:hAnsi="Times New Roman" w:cs="Times New Roman"/>
                <w:b/>
                <w:color w:val="auto"/>
              </w:rPr>
              <w:t>时间</w:t>
            </w:r>
          </w:p>
          <w:p>
            <w:pPr>
              <w:keepNext w:val="0"/>
              <w:keepLines w:val="0"/>
              <w:suppressLineNumbers w:val="0"/>
              <w:spacing w:before="0" w:beforeAutospacing="0" w:after="0" w:afterAutospacing="0" w:line="240" w:lineRule="auto"/>
              <w:ind w:left="0" w:right="0"/>
              <w:rPr>
                <w:rFonts w:hint="default" w:ascii="Times New Roman" w:hAnsi="Times New Roman" w:cs="Times New Roman"/>
                <w:b/>
                <w:color w:val="auto"/>
              </w:rPr>
            </w:pPr>
            <w:r>
              <w:rPr>
                <w:rFonts w:hint="default" w:ascii="Times New Roman" w:hAnsi="Times New Roman" w:cs="Times New Roman"/>
                <w:b/>
                <w:color w:val="auto"/>
              </w:rPr>
              <w:t>影响因子</w:t>
            </w:r>
          </w:p>
        </w:tc>
        <w:tc>
          <w:tcPr>
            <w:tcW w:w="178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100d</w:t>
            </w:r>
          </w:p>
        </w:tc>
        <w:tc>
          <w:tcPr>
            <w:tcW w:w="122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1000d</w:t>
            </w:r>
          </w:p>
        </w:tc>
        <w:tc>
          <w:tcPr>
            <w:tcW w:w="195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破损池体</w:t>
            </w:r>
          </w:p>
        </w:tc>
        <w:tc>
          <w:tcPr>
            <w:tcW w:w="223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池体距离地下水下游厂界最近距离（m）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75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耗氧量</w:t>
            </w:r>
          </w:p>
        </w:tc>
        <w:tc>
          <w:tcPr>
            <w:tcW w:w="178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未超标</w:t>
            </w:r>
          </w:p>
        </w:tc>
        <w:tc>
          <w:tcPr>
            <w:tcW w:w="122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未超标</w:t>
            </w:r>
          </w:p>
        </w:tc>
        <w:tc>
          <w:tcPr>
            <w:tcW w:w="1954" w:type="dxa"/>
            <w:vMerge w:val="restar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cs="Times New Roman"/>
                <w:snapToGrid w:val="0"/>
                <w:color w:val="auto"/>
                <w:kern w:val="0"/>
                <w:lang w:val="en-US" w:eastAsia="zh-CN"/>
              </w:rPr>
              <w:t>粪尿收集</w:t>
            </w:r>
            <w:r>
              <w:rPr>
                <w:rFonts w:hint="default" w:ascii="Times New Roman" w:hAnsi="Times New Roman" w:cs="Times New Roman"/>
                <w:snapToGrid w:val="0"/>
                <w:color w:val="auto"/>
                <w:kern w:val="0"/>
              </w:rPr>
              <w:t>池</w:t>
            </w:r>
          </w:p>
        </w:tc>
        <w:tc>
          <w:tcPr>
            <w:tcW w:w="223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75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氨氮</w:t>
            </w:r>
          </w:p>
        </w:tc>
        <w:tc>
          <w:tcPr>
            <w:tcW w:w="178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未超标</w:t>
            </w:r>
          </w:p>
        </w:tc>
        <w:tc>
          <w:tcPr>
            <w:tcW w:w="122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未超标</w:t>
            </w:r>
          </w:p>
        </w:tc>
        <w:tc>
          <w:tcPr>
            <w:tcW w:w="195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23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rPr>
          <w:b/>
          <w:color w:val="auto"/>
          <w:sz w:val="24"/>
        </w:rPr>
      </w:pPr>
      <w:r>
        <w:rPr>
          <w:rFonts w:hint="eastAsia"/>
          <w:b/>
          <w:color w:val="auto"/>
          <w:sz w:val="24"/>
          <w:lang w:val="en-US" w:eastAsia="zh-CN"/>
        </w:rPr>
        <w:t>8、</w:t>
      </w:r>
      <w:r>
        <w:rPr>
          <w:b/>
          <w:color w:val="auto"/>
          <w:sz w:val="24"/>
        </w:rPr>
        <w:t>地下水影响评价结论</w:t>
      </w:r>
    </w:p>
    <w:p>
      <w:pPr>
        <w:tabs>
          <w:tab w:val="left" w:pos="1220"/>
        </w:tabs>
        <w:spacing w:line="360" w:lineRule="auto"/>
        <w:ind w:firstLine="504" w:firstLineChars="21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（1）正常状况下</w:t>
      </w:r>
    </w:p>
    <w:p>
      <w:pPr>
        <w:tabs>
          <w:tab w:val="left" w:pos="1220"/>
        </w:tabs>
        <w:spacing w:line="360" w:lineRule="auto"/>
        <w:ind w:firstLine="504" w:firstLineChars="21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正常状况下，项目在采取环评报告要求的对不同的区域实施分区防控进行防渗、防溢流、防泄漏等措施后，项目防渗措施系统、完整，一般情况下物料不会泄漏进入地下水系统，废水正常下渗量极小，二者对地下水均不会造成污染。</w:t>
      </w:r>
    </w:p>
    <w:p>
      <w:pPr>
        <w:tabs>
          <w:tab w:val="left" w:pos="1220"/>
        </w:tabs>
        <w:spacing w:line="360" w:lineRule="auto"/>
        <w:ind w:firstLine="504" w:firstLineChars="21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（2）非正常状况下</w:t>
      </w:r>
    </w:p>
    <w:p>
      <w:pPr>
        <w:tabs>
          <w:tab w:val="left" w:pos="1220"/>
        </w:tabs>
        <w:spacing w:line="360" w:lineRule="auto"/>
        <w:ind w:firstLine="504" w:firstLineChars="21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非正常工况下</w:t>
      </w:r>
      <w:r>
        <w:rPr>
          <w:rFonts w:hint="eastAsia" w:cs="Times New Roman"/>
          <w:color w:val="auto"/>
          <w:kern w:val="0"/>
          <w:sz w:val="24"/>
          <w:szCs w:val="24"/>
          <w:lang w:val="en-US" w:eastAsia="zh-CN"/>
        </w:rPr>
        <w:t>粪污收集池</w:t>
      </w:r>
      <w:r>
        <w:rPr>
          <w:rFonts w:hint="eastAsia" w:ascii="Times New Roman" w:hAnsi="Times New Roman" w:eastAsia="宋体" w:cs="Times New Roman"/>
          <w:color w:val="auto"/>
          <w:kern w:val="0"/>
          <w:sz w:val="24"/>
          <w:szCs w:val="24"/>
          <w:lang w:val="en-US" w:eastAsia="zh-CN"/>
        </w:rPr>
        <w:t>泄漏后COD、NH</w:t>
      </w:r>
      <w:r>
        <w:rPr>
          <w:rFonts w:hint="eastAsia" w:ascii="Times New Roman" w:hAnsi="Times New Roman" w:eastAsia="宋体" w:cs="Times New Roman"/>
          <w:color w:val="auto"/>
          <w:kern w:val="0"/>
          <w:sz w:val="24"/>
          <w:szCs w:val="24"/>
          <w:vertAlign w:val="subscript"/>
          <w:lang w:val="en-US" w:eastAsia="zh-CN"/>
        </w:rPr>
        <w:t>3</w:t>
      </w:r>
      <w:r>
        <w:rPr>
          <w:rFonts w:hint="eastAsia" w:ascii="Times New Roman" w:hAnsi="Times New Roman" w:eastAsia="宋体" w:cs="Times New Roman"/>
          <w:color w:val="auto"/>
          <w:kern w:val="0"/>
          <w:sz w:val="24"/>
          <w:szCs w:val="24"/>
          <w:lang w:val="en-US" w:eastAsia="zh-CN"/>
        </w:rPr>
        <w:t>-N存在短时超标现象，对区域地下水潜水含水层造成一定的影响，必须最好防渗措施和地下水环境监测与管理，制定地下水污染应急响应预案，避免非正常工况的发生。</w:t>
      </w:r>
    </w:p>
    <w:p>
      <w:pPr>
        <w:pStyle w:val="180"/>
        <w:rPr>
          <w:rFonts w:hint="default" w:ascii="Times New Roman" w:hAnsi="Times New Roman" w:cs="Times New Roman" w:eastAsiaTheme="majorEastAsia"/>
          <w:b/>
          <w:bCs w:val="0"/>
          <w:color w:val="auto"/>
          <w:sz w:val="24"/>
          <w:szCs w:val="24"/>
        </w:rPr>
      </w:pPr>
      <w:bookmarkStart w:id="449" w:name="_Toc27093"/>
      <w:r>
        <w:rPr>
          <w:rFonts w:hint="default" w:ascii="Times New Roman" w:hAnsi="Times New Roman" w:cs="Times New Roman" w:eastAsiaTheme="majorEastAsia"/>
          <w:b/>
          <w:bCs w:val="0"/>
          <w:color w:val="auto"/>
          <w:sz w:val="24"/>
          <w:szCs w:val="24"/>
        </w:rPr>
        <w:t>地表水环境影响分析</w:t>
      </w:r>
      <w:bookmarkEnd w:id="449"/>
    </w:p>
    <w:p>
      <w:pPr>
        <w:spacing w:line="360" w:lineRule="auto"/>
        <w:ind w:firstLine="480" w:firstLineChars="200"/>
        <w:jc w:val="both"/>
        <w:rPr>
          <w:rFonts w:ascii="Times New Roman" w:cs="Times New Roman"/>
          <w:color w:val="auto"/>
          <w:sz w:val="24"/>
          <w:szCs w:val="24"/>
        </w:rPr>
      </w:pPr>
      <w:r>
        <w:rPr>
          <w:rFonts w:hint="eastAsia" w:ascii="Times New Roman" w:cs="Times New Roman"/>
          <w:color w:val="auto"/>
          <w:sz w:val="24"/>
          <w:szCs w:val="24"/>
        </w:rPr>
        <w:t>拟建项目采用发酵床处理生活污水、养殖废水，发酵床是指</w:t>
      </w:r>
      <w:r>
        <w:rPr>
          <w:rFonts w:hint="eastAsia" w:cs="Times New Roman"/>
          <w:color w:val="auto"/>
          <w:sz w:val="24"/>
          <w:szCs w:val="24"/>
          <w:lang w:val="en-US" w:eastAsia="zh-CN"/>
        </w:rPr>
        <w:t>将</w:t>
      </w:r>
      <w:r>
        <w:rPr>
          <w:rFonts w:hint="eastAsia" w:ascii="Times New Roman" w:cs="Times New Roman"/>
          <w:color w:val="auto"/>
          <w:sz w:val="24"/>
          <w:szCs w:val="24"/>
        </w:rPr>
        <w:t>垫料铺在发酵舍内，</w:t>
      </w:r>
      <w:r>
        <w:rPr>
          <w:rFonts w:hint="eastAsia" w:cs="Times New Roman"/>
          <w:color w:val="auto"/>
          <w:sz w:val="24"/>
          <w:szCs w:val="24"/>
          <w:lang w:val="en-US" w:eastAsia="zh-CN"/>
        </w:rPr>
        <w:t>牛</w:t>
      </w:r>
      <w:r>
        <w:rPr>
          <w:rFonts w:hint="eastAsia" w:ascii="Times New Roman" w:cs="Times New Roman"/>
          <w:color w:val="auto"/>
          <w:sz w:val="24"/>
          <w:szCs w:val="24"/>
        </w:rPr>
        <w:t>粪污收集后利用潜水泵均匀喷在垫料上进行生物菌发酵的粪污处理方法。将养殖的排泄物收集后，通过搅拌、翻耙等，与谷壳、木屑等按一定比例充分混合，加入适宜的专用菌种，进行充分发酵，中心发酵层温度可达</w:t>
      </w:r>
      <w:r>
        <w:rPr>
          <w:rFonts w:ascii="Times New Roman" w:cs="Times New Roman"/>
          <w:color w:val="auto"/>
          <w:sz w:val="24"/>
          <w:szCs w:val="24"/>
        </w:rPr>
        <w:t>60</w:t>
      </w:r>
      <w:r>
        <w:rPr>
          <w:rFonts w:hint="eastAsia" w:ascii="Times New Roman" w:cs="Times New Roman"/>
          <w:color w:val="auto"/>
          <w:sz w:val="24"/>
          <w:szCs w:val="24"/>
        </w:rPr>
        <w:t>℃以上，通过水分蒸发、有机物分解成气体，使猪粪、尿等有机物质得到充分的分解和转化，最终作为有机肥外卖，实现废水零排放。</w:t>
      </w:r>
    </w:p>
    <w:p>
      <w:pPr>
        <w:spacing w:line="360" w:lineRule="auto"/>
        <w:ind w:firstLine="480" w:firstLineChars="200"/>
        <w:jc w:val="both"/>
        <w:rPr>
          <w:rFonts w:ascii="宋体" w:eastAsia="宋体" w:cs="宋体"/>
          <w:color w:val="auto"/>
          <w:kern w:val="0"/>
          <w:sz w:val="24"/>
          <w:szCs w:val="24"/>
        </w:rPr>
      </w:pPr>
      <w:r>
        <w:rPr>
          <w:rFonts w:hint="eastAsia" w:ascii="Times New Roman" w:cs="Times New Roman"/>
          <w:color w:val="auto"/>
          <w:sz w:val="24"/>
          <w:szCs w:val="24"/>
        </w:rPr>
        <w:t>采取以上措施后，项目产生的污废水不外排，不会对周围地表水环境产生较大的影响。</w:t>
      </w:r>
    </w:p>
    <w:p>
      <w:pPr>
        <w:pStyle w:val="180"/>
        <w:rPr>
          <w:rFonts w:hint="default" w:ascii="Times New Roman" w:hAnsi="Times New Roman" w:cs="Times New Roman" w:eastAsiaTheme="majorEastAsia"/>
          <w:b/>
          <w:bCs w:val="0"/>
          <w:color w:val="auto"/>
          <w:sz w:val="24"/>
          <w:szCs w:val="24"/>
        </w:rPr>
      </w:pPr>
      <w:bookmarkStart w:id="450" w:name="_Toc30525"/>
      <w:r>
        <w:rPr>
          <w:rFonts w:hint="default" w:ascii="Times New Roman" w:hAnsi="Times New Roman" w:cs="Times New Roman" w:eastAsiaTheme="majorEastAsia"/>
          <w:b/>
          <w:bCs w:val="0"/>
          <w:color w:val="auto"/>
          <w:sz w:val="24"/>
          <w:szCs w:val="24"/>
        </w:rPr>
        <w:t>大气环境影响分析</w:t>
      </w:r>
      <w:bookmarkEnd w:id="450"/>
    </w:p>
    <w:p>
      <w:pPr>
        <w:spacing w:line="360" w:lineRule="auto"/>
        <w:ind w:firstLine="480" w:firstLineChars="200"/>
        <w:rPr>
          <w:rFonts w:ascii="宋体" w:hAnsi="宋体" w:cs="宋体"/>
          <w:color w:val="auto"/>
          <w:sz w:val="24"/>
        </w:rPr>
      </w:pPr>
      <w:r>
        <w:rPr>
          <w:rFonts w:hint="eastAsia" w:ascii="宋体" w:hAnsi="宋体" w:cs="宋体"/>
          <w:color w:val="auto"/>
          <w:sz w:val="24"/>
        </w:rPr>
        <w:t>1、大气影响估算模式预测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结合项目工程分析结果，选择正常排放的主要污染物及排放参数，采用《环境影响评价技术导则 大气环境》(HJ2.2-2018)附录A推荐模型中的AERSCREEN模式计算项目污染源的最大环境影响。</w:t>
      </w:r>
    </w:p>
    <w:p>
      <w:pPr>
        <w:pStyle w:val="1244"/>
        <w:rPr>
          <w:rFonts w:hAnsi="宋体" w:cs="宋体"/>
          <w:color w:val="auto"/>
        </w:rPr>
      </w:pPr>
      <w:r>
        <w:rPr>
          <w:rFonts w:hint="eastAsia" w:hAnsi="宋体" w:cs="宋体"/>
          <w:color w:val="auto"/>
        </w:rPr>
        <w:t>（1）评价因子和评价标准</w:t>
      </w:r>
    </w:p>
    <w:p>
      <w:pPr>
        <w:pStyle w:val="35"/>
        <w:adjustRightInd/>
        <w:ind w:firstLine="480" w:firstLineChars="200"/>
        <w:rPr>
          <w:rFonts w:ascii="宋体" w:hAnsi="宋体" w:cs="宋体"/>
          <w:color w:val="auto"/>
          <w:szCs w:val="24"/>
        </w:rPr>
      </w:pPr>
      <w:r>
        <w:rPr>
          <w:rFonts w:hint="eastAsia" w:ascii="宋体" w:hAnsi="宋体" w:cs="宋体"/>
          <w:color w:val="auto"/>
          <w:szCs w:val="24"/>
        </w:rPr>
        <w:t>本项目评价因子和评价标准见下</w:t>
      </w:r>
      <w:r>
        <w:rPr>
          <w:rFonts w:hint="default" w:ascii="Times New Roman" w:hAnsi="Times New Roman" w:cs="Times New Roman"/>
          <w:color w:val="auto"/>
          <w:szCs w:val="24"/>
        </w:rPr>
        <w:t>表</w:t>
      </w:r>
      <w:r>
        <w:rPr>
          <w:rFonts w:hint="eastAsia" w:cs="Times New Roman"/>
          <w:color w:val="auto"/>
          <w:szCs w:val="24"/>
          <w:lang w:val="en-US" w:eastAsia="zh-CN"/>
        </w:rPr>
        <w:t>5</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w:t>
      </w:r>
      <w:r>
        <w:rPr>
          <w:rFonts w:hint="eastAsia" w:cs="Times New Roman"/>
          <w:color w:val="auto"/>
          <w:szCs w:val="24"/>
          <w:lang w:val="en-US" w:eastAsia="zh-CN"/>
        </w:rPr>
        <w:t>8</w:t>
      </w:r>
      <w:r>
        <w:rPr>
          <w:rFonts w:hint="default" w:ascii="Times New Roman" w:hAnsi="Times New Roman" w:cs="Times New Roman"/>
          <w:color w:val="auto"/>
          <w:szCs w:val="24"/>
        </w:rPr>
        <w:t>。</w:t>
      </w:r>
    </w:p>
    <w:p>
      <w:pPr>
        <w:jc w:val="center"/>
        <w:rPr>
          <w:rFonts w:hint="eastAsia" w:eastAsia="黑体"/>
          <w:color w:val="auto"/>
          <w:szCs w:val="21"/>
        </w:rPr>
      </w:pPr>
      <w:r>
        <w:rPr>
          <w:rFonts w:hint="eastAsia" w:eastAsia="黑体"/>
          <w:color w:val="auto"/>
          <w:szCs w:val="21"/>
        </w:rPr>
        <w:t>表</w:t>
      </w:r>
      <w:r>
        <w:rPr>
          <w:rFonts w:hint="eastAsia" w:eastAsia="黑体"/>
          <w:color w:val="auto"/>
          <w:szCs w:val="21"/>
          <w:lang w:val="en-US" w:eastAsia="zh-CN"/>
        </w:rPr>
        <w:t>5.2-8</w:t>
      </w:r>
      <w:r>
        <w:rPr>
          <w:rFonts w:hint="eastAsia" w:eastAsia="黑体"/>
          <w:color w:val="auto"/>
          <w:szCs w:val="21"/>
        </w:rPr>
        <w:t xml:space="preserve">  评价因子和评价标准</w:t>
      </w:r>
    </w:p>
    <w:tbl>
      <w:tblPr>
        <w:tblStyle w:val="89"/>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39"/>
        <w:gridCol w:w="2151"/>
        <w:gridCol w:w="3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808" w:type="dxa"/>
            <w:tcBorders>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b/>
                <w:bCs/>
                <w:color w:val="auto"/>
              </w:rPr>
            </w:pPr>
            <w:r>
              <w:rPr>
                <w:rFonts w:hint="default" w:ascii="Times New Roman" w:hAnsi="宋体"/>
                <w:b/>
                <w:bCs/>
                <w:color w:val="auto"/>
              </w:rPr>
              <w:t>评价因子</w:t>
            </w:r>
          </w:p>
        </w:tc>
        <w:tc>
          <w:tcPr>
            <w:tcW w:w="1839" w:type="dxa"/>
            <w:tcBorders>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b/>
                <w:bCs/>
                <w:color w:val="auto"/>
              </w:rPr>
            </w:pPr>
            <w:r>
              <w:rPr>
                <w:rFonts w:hint="default" w:ascii="Times New Roman" w:hAnsi="宋体"/>
                <w:b/>
                <w:bCs/>
                <w:color w:val="auto"/>
              </w:rPr>
              <w:t>平均时段</w:t>
            </w:r>
          </w:p>
        </w:tc>
        <w:tc>
          <w:tcPr>
            <w:tcW w:w="2151" w:type="dxa"/>
            <w:tcBorders>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b/>
                <w:bCs/>
                <w:color w:val="auto"/>
              </w:rPr>
            </w:pPr>
            <w:r>
              <w:rPr>
                <w:rFonts w:hint="default" w:ascii="Times New Roman" w:hAnsi="宋体"/>
                <w:b/>
                <w:bCs/>
                <w:color w:val="auto"/>
              </w:rPr>
              <w:t>标准限值</w:t>
            </w:r>
          </w:p>
        </w:tc>
        <w:tc>
          <w:tcPr>
            <w:tcW w:w="3432" w:type="dxa"/>
            <w:tcBorders>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b/>
                <w:bCs/>
                <w:color w:val="auto"/>
              </w:rPr>
            </w:pPr>
            <w:r>
              <w:rPr>
                <w:rFonts w:hint="default" w:ascii="Times New Roman" w:hAnsi="宋体"/>
                <w:b/>
                <w:bCs/>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8" w:type="dxa"/>
            <w:tcBorders>
              <w:bottom w:val="single" w:color="000000" w:sz="4" w:space="0"/>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color w:val="auto"/>
              </w:rPr>
            </w:pPr>
            <w:r>
              <w:rPr>
                <w:rFonts w:hint="eastAsia" w:ascii="Times New Roman" w:hAnsi="Times New Roman"/>
                <w:color w:val="auto"/>
              </w:rPr>
              <w:t>氨</w:t>
            </w:r>
          </w:p>
        </w:tc>
        <w:tc>
          <w:tcPr>
            <w:tcW w:w="1839" w:type="dxa"/>
            <w:tcBorders>
              <w:bottom w:val="single" w:color="000000" w:sz="4" w:space="0"/>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color w:val="auto"/>
              </w:rPr>
            </w:pPr>
            <w:r>
              <w:rPr>
                <w:rFonts w:hint="eastAsia" w:ascii="Times New Roman" w:hAnsi="Times New Roman"/>
                <w:color w:val="auto"/>
              </w:rPr>
              <w:t>1小时平均</w:t>
            </w:r>
          </w:p>
        </w:tc>
        <w:tc>
          <w:tcPr>
            <w:tcW w:w="2151" w:type="dxa"/>
            <w:tcBorders>
              <w:bottom w:val="single" w:color="000000" w:sz="4" w:space="0"/>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color w:val="auto"/>
              </w:rPr>
            </w:pPr>
            <w:r>
              <w:rPr>
                <w:rFonts w:hint="eastAsia" w:ascii="Times New Roman" w:hAnsi="Times New Roman"/>
                <w:color w:val="auto"/>
              </w:rPr>
              <w:t>200</w:t>
            </w:r>
            <w:r>
              <w:rPr>
                <w:rFonts w:hint="default" w:ascii="Times New Roman" w:hAnsi="Times New Roman"/>
                <w:color w:val="auto"/>
              </w:rPr>
              <w:t>µg/m</w:t>
            </w:r>
            <w:r>
              <w:rPr>
                <w:rFonts w:hint="default" w:ascii="Times New Roman" w:hAnsi="Times New Roman"/>
                <w:color w:val="auto"/>
                <w:vertAlign w:val="superscript"/>
              </w:rPr>
              <w:t>3</w:t>
            </w:r>
          </w:p>
        </w:tc>
        <w:tc>
          <w:tcPr>
            <w:tcW w:w="3432" w:type="dxa"/>
            <w:vMerge w:val="restart"/>
            <w:tcBorders>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color w:val="auto"/>
              </w:rPr>
            </w:pPr>
            <w:r>
              <w:rPr>
                <w:rFonts w:hint="default" w:ascii="Times New Roman" w:hAnsi="宋体"/>
                <w:color w:val="auto"/>
              </w:rPr>
              <w:t>《环境影响评价技术导则大气环境》（</w:t>
            </w:r>
            <w:r>
              <w:rPr>
                <w:rFonts w:hint="default" w:ascii="Times New Roman" w:hAnsi="Times New Roman"/>
                <w:color w:val="auto"/>
              </w:rPr>
              <w:t>HJ2.2-2018</w:t>
            </w:r>
            <w:r>
              <w:rPr>
                <w:rFonts w:hint="default" w:ascii="Times New Roman" w:hAnsi="宋体"/>
                <w:color w:val="auto"/>
              </w:rPr>
              <w:t>）附录</w:t>
            </w:r>
            <w:r>
              <w:rPr>
                <w:rFonts w:hint="default" w:ascii="Times New Roman" w:hAnsi="Times New Roman"/>
                <w:color w:val="auto"/>
              </w:rPr>
              <w:t>D</w:t>
            </w:r>
            <w:r>
              <w:rPr>
                <w:rFonts w:hint="default" w:ascii="Times New Roman" w:hAnsi="宋体"/>
                <w:color w:val="auto"/>
              </w:rPr>
              <w:t>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808" w:type="dxa"/>
            <w:tcBorders>
              <w:top w:val="single" w:color="000000" w:sz="4" w:space="0"/>
              <w:bottom w:val="single" w:color="000000" w:sz="4" w:space="0"/>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color w:val="auto"/>
              </w:rPr>
            </w:pPr>
            <w:r>
              <w:rPr>
                <w:rFonts w:hint="eastAsia" w:ascii="Times New Roman" w:hAnsi="Times New Roman"/>
                <w:color w:val="auto"/>
              </w:rPr>
              <w:t>硫化氢</w:t>
            </w:r>
          </w:p>
        </w:tc>
        <w:tc>
          <w:tcPr>
            <w:tcW w:w="1839" w:type="dxa"/>
            <w:tcBorders>
              <w:top w:val="single" w:color="000000" w:sz="4" w:space="0"/>
              <w:bottom w:val="single" w:color="000000" w:sz="4" w:space="0"/>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color w:val="auto"/>
              </w:rPr>
            </w:pPr>
            <w:r>
              <w:rPr>
                <w:rFonts w:hint="eastAsia" w:ascii="Times New Roman" w:hAnsi="Times New Roman"/>
                <w:color w:val="auto"/>
              </w:rPr>
              <w:t>1小时平均</w:t>
            </w:r>
          </w:p>
        </w:tc>
        <w:tc>
          <w:tcPr>
            <w:tcW w:w="2151" w:type="dxa"/>
            <w:tcBorders>
              <w:top w:val="single" w:color="000000" w:sz="4" w:space="0"/>
              <w:bottom w:val="single" w:color="000000" w:sz="4" w:space="0"/>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color w:val="auto"/>
              </w:rPr>
            </w:pPr>
            <w:r>
              <w:rPr>
                <w:rFonts w:hint="eastAsia" w:ascii="Times New Roman" w:hAnsi="Times New Roman"/>
                <w:color w:val="auto"/>
              </w:rPr>
              <w:t>10</w:t>
            </w:r>
            <w:r>
              <w:rPr>
                <w:rFonts w:hint="default" w:ascii="Times New Roman" w:hAnsi="Times New Roman"/>
                <w:color w:val="auto"/>
              </w:rPr>
              <w:t>µg/m</w:t>
            </w:r>
            <w:r>
              <w:rPr>
                <w:rFonts w:hint="default" w:ascii="Times New Roman" w:hAnsi="Times New Roman"/>
                <w:color w:val="auto"/>
                <w:vertAlign w:val="superscript"/>
              </w:rPr>
              <w:t>3</w:t>
            </w:r>
          </w:p>
        </w:tc>
        <w:tc>
          <w:tcPr>
            <w:tcW w:w="3432" w:type="dxa"/>
            <w:vMerge w:val="continue"/>
            <w:tcBorders>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808" w:type="dxa"/>
            <w:tcBorders>
              <w:top w:val="single" w:color="000000" w:sz="4" w:space="0"/>
              <w:bottom w:val="single" w:color="000000" w:sz="4" w:space="0"/>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TSP</w:t>
            </w:r>
          </w:p>
        </w:tc>
        <w:tc>
          <w:tcPr>
            <w:tcW w:w="1839" w:type="dxa"/>
            <w:tcBorders>
              <w:top w:val="single" w:color="000000" w:sz="4" w:space="0"/>
              <w:bottom w:val="single" w:color="000000" w:sz="4" w:space="0"/>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rPr>
              <w:t>1小时平均</w:t>
            </w:r>
          </w:p>
        </w:tc>
        <w:tc>
          <w:tcPr>
            <w:tcW w:w="2151" w:type="dxa"/>
            <w:tcBorders>
              <w:top w:val="single" w:color="000000" w:sz="4" w:space="0"/>
              <w:bottom w:val="single" w:color="000000" w:sz="4" w:space="0"/>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900</w:t>
            </w:r>
            <w:r>
              <w:rPr>
                <w:rFonts w:hint="default"/>
                <w:color w:val="auto"/>
                <w:kern w:val="0"/>
                <w:szCs w:val="21"/>
                <w:vertAlign w:val="superscript"/>
              </w:rPr>
              <w:t>①</w:t>
            </w:r>
            <w:r>
              <w:rPr>
                <w:rFonts w:hint="default" w:ascii="Times New Roman" w:hAnsi="Times New Roman"/>
                <w:color w:val="auto"/>
              </w:rPr>
              <w:t>µg/m</w:t>
            </w:r>
            <w:r>
              <w:rPr>
                <w:rFonts w:hint="default" w:ascii="Times New Roman" w:hAnsi="Times New Roman"/>
                <w:color w:val="auto"/>
                <w:vertAlign w:val="superscript"/>
              </w:rPr>
              <w:t>3</w:t>
            </w:r>
          </w:p>
        </w:tc>
        <w:tc>
          <w:tcPr>
            <w:tcW w:w="3432" w:type="dxa"/>
            <w:tcBorders>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宋体"/>
                <w:color w:val="auto"/>
              </w:rPr>
            </w:pPr>
            <w:r>
              <w:rPr>
                <w:rFonts w:hint="default" w:ascii="Times New Roman" w:hAnsi="Times New Roman" w:cs="Times New Roman"/>
                <w:color w:val="auto"/>
                <w:kern w:val="0"/>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30" w:type="dxa"/>
            <w:gridSpan w:val="4"/>
            <w:tcBorders>
              <w:top w:val="single" w:color="000000" w:sz="4" w:space="0"/>
              <w:tl2br w:val="nil"/>
              <w:tr2bl w:val="nil"/>
            </w:tcBorders>
            <w:vAlign w:val="center"/>
          </w:tcPr>
          <w:p>
            <w:pPr>
              <w:pStyle w:val="46"/>
              <w:keepNext w:val="0"/>
              <w:keepLines w:val="0"/>
              <w:suppressLineNumbers w:val="0"/>
              <w:spacing w:before="0" w:beforeAutospacing="0" w:after="0" w:afterAutospacing="0"/>
              <w:ind w:left="-63" w:leftChars="-30" w:right="-63" w:rightChars="-3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注：TSP为24h平均值，评价等级判定采用24h平均值的3倍，即900ug/m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折算为1h平均质量浓度限值。</w:t>
            </w:r>
          </w:p>
        </w:tc>
      </w:tr>
    </w:tbl>
    <w:p>
      <w:pPr>
        <w:pStyle w:val="1244"/>
        <w:rPr>
          <w:rFonts w:hAnsi="宋体" w:cs="宋体"/>
          <w:color w:val="auto"/>
        </w:rPr>
      </w:pPr>
      <w:r>
        <w:rPr>
          <w:rFonts w:hint="eastAsia" w:hAnsi="宋体" w:cs="宋体"/>
          <w:color w:val="auto"/>
        </w:rPr>
        <w:t>（2）主要废气污染源参数</w:t>
      </w:r>
    </w:p>
    <w:p>
      <w:pPr>
        <w:spacing w:line="360" w:lineRule="auto"/>
        <w:ind w:firstLine="480" w:firstLineChars="200"/>
        <w:rPr>
          <w:color w:val="auto"/>
          <w:sz w:val="24"/>
        </w:rPr>
      </w:pPr>
      <w:r>
        <w:rPr>
          <w:color w:val="auto"/>
          <w:sz w:val="24"/>
        </w:rPr>
        <w:t>本项目源强参数见</w:t>
      </w:r>
      <w:r>
        <w:rPr>
          <w:rFonts w:hint="eastAsia"/>
          <w:color w:val="auto"/>
          <w:sz w:val="24"/>
          <w:lang w:val="en-US" w:eastAsia="zh-CN"/>
        </w:rPr>
        <w:t>下表</w:t>
      </w:r>
      <w:r>
        <w:rPr>
          <w:color w:val="auto"/>
          <w:sz w:val="24"/>
        </w:rPr>
        <w:t>。</w:t>
      </w:r>
    </w:p>
    <w:p>
      <w:pPr>
        <w:jc w:val="center"/>
        <w:rPr>
          <w:rFonts w:ascii="Times New Roman" w:hAnsi="Times New Roman" w:eastAsia="黑体" w:cs="Times New Roman"/>
          <w:color w:val="auto"/>
          <w:szCs w:val="21"/>
        </w:rPr>
      </w:pPr>
      <w:r>
        <w:rPr>
          <w:rFonts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5.2</w:t>
      </w:r>
      <w:r>
        <w:rPr>
          <w:rFonts w:ascii="Times New Roman" w:hAnsi="Times New Roman" w:eastAsia="黑体" w:cs="Times New Roman"/>
          <w:color w:val="auto"/>
          <w:szCs w:val="21"/>
        </w:rPr>
        <w:t>-</w:t>
      </w:r>
      <w:r>
        <w:rPr>
          <w:rFonts w:hint="eastAsia" w:eastAsia="黑体" w:cs="Times New Roman"/>
          <w:color w:val="auto"/>
          <w:szCs w:val="21"/>
          <w:lang w:val="en-US" w:eastAsia="zh-CN"/>
        </w:rPr>
        <w:t>9</w:t>
      </w:r>
      <w:r>
        <w:rPr>
          <w:rFonts w:ascii="Times New Roman" w:hAnsi="Times New Roman" w:eastAsia="黑体" w:cs="Times New Roman"/>
          <w:color w:val="auto"/>
          <w:szCs w:val="21"/>
        </w:rPr>
        <w:t xml:space="preserve">  项目点源</w:t>
      </w:r>
      <w:r>
        <w:rPr>
          <w:rFonts w:eastAsia="黑体"/>
          <w:color w:val="auto"/>
          <w:szCs w:val="21"/>
        </w:rPr>
        <w:t>一览表</w:t>
      </w:r>
    </w:p>
    <w:tbl>
      <w:tblPr>
        <w:tblStyle w:val="89"/>
        <w:tblW w:w="83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22"/>
        <w:gridCol w:w="726"/>
        <w:gridCol w:w="1025"/>
        <w:gridCol w:w="855"/>
        <w:gridCol w:w="1032"/>
        <w:gridCol w:w="667"/>
        <w:gridCol w:w="843"/>
        <w:gridCol w:w="686"/>
        <w:gridCol w:w="563"/>
        <w:gridCol w:w="448"/>
        <w:gridCol w:w="656"/>
        <w:gridCol w:w="5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编号</w:t>
            </w:r>
          </w:p>
        </w:tc>
        <w:tc>
          <w:tcPr>
            <w:tcW w:w="726"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名称</w:t>
            </w:r>
          </w:p>
        </w:tc>
        <w:tc>
          <w:tcPr>
            <w:tcW w:w="18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排气筒底部中心坐标</w:t>
            </w:r>
          </w:p>
        </w:tc>
        <w:tc>
          <w:tcPr>
            <w:tcW w:w="10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排气筒底部海拔高度/m</w:t>
            </w:r>
          </w:p>
        </w:tc>
        <w:tc>
          <w:tcPr>
            <w:tcW w:w="6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排气筒高度/m</w:t>
            </w:r>
          </w:p>
        </w:tc>
        <w:tc>
          <w:tcPr>
            <w:tcW w:w="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排气筒出口内径/m</w:t>
            </w:r>
          </w:p>
        </w:tc>
        <w:tc>
          <w:tcPr>
            <w:tcW w:w="6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烟气量/(m</w:t>
            </w:r>
            <w:r>
              <w:rPr>
                <w:rFonts w:hint="default"/>
                <w:b/>
                <w:color w:val="auto"/>
                <w:sz w:val="21"/>
                <w:szCs w:val="21"/>
                <w:vertAlign w:val="superscript"/>
              </w:rPr>
              <w:t>3</w:t>
            </w:r>
            <w:r>
              <w:rPr>
                <w:rFonts w:hint="default"/>
                <w:b/>
                <w:color w:val="auto"/>
                <w:sz w:val="21"/>
                <w:szCs w:val="21"/>
              </w:rPr>
              <w:t>/h)</w:t>
            </w:r>
          </w:p>
        </w:tc>
        <w:tc>
          <w:tcPr>
            <w:tcW w:w="5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烟气温度/℃</w:t>
            </w:r>
          </w:p>
        </w:tc>
        <w:tc>
          <w:tcPr>
            <w:tcW w:w="4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年排放小时数/h</w:t>
            </w:r>
          </w:p>
        </w:tc>
        <w:tc>
          <w:tcPr>
            <w:tcW w:w="6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排放工况</w:t>
            </w:r>
          </w:p>
        </w:tc>
        <w:tc>
          <w:tcPr>
            <w:tcW w:w="511"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污染物排放速率/(</w:t>
            </w:r>
            <w:r>
              <w:rPr>
                <w:rFonts w:hint="eastAsia"/>
                <w:b/>
                <w:color w:val="auto"/>
                <w:sz w:val="21"/>
                <w:szCs w:val="21"/>
                <w:lang w:val="en-US" w:eastAsia="zh-CN"/>
              </w:rPr>
              <w:t>k</w:t>
            </w:r>
            <w:r>
              <w:rPr>
                <w:rFonts w:hint="default"/>
                <w:b/>
                <w:color w:val="auto"/>
                <w:sz w:val="21"/>
                <w:szCs w:val="21"/>
              </w:rPr>
              <w:t>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322"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21"/>
                <w:szCs w:val="21"/>
              </w:rPr>
            </w:pPr>
          </w:p>
        </w:tc>
        <w:tc>
          <w:tcPr>
            <w:tcW w:w="726" w:type="dxa"/>
            <w:vMerge w:val="continue"/>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21"/>
                <w:szCs w:val="21"/>
              </w:rPr>
            </w:pPr>
          </w:p>
        </w:tc>
        <w:tc>
          <w:tcPr>
            <w:tcW w:w="1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经度（°）</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21"/>
                <w:szCs w:val="21"/>
              </w:rPr>
            </w:pPr>
            <w:r>
              <w:rPr>
                <w:rFonts w:hint="default"/>
                <w:b/>
                <w:color w:val="auto"/>
                <w:sz w:val="21"/>
                <w:szCs w:val="21"/>
              </w:rPr>
              <w:t>纬度（°）</w:t>
            </w:r>
          </w:p>
        </w:tc>
        <w:tc>
          <w:tcPr>
            <w:tcW w:w="1032"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18"/>
                <w:szCs w:val="18"/>
              </w:rPr>
            </w:pPr>
          </w:p>
        </w:tc>
        <w:tc>
          <w:tcPr>
            <w:tcW w:w="667"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18"/>
                <w:szCs w:val="18"/>
              </w:rPr>
            </w:pPr>
          </w:p>
        </w:tc>
        <w:tc>
          <w:tcPr>
            <w:tcW w:w="843"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18"/>
                <w:szCs w:val="18"/>
              </w:rPr>
            </w:pPr>
          </w:p>
        </w:tc>
        <w:tc>
          <w:tcPr>
            <w:tcW w:w="686"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18"/>
                <w:szCs w:val="18"/>
              </w:rPr>
            </w:pPr>
          </w:p>
        </w:tc>
        <w:tc>
          <w:tcPr>
            <w:tcW w:w="563"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18"/>
                <w:szCs w:val="18"/>
              </w:rPr>
            </w:pPr>
          </w:p>
        </w:tc>
        <w:tc>
          <w:tcPr>
            <w:tcW w:w="448"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18"/>
                <w:szCs w:val="18"/>
              </w:rPr>
            </w:pPr>
          </w:p>
        </w:tc>
        <w:tc>
          <w:tcPr>
            <w:tcW w:w="656"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60" w:lineRule="exact"/>
              <w:ind w:left="0" w:right="0"/>
              <w:jc w:val="left"/>
              <w:rPr>
                <w:rFonts w:hint="default"/>
                <w:b/>
                <w:color w:val="auto"/>
                <w:sz w:val="18"/>
                <w:szCs w:val="18"/>
              </w:rPr>
            </w:pPr>
          </w:p>
        </w:tc>
        <w:tc>
          <w:tcPr>
            <w:tcW w:w="51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b/>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90" w:hRule="atLeast"/>
          <w:jc w:val="center"/>
        </w:trPr>
        <w:tc>
          <w:tcPr>
            <w:tcW w:w="322"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eastAsia="宋体"/>
                <w:color w:val="auto"/>
                <w:sz w:val="21"/>
                <w:szCs w:val="21"/>
                <w:lang w:val="en-US" w:eastAsia="zh-CN"/>
              </w:rPr>
            </w:pPr>
            <w:r>
              <w:rPr>
                <w:rFonts w:hint="eastAsia"/>
                <w:color w:val="auto"/>
                <w:sz w:val="21"/>
                <w:szCs w:val="21"/>
                <w:lang w:val="en-US" w:eastAsia="zh-CN"/>
              </w:rPr>
              <w:t>DA001</w:t>
            </w:r>
          </w:p>
        </w:tc>
        <w:tc>
          <w:tcPr>
            <w:tcW w:w="726" w:type="dxa"/>
            <w:tcBorders>
              <w:left w:val="nil"/>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TSP</w:t>
            </w:r>
          </w:p>
        </w:tc>
        <w:tc>
          <w:tcPr>
            <w:tcW w:w="1025"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eastAsia="宋体"/>
                <w:color w:val="auto"/>
                <w:kern w:val="0"/>
                <w:sz w:val="21"/>
                <w:szCs w:val="21"/>
                <w:lang w:val="en-US" w:eastAsia="zh-CN"/>
              </w:rPr>
            </w:pPr>
            <w:r>
              <w:rPr>
                <w:rFonts w:hint="default"/>
                <w:color w:val="auto"/>
                <w:kern w:val="0"/>
                <w:sz w:val="21"/>
                <w:szCs w:val="21"/>
              </w:rPr>
              <w:t>10</w:t>
            </w:r>
            <w:r>
              <w:rPr>
                <w:rFonts w:hint="eastAsia"/>
                <w:color w:val="auto"/>
                <w:kern w:val="0"/>
                <w:sz w:val="21"/>
                <w:szCs w:val="21"/>
                <w:lang w:val="en-US" w:eastAsia="zh-CN"/>
              </w:rPr>
              <w:t>6.618310</w:t>
            </w:r>
          </w:p>
        </w:tc>
        <w:tc>
          <w:tcPr>
            <w:tcW w:w="855"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eastAsia="宋体"/>
                <w:color w:val="auto"/>
                <w:kern w:val="0"/>
                <w:sz w:val="21"/>
                <w:szCs w:val="21"/>
                <w:lang w:val="en-US" w:eastAsia="zh-CN"/>
              </w:rPr>
            </w:pPr>
            <w:r>
              <w:rPr>
                <w:rFonts w:hint="default"/>
                <w:color w:val="auto"/>
                <w:kern w:val="0"/>
                <w:sz w:val="21"/>
                <w:szCs w:val="21"/>
              </w:rPr>
              <w:t>31.</w:t>
            </w:r>
            <w:r>
              <w:rPr>
                <w:rFonts w:hint="eastAsia"/>
                <w:color w:val="auto"/>
                <w:kern w:val="0"/>
                <w:sz w:val="21"/>
                <w:szCs w:val="21"/>
                <w:lang w:val="en-US" w:eastAsia="zh-CN"/>
              </w:rPr>
              <w:t>531458</w:t>
            </w:r>
          </w:p>
        </w:tc>
        <w:tc>
          <w:tcPr>
            <w:tcW w:w="1032"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color w:val="auto"/>
                <w:sz w:val="21"/>
                <w:szCs w:val="21"/>
                <w:lang w:val="en-US"/>
              </w:rPr>
            </w:pPr>
            <w:r>
              <w:rPr>
                <w:rFonts w:hint="eastAsia"/>
                <w:color w:val="auto"/>
                <w:kern w:val="0"/>
                <w:lang w:val="en-US" w:eastAsia="zh-CN"/>
              </w:rPr>
              <w:t>453</w:t>
            </w:r>
          </w:p>
        </w:tc>
        <w:tc>
          <w:tcPr>
            <w:tcW w:w="667"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15</w:t>
            </w:r>
          </w:p>
        </w:tc>
        <w:tc>
          <w:tcPr>
            <w:tcW w:w="843"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r>
              <w:rPr>
                <w:rFonts w:hint="eastAsia"/>
                <w:color w:val="auto"/>
                <w:sz w:val="21"/>
                <w:szCs w:val="21"/>
                <w:lang w:val="en-US" w:eastAsia="zh-CN"/>
              </w:rPr>
              <w:t>4</w:t>
            </w:r>
          </w:p>
        </w:tc>
        <w:tc>
          <w:tcPr>
            <w:tcW w:w="686"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eastAsia="宋体"/>
                <w:color w:val="auto"/>
                <w:sz w:val="21"/>
                <w:szCs w:val="21"/>
                <w:lang w:val="en-US" w:eastAsia="zh-CN"/>
              </w:rPr>
            </w:pPr>
            <w:r>
              <w:rPr>
                <w:rFonts w:hint="eastAsia"/>
                <w:color w:val="auto"/>
                <w:sz w:val="21"/>
                <w:szCs w:val="21"/>
                <w:lang w:val="en-US" w:eastAsia="zh-CN"/>
              </w:rPr>
              <w:t>3000</w:t>
            </w:r>
          </w:p>
        </w:tc>
        <w:tc>
          <w:tcPr>
            <w:tcW w:w="563"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eastAsia="宋体"/>
                <w:color w:val="auto"/>
                <w:sz w:val="21"/>
                <w:szCs w:val="21"/>
                <w:lang w:val="en-US" w:eastAsia="zh-CN"/>
              </w:rPr>
            </w:pPr>
            <w:r>
              <w:rPr>
                <w:rFonts w:hint="eastAsia"/>
                <w:color w:val="auto"/>
                <w:sz w:val="21"/>
                <w:szCs w:val="21"/>
                <w:lang w:val="en-US" w:eastAsia="zh-CN"/>
              </w:rPr>
              <w:t>20</w:t>
            </w:r>
          </w:p>
        </w:tc>
        <w:tc>
          <w:tcPr>
            <w:tcW w:w="448"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eastAsia="宋体"/>
                <w:color w:val="auto"/>
                <w:sz w:val="21"/>
                <w:szCs w:val="21"/>
                <w:lang w:val="en-US" w:eastAsia="zh-CN"/>
              </w:rPr>
            </w:pPr>
            <w:r>
              <w:rPr>
                <w:rFonts w:hint="eastAsia"/>
                <w:color w:val="auto"/>
                <w:sz w:val="21"/>
                <w:szCs w:val="21"/>
                <w:lang w:val="en-US" w:eastAsia="zh-CN"/>
              </w:rPr>
              <w:t>1460</w:t>
            </w:r>
          </w:p>
        </w:tc>
        <w:tc>
          <w:tcPr>
            <w:tcW w:w="656"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color w:val="auto"/>
                <w:sz w:val="21"/>
                <w:szCs w:val="21"/>
              </w:rPr>
            </w:pPr>
            <w:r>
              <w:rPr>
                <w:rFonts w:hint="default"/>
                <w:color w:val="auto"/>
                <w:sz w:val="21"/>
                <w:szCs w:val="21"/>
              </w:rPr>
              <w:t>正常排放</w:t>
            </w:r>
          </w:p>
        </w:tc>
        <w:tc>
          <w:tcPr>
            <w:tcW w:w="5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eastAsia="宋体"/>
                <w:color w:val="auto"/>
                <w:sz w:val="21"/>
                <w:szCs w:val="21"/>
                <w:lang w:val="en-US" w:eastAsia="zh-CN"/>
              </w:rPr>
            </w:pPr>
            <w:r>
              <w:rPr>
                <w:rFonts w:hint="default" w:ascii="Times New Roman" w:hAnsi="Times New Roman" w:cs="Times New Roman"/>
                <w:color w:val="auto"/>
              </w:rPr>
              <w:t>0.0</w:t>
            </w:r>
            <w:r>
              <w:rPr>
                <w:rFonts w:hint="eastAsia" w:cs="Times New Roman"/>
                <w:color w:val="auto"/>
                <w:lang w:val="en-US" w:eastAsia="zh-CN"/>
              </w:rPr>
              <w:t>11</w:t>
            </w:r>
          </w:p>
        </w:tc>
      </w:tr>
    </w:tbl>
    <w:p>
      <w:pPr>
        <w:jc w:val="center"/>
        <w:rPr>
          <w:rFonts w:eastAsia="黑体"/>
          <w:color w:val="auto"/>
          <w:szCs w:val="21"/>
        </w:rPr>
      </w:pPr>
      <w:r>
        <w:rPr>
          <w:rFonts w:eastAsia="黑体"/>
          <w:color w:val="auto"/>
          <w:szCs w:val="21"/>
        </w:rPr>
        <w:t>表</w:t>
      </w:r>
      <w:r>
        <w:rPr>
          <w:rFonts w:hint="eastAsia" w:eastAsia="黑体"/>
          <w:color w:val="auto"/>
          <w:szCs w:val="21"/>
          <w:lang w:val="en-US" w:eastAsia="zh-CN"/>
        </w:rPr>
        <w:t>5</w:t>
      </w:r>
      <w:r>
        <w:rPr>
          <w:rFonts w:hint="eastAsia" w:eastAsia="黑体"/>
          <w:color w:val="auto"/>
          <w:szCs w:val="21"/>
        </w:rPr>
        <w:t>.2</w:t>
      </w:r>
      <w:r>
        <w:rPr>
          <w:rFonts w:eastAsia="黑体"/>
          <w:color w:val="auto"/>
          <w:szCs w:val="21"/>
        </w:rPr>
        <w:noBreakHyphen/>
      </w:r>
      <w:r>
        <w:rPr>
          <w:rFonts w:hint="eastAsia" w:eastAsia="黑体"/>
          <w:color w:val="auto"/>
          <w:szCs w:val="21"/>
          <w:lang w:val="en-US" w:eastAsia="zh-CN"/>
        </w:rPr>
        <w:t>10</w:t>
      </w:r>
      <w:r>
        <w:rPr>
          <w:rFonts w:eastAsia="黑体"/>
          <w:color w:val="auto"/>
          <w:szCs w:val="21"/>
        </w:rPr>
        <w:t xml:space="preserve">  废气面源参数一览表</w:t>
      </w:r>
    </w:p>
    <w:tbl>
      <w:tblPr>
        <w:tblStyle w:val="89"/>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62"/>
        <w:gridCol w:w="808"/>
        <w:gridCol w:w="728"/>
        <w:gridCol w:w="588"/>
        <w:gridCol w:w="512"/>
        <w:gridCol w:w="562"/>
        <w:gridCol w:w="542"/>
        <w:gridCol w:w="567"/>
        <w:gridCol w:w="466"/>
        <w:gridCol w:w="971"/>
        <w:gridCol w:w="1129"/>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962" w:type="dxa"/>
            <w:vMerge w:val="restart"/>
            <w:shd w:val="clear" w:color="000000" w:fill="FFFFFF"/>
            <w:vAlign w:val="center"/>
          </w:tcPr>
          <w:p>
            <w:pPr>
              <w:keepNext w:val="0"/>
              <w:keepLines w:val="0"/>
              <w:widowControl/>
              <w:suppressLineNumbers w:val="0"/>
              <w:spacing w:before="0" w:beforeAutospacing="0" w:after="0" w:afterAutospacing="0"/>
              <w:ind w:left="0" w:right="0"/>
              <w:jc w:val="center"/>
              <w:rPr>
                <w:rFonts w:hint="default"/>
                <w:b/>
                <w:color w:val="auto"/>
                <w:kern w:val="0"/>
              </w:rPr>
            </w:pPr>
            <w:r>
              <w:rPr>
                <w:rFonts w:hint="default"/>
                <w:b/>
                <w:color w:val="auto"/>
                <w:kern w:val="0"/>
              </w:rPr>
              <w:t>名称</w:t>
            </w:r>
          </w:p>
        </w:tc>
        <w:tc>
          <w:tcPr>
            <w:tcW w:w="1536" w:type="dxa"/>
            <w:gridSpan w:val="2"/>
            <w:shd w:val="clear" w:color="000000" w:fill="FFFFFF"/>
            <w:vAlign w:val="center"/>
          </w:tcPr>
          <w:p>
            <w:pPr>
              <w:keepNext w:val="0"/>
              <w:keepLines w:val="0"/>
              <w:widowControl/>
              <w:suppressLineNumbers w:val="0"/>
              <w:spacing w:before="0" w:beforeAutospacing="0" w:after="0" w:afterAutospacing="0"/>
              <w:ind w:left="0" w:right="0"/>
              <w:jc w:val="center"/>
              <w:rPr>
                <w:rFonts w:hint="default"/>
                <w:b/>
                <w:color w:val="auto"/>
                <w:kern w:val="0"/>
              </w:rPr>
            </w:pPr>
            <w:r>
              <w:rPr>
                <w:rFonts w:hint="default"/>
                <w:b/>
                <w:color w:val="auto"/>
                <w:kern w:val="0"/>
              </w:rPr>
              <w:t>面源各顶点坐标</w:t>
            </w:r>
          </w:p>
        </w:tc>
        <w:tc>
          <w:tcPr>
            <w:tcW w:w="588" w:type="dxa"/>
            <w:vMerge w:val="restart"/>
            <w:shd w:val="clear" w:color="000000" w:fill="FFFFFF"/>
            <w:vAlign w:val="center"/>
          </w:tcPr>
          <w:p>
            <w:pPr>
              <w:keepNext w:val="0"/>
              <w:keepLines w:val="0"/>
              <w:widowControl/>
              <w:suppressLineNumbers w:val="0"/>
              <w:spacing w:before="0" w:beforeAutospacing="0" w:after="0" w:afterAutospacing="0"/>
              <w:ind w:left="0" w:right="0"/>
              <w:jc w:val="center"/>
              <w:rPr>
                <w:rFonts w:hint="default"/>
                <w:b/>
                <w:color w:val="auto"/>
                <w:kern w:val="0"/>
              </w:rPr>
            </w:pPr>
            <w:r>
              <w:rPr>
                <w:rFonts w:hint="default"/>
                <w:b/>
                <w:color w:val="auto"/>
                <w:kern w:val="0"/>
              </w:rPr>
              <w:t>面源海拔高度/m</w:t>
            </w:r>
          </w:p>
        </w:tc>
        <w:tc>
          <w:tcPr>
            <w:tcW w:w="512" w:type="dxa"/>
            <w:vMerge w:val="restart"/>
            <w:shd w:val="clear" w:color="000000" w:fill="FFFFFF"/>
            <w:vAlign w:val="center"/>
          </w:tcPr>
          <w:p>
            <w:pPr>
              <w:keepNext w:val="0"/>
              <w:keepLines w:val="0"/>
              <w:widowControl/>
              <w:suppressLineNumbers w:val="0"/>
              <w:spacing w:before="0" w:beforeAutospacing="0" w:after="0" w:afterAutospacing="0"/>
              <w:ind w:left="0" w:right="0"/>
              <w:jc w:val="center"/>
              <w:rPr>
                <w:rFonts w:hint="default"/>
                <w:b/>
                <w:color w:val="auto"/>
                <w:kern w:val="0"/>
              </w:rPr>
            </w:pPr>
            <w:r>
              <w:rPr>
                <w:rFonts w:hint="default"/>
                <w:b/>
                <w:color w:val="auto"/>
                <w:kern w:val="0"/>
              </w:rPr>
              <w:t>面源有效排放高度/m</w:t>
            </w:r>
          </w:p>
        </w:tc>
        <w:tc>
          <w:tcPr>
            <w:tcW w:w="1104" w:type="dxa"/>
            <w:gridSpan w:val="2"/>
            <w:vMerge w:val="restart"/>
            <w:shd w:val="clear" w:color="000000" w:fill="FFFFFF"/>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szCs w:val="21"/>
                <w:u w:val="single"/>
              </w:rPr>
              <w:t>矩形面源</w:t>
            </w:r>
          </w:p>
        </w:tc>
        <w:tc>
          <w:tcPr>
            <w:tcW w:w="567" w:type="dxa"/>
            <w:vMerge w:val="restart"/>
            <w:shd w:val="clear" w:color="000000" w:fill="FFFFFF"/>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年排放小时数/h</w:t>
            </w:r>
          </w:p>
        </w:tc>
        <w:tc>
          <w:tcPr>
            <w:tcW w:w="466" w:type="dxa"/>
            <w:vMerge w:val="restart"/>
            <w:shd w:val="clear" w:color="000000" w:fill="FFFFFF"/>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排放工况</w:t>
            </w:r>
          </w:p>
        </w:tc>
        <w:tc>
          <w:tcPr>
            <w:tcW w:w="3041" w:type="dxa"/>
            <w:gridSpan w:val="3"/>
            <w:shd w:val="clear" w:color="000000" w:fill="FFFFFF"/>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污染物排放速率/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962" w:type="dxa"/>
            <w:vMerge w:val="continue"/>
            <w:vAlign w:val="center"/>
          </w:tcPr>
          <w:p>
            <w:pPr>
              <w:keepNext w:val="0"/>
              <w:keepLines w:val="0"/>
              <w:widowControl/>
              <w:suppressLineNumbers w:val="0"/>
              <w:spacing w:before="0" w:beforeAutospacing="0" w:after="0" w:afterAutospacing="0"/>
              <w:ind w:left="0" w:right="0"/>
              <w:jc w:val="left"/>
              <w:rPr>
                <w:rFonts w:hint="default"/>
                <w:color w:val="auto"/>
                <w:kern w:val="0"/>
              </w:rPr>
            </w:pPr>
          </w:p>
        </w:tc>
        <w:tc>
          <w:tcPr>
            <w:tcW w:w="1536" w:type="dxa"/>
            <w:gridSpan w:val="2"/>
            <w:shd w:val="clear" w:color="000000" w:fill="FFFFFF"/>
            <w:vAlign w:val="center"/>
          </w:tcPr>
          <w:p>
            <w:pPr>
              <w:keepNext w:val="0"/>
              <w:keepLines w:val="0"/>
              <w:widowControl/>
              <w:suppressLineNumbers w:val="0"/>
              <w:spacing w:before="0" w:beforeAutospacing="0" w:after="0" w:afterAutospacing="0"/>
              <w:ind w:left="0" w:right="0"/>
              <w:jc w:val="center"/>
              <w:rPr>
                <w:rFonts w:hint="default"/>
                <w:b/>
                <w:color w:val="auto"/>
                <w:kern w:val="0"/>
              </w:rPr>
            </w:pPr>
            <w:r>
              <w:rPr>
                <w:rFonts w:hint="default"/>
                <w:b/>
                <w:color w:val="auto"/>
                <w:kern w:val="0"/>
              </w:rPr>
              <w:t>m</w:t>
            </w:r>
          </w:p>
        </w:tc>
        <w:tc>
          <w:tcPr>
            <w:tcW w:w="58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kern w:val="0"/>
              </w:rPr>
            </w:pPr>
          </w:p>
        </w:tc>
        <w:tc>
          <w:tcPr>
            <w:tcW w:w="512" w:type="dxa"/>
            <w:vMerge w:val="continue"/>
            <w:vAlign w:val="center"/>
          </w:tcPr>
          <w:p>
            <w:pPr>
              <w:keepNext w:val="0"/>
              <w:keepLines w:val="0"/>
              <w:widowControl/>
              <w:suppressLineNumbers w:val="0"/>
              <w:spacing w:before="0" w:beforeAutospacing="0" w:after="0" w:afterAutospacing="0"/>
              <w:ind w:left="0" w:right="0"/>
              <w:jc w:val="left"/>
              <w:rPr>
                <w:rFonts w:hint="default"/>
                <w:color w:val="auto"/>
                <w:kern w:val="0"/>
              </w:rPr>
            </w:pPr>
          </w:p>
        </w:tc>
        <w:tc>
          <w:tcPr>
            <w:tcW w:w="1104" w:type="dxa"/>
            <w:gridSpan w:val="2"/>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567" w:type="dxa"/>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466" w:type="dxa"/>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3041" w:type="dxa"/>
            <w:gridSpan w:val="3"/>
            <w:shd w:val="clear" w:color="000000" w:fill="FFFFFF"/>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962" w:type="dxa"/>
            <w:vMerge w:val="continue"/>
            <w:vAlign w:val="center"/>
          </w:tcPr>
          <w:p>
            <w:pPr>
              <w:keepNext w:val="0"/>
              <w:keepLines w:val="0"/>
              <w:widowControl/>
              <w:suppressLineNumbers w:val="0"/>
              <w:spacing w:before="0" w:beforeAutospacing="0" w:after="0" w:afterAutospacing="0"/>
              <w:ind w:left="0" w:right="0"/>
              <w:jc w:val="left"/>
              <w:rPr>
                <w:rFonts w:hint="default"/>
                <w:color w:val="auto"/>
                <w:kern w:val="0"/>
              </w:rPr>
            </w:pPr>
          </w:p>
        </w:tc>
        <w:tc>
          <w:tcPr>
            <w:tcW w:w="808" w:type="dxa"/>
            <w:shd w:val="clear" w:color="000000" w:fill="FFFFFF"/>
            <w:vAlign w:val="center"/>
          </w:tcPr>
          <w:p>
            <w:pPr>
              <w:keepNext w:val="0"/>
              <w:keepLines w:val="0"/>
              <w:suppressLineNumbers w:val="0"/>
              <w:spacing w:before="0" w:beforeAutospacing="0" w:after="0" w:afterAutospacing="0"/>
              <w:ind w:left="0" w:right="0"/>
              <w:jc w:val="center"/>
              <w:rPr>
                <w:rFonts w:hint="default"/>
                <w:b/>
                <w:bCs/>
                <w:i/>
                <w:iCs/>
                <w:color w:val="auto"/>
                <w:kern w:val="0"/>
              </w:rPr>
            </w:pPr>
            <w:r>
              <w:rPr>
                <w:rFonts w:hint="default"/>
                <w:b/>
                <w:bCs/>
                <w:color w:val="auto"/>
                <w:szCs w:val="21"/>
                <w:u w:val="single"/>
              </w:rPr>
              <w:t>经度</w:t>
            </w:r>
          </w:p>
        </w:tc>
        <w:tc>
          <w:tcPr>
            <w:tcW w:w="728" w:type="dxa"/>
            <w:shd w:val="clear" w:color="000000" w:fill="FFFFFF"/>
            <w:vAlign w:val="center"/>
          </w:tcPr>
          <w:p>
            <w:pPr>
              <w:keepNext w:val="0"/>
              <w:keepLines w:val="0"/>
              <w:suppressLineNumbers w:val="0"/>
              <w:spacing w:before="0" w:beforeAutospacing="0" w:after="0" w:afterAutospacing="0"/>
              <w:ind w:left="0" w:right="0"/>
              <w:jc w:val="center"/>
              <w:rPr>
                <w:rFonts w:hint="default"/>
                <w:b/>
                <w:bCs/>
                <w:i/>
                <w:iCs/>
                <w:color w:val="auto"/>
                <w:kern w:val="0"/>
              </w:rPr>
            </w:pPr>
            <w:r>
              <w:rPr>
                <w:rFonts w:hint="default"/>
                <w:b/>
                <w:bCs/>
                <w:color w:val="auto"/>
                <w:szCs w:val="21"/>
                <w:u w:val="single"/>
              </w:rPr>
              <w:t>纬度</w:t>
            </w:r>
          </w:p>
        </w:tc>
        <w:tc>
          <w:tcPr>
            <w:tcW w:w="58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kern w:val="0"/>
              </w:rPr>
            </w:pPr>
          </w:p>
        </w:tc>
        <w:tc>
          <w:tcPr>
            <w:tcW w:w="512" w:type="dxa"/>
            <w:vMerge w:val="continue"/>
            <w:vAlign w:val="center"/>
          </w:tcPr>
          <w:p>
            <w:pPr>
              <w:keepNext w:val="0"/>
              <w:keepLines w:val="0"/>
              <w:widowControl/>
              <w:suppressLineNumbers w:val="0"/>
              <w:spacing w:before="0" w:beforeAutospacing="0" w:after="0" w:afterAutospacing="0"/>
              <w:ind w:left="0" w:right="0"/>
              <w:jc w:val="left"/>
              <w:rPr>
                <w:rFonts w:hint="default"/>
                <w:color w:val="auto"/>
                <w:kern w:val="0"/>
              </w:rPr>
            </w:pPr>
          </w:p>
        </w:tc>
        <w:tc>
          <w:tcPr>
            <w:tcW w:w="562" w:type="dxa"/>
            <w:vAlign w:val="center"/>
          </w:tcPr>
          <w:p>
            <w:pPr>
              <w:keepNext w:val="0"/>
              <w:keepLines w:val="0"/>
              <w:suppressLineNumbers w:val="0"/>
              <w:spacing w:before="0" w:beforeAutospacing="0" w:after="0" w:afterAutospacing="0"/>
              <w:ind w:left="0" w:right="0"/>
              <w:jc w:val="center"/>
              <w:rPr>
                <w:rFonts w:hint="default"/>
                <w:b/>
                <w:bCs/>
                <w:color w:val="auto"/>
                <w:kern w:val="0"/>
              </w:rPr>
            </w:pPr>
            <w:r>
              <w:rPr>
                <w:rFonts w:hint="default"/>
                <w:b/>
                <w:bCs/>
                <w:color w:val="auto"/>
                <w:szCs w:val="21"/>
                <w:u w:val="single"/>
              </w:rPr>
              <w:t>长度(m)</w:t>
            </w:r>
          </w:p>
        </w:tc>
        <w:tc>
          <w:tcPr>
            <w:tcW w:w="542" w:type="dxa"/>
            <w:vAlign w:val="center"/>
          </w:tcPr>
          <w:p>
            <w:pPr>
              <w:keepNext w:val="0"/>
              <w:keepLines w:val="0"/>
              <w:suppressLineNumbers w:val="0"/>
              <w:spacing w:before="0" w:beforeAutospacing="0" w:after="0" w:afterAutospacing="0"/>
              <w:ind w:left="0" w:right="0"/>
              <w:jc w:val="center"/>
              <w:rPr>
                <w:rFonts w:hint="default"/>
                <w:b/>
                <w:bCs/>
                <w:color w:val="auto"/>
                <w:kern w:val="0"/>
              </w:rPr>
            </w:pPr>
            <w:r>
              <w:rPr>
                <w:rFonts w:hint="default"/>
                <w:b/>
                <w:bCs/>
                <w:color w:val="auto"/>
                <w:szCs w:val="21"/>
                <w:u w:val="single"/>
              </w:rPr>
              <w:t>宽度(m)</w:t>
            </w:r>
          </w:p>
        </w:tc>
        <w:tc>
          <w:tcPr>
            <w:tcW w:w="567" w:type="dxa"/>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466" w:type="dxa"/>
            <w:vMerge w:val="continue"/>
            <w:vAlign w:val="center"/>
          </w:tcPr>
          <w:p>
            <w:pPr>
              <w:keepNext w:val="0"/>
              <w:keepLines w:val="0"/>
              <w:widowControl/>
              <w:suppressLineNumbers w:val="0"/>
              <w:spacing w:before="0" w:beforeAutospacing="0" w:after="0" w:afterAutospacing="0"/>
              <w:ind w:left="0" w:right="0"/>
              <w:jc w:val="left"/>
              <w:rPr>
                <w:rFonts w:hint="default"/>
                <w:b/>
                <w:bCs/>
                <w:color w:val="auto"/>
                <w:kern w:val="0"/>
              </w:rPr>
            </w:pPr>
          </w:p>
        </w:tc>
        <w:tc>
          <w:tcPr>
            <w:tcW w:w="971" w:type="dxa"/>
            <w:shd w:val="clear" w:color="000000" w:fill="FFFFFF"/>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氨</w:t>
            </w:r>
          </w:p>
        </w:tc>
        <w:tc>
          <w:tcPr>
            <w:tcW w:w="1129" w:type="dxa"/>
            <w:shd w:val="clear" w:color="000000" w:fill="FFFFFF"/>
            <w:vAlign w:val="center"/>
          </w:tcPr>
          <w:p>
            <w:pPr>
              <w:keepNext w:val="0"/>
              <w:keepLines w:val="0"/>
              <w:widowControl/>
              <w:suppressLineNumbers w:val="0"/>
              <w:spacing w:before="0" w:beforeAutospacing="0" w:after="0" w:afterAutospacing="0"/>
              <w:ind w:left="0" w:right="0"/>
              <w:jc w:val="center"/>
              <w:rPr>
                <w:rFonts w:hint="default"/>
                <w:b/>
                <w:bCs/>
                <w:color w:val="auto"/>
                <w:kern w:val="0"/>
              </w:rPr>
            </w:pPr>
            <w:r>
              <w:rPr>
                <w:rFonts w:hint="default"/>
                <w:b/>
                <w:bCs/>
                <w:color w:val="auto"/>
                <w:kern w:val="0"/>
              </w:rPr>
              <w:t>H</w:t>
            </w:r>
            <w:r>
              <w:rPr>
                <w:rFonts w:hint="default"/>
                <w:b/>
                <w:bCs/>
                <w:color w:val="auto"/>
                <w:kern w:val="0"/>
                <w:vertAlign w:val="subscript"/>
              </w:rPr>
              <w:t>2</w:t>
            </w:r>
            <w:r>
              <w:rPr>
                <w:rFonts w:hint="default"/>
                <w:b/>
                <w:bCs/>
                <w:color w:val="auto"/>
                <w:kern w:val="0"/>
              </w:rPr>
              <w:t>S</w:t>
            </w:r>
          </w:p>
        </w:tc>
        <w:tc>
          <w:tcPr>
            <w:tcW w:w="941" w:type="dxa"/>
            <w:shd w:val="clear" w:color="000000" w:fill="FFFFFF"/>
            <w:vAlign w:val="center"/>
          </w:tcPr>
          <w:p>
            <w:pPr>
              <w:keepNext w:val="0"/>
              <w:keepLines w:val="0"/>
              <w:widowControl/>
              <w:suppressLineNumbers w:val="0"/>
              <w:spacing w:before="0" w:beforeAutospacing="0" w:after="0" w:afterAutospacing="0"/>
              <w:ind w:left="0" w:right="0"/>
              <w:jc w:val="center"/>
              <w:rPr>
                <w:rFonts w:hint="default" w:eastAsia="宋体"/>
                <w:b/>
                <w:bCs/>
                <w:color w:val="auto"/>
                <w:kern w:val="0"/>
                <w:lang w:val="en-US" w:eastAsia="zh-CN"/>
              </w:rPr>
            </w:pPr>
            <w:r>
              <w:rPr>
                <w:rFonts w:hint="eastAsia"/>
                <w:b/>
                <w:bCs/>
                <w:color w:val="auto"/>
                <w:kern w:val="0"/>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962" w:type="dxa"/>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color w:val="auto"/>
                <w:kern w:val="0"/>
                <w:lang w:val="en-US" w:eastAsia="zh-CN"/>
              </w:rPr>
              <w:t>牛舍及发酵床</w:t>
            </w:r>
            <w:r>
              <w:rPr>
                <w:rFonts w:hint="default"/>
                <w:color w:val="auto"/>
                <w:kern w:val="0"/>
              </w:rPr>
              <w:t>恶臭源</w:t>
            </w:r>
          </w:p>
        </w:tc>
        <w:tc>
          <w:tcPr>
            <w:tcW w:w="808" w:type="dxa"/>
            <w:shd w:val="clear" w:color="000000" w:fill="FFFFFF"/>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default"/>
                <w:color w:val="auto"/>
                <w:kern w:val="0"/>
              </w:rPr>
              <w:t>10</w:t>
            </w:r>
            <w:r>
              <w:rPr>
                <w:rFonts w:hint="eastAsia"/>
                <w:color w:val="auto"/>
                <w:kern w:val="0"/>
                <w:lang w:val="en-US" w:eastAsia="zh-CN"/>
              </w:rPr>
              <w:t>6.616668</w:t>
            </w:r>
          </w:p>
        </w:tc>
        <w:tc>
          <w:tcPr>
            <w:tcW w:w="728" w:type="dxa"/>
            <w:shd w:val="clear" w:color="000000" w:fill="FFFFFF"/>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default"/>
                <w:color w:val="auto"/>
                <w:kern w:val="0"/>
              </w:rPr>
              <w:t>3</w:t>
            </w:r>
            <w:r>
              <w:rPr>
                <w:rFonts w:hint="eastAsia"/>
                <w:color w:val="auto"/>
                <w:kern w:val="0"/>
                <w:lang w:val="en-US" w:eastAsia="zh-CN"/>
              </w:rPr>
              <w:t>1.531383</w:t>
            </w:r>
          </w:p>
        </w:tc>
        <w:tc>
          <w:tcPr>
            <w:tcW w:w="588"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441</w:t>
            </w:r>
          </w:p>
        </w:tc>
        <w:tc>
          <w:tcPr>
            <w:tcW w:w="512"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6</w:t>
            </w:r>
          </w:p>
        </w:tc>
        <w:tc>
          <w:tcPr>
            <w:tcW w:w="562" w:type="dxa"/>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700</w:t>
            </w:r>
          </w:p>
        </w:tc>
        <w:tc>
          <w:tcPr>
            <w:tcW w:w="542" w:type="dxa"/>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147</w:t>
            </w:r>
          </w:p>
        </w:tc>
        <w:tc>
          <w:tcPr>
            <w:tcW w:w="567" w:type="dxa"/>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default"/>
                <w:color w:val="auto"/>
                <w:kern w:val="0"/>
              </w:rPr>
              <w:t>8760</w:t>
            </w:r>
          </w:p>
        </w:tc>
        <w:tc>
          <w:tcPr>
            <w:tcW w:w="466" w:type="dxa"/>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default"/>
                <w:color w:val="auto"/>
                <w:kern w:val="0"/>
              </w:rPr>
              <w:t>正常</w:t>
            </w:r>
          </w:p>
        </w:tc>
        <w:tc>
          <w:tcPr>
            <w:tcW w:w="971" w:type="dxa"/>
            <w:shd w:val="clear" w:color="000000" w:fill="FFFFFF"/>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rPr>
              <w:t>0.</w:t>
            </w:r>
            <w:r>
              <w:rPr>
                <w:rFonts w:hint="eastAsia"/>
                <w:color w:val="auto"/>
                <w:kern w:val="0"/>
                <w:lang w:val="en-US" w:eastAsia="zh-CN"/>
              </w:rPr>
              <w:t>0288</w:t>
            </w:r>
          </w:p>
        </w:tc>
        <w:tc>
          <w:tcPr>
            <w:tcW w:w="1129" w:type="dxa"/>
            <w:shd w:val="clear" w:color="000000" w:fill="FFFFFF"/>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rPr>
              <w:t>0.00</w:t>
            </w:r>
            <w:r>
              <w:rPr>
                <w:rFonts w:hint="eastAsia"/>
                <w:color w:val="auto"/>
                <w:kern w:val="0"/>
                <w:lang w:val="en-US" w:eastAsia="zh-CN"/>
              </w:rPr>
              <w:t>17</w:t>
            </w:r>
          </w:p>
        </w:tc>
        <w:tc>
          <w:tcPr>
            <w:tcW w:w="941" w:type="dxa"/>
            <w:shd w:val="clear" w:color="000000" w:fill="FFFFFF"/>
            <w:vAlign w:val="center"/>
          </w:tcPr>
          <w:p>
            <w:pPr>
              <w:keepNext w:val="0"/>
              <w:keepLines w:val="0"/>
              <w:widowControl/>
              <w:suppressLineNumbers w:val="0"/>
              <w:spacing w:before="0" w:beforeAutospacing="0" w:after="0" w:afterAutospacing="0"/>
              <w:ind w:left="0" w:right="0"/>
              <w:jc w:val="center"/>
              <w:rPr>
                <w:rFonts w:hint="eastAsia" w:eastAsia="宋体"/>
                <w:color w:val="auto"/>
                <w:kern w:val="0"/>
                <w:lang w:val="en-US" w:eastAsia="zh-CN"/>
              </w:rPr>
            </w:pPr>
            <w:r>
              <w:rPr>
                <w:rFonts w:hint="eastAsia"/>
                <w:color w:val="auto"/>
                <w:kern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962" w:type="dxa"/>
            <w:vAlign w:val="center"/>
          </w:tcPr>
          <w:p>
            <w:pPr>
              <w:keepNext w:val="0"/>
              <w:keepLines w:val="0"/>
              <w:widowControl/>
              <w:suppressLineNumbers w:val="0"/>
              <w:spacing w:before="0" w:beforeAutospacing="0" w:after="0" w:afterAutospacing="0"/>
              <w:ind w:left="0" w:right="0"/>
              <w:jc w:val="center"/>
              <w:rPr>
                <w:rFonts w:hint="eastAsia"/>
                <w:color w:val="auto"/>
                <w:kern w:val="0"/>
                <w:lang w:val="en-US" w:eastAsia="zh-CN"/>
              </w:rPr>
            </w:pPr>
            <w:r>
              <w:rPr>
                <w:rFonts w:hint="eastAsia" w:cs="Times New Roman"/>
                <w:color w:val="auto"/>
                <w:kern w:val="0"/>
                <w:lang w:val="en-US" w:eastAsia="zh-CN"/>
              </w:rPr>
              <w:t>饲料加工粉尘</w:t>
            </w:r>
          </w:p>
        </w:tc>
        <w:tc>
          <w:tcPr>
            <w:tcW w:w="808" w:type="dxa"/>
            <w:shd w:val="clear" w:color="000000" w:fill="FFFFFF"/>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color w:val="auto"/>
                <w:kern w:val="0"/>
              </w:rPr>
              <w:t>10</w:t>
            </w:r>
            <w:r>
              <w:rPr>
                <w:rFonts w:hint="eastAsia"/>
                <w:color w:val="auto"/>
                <w:kern w:val="0"/>
                <w:lang w:val="en-US" w:eastAsia="zh-CN"/>
              </w:rPr>
              <w:t>6.618395</w:t>
            </w:r>
          </w:p>
        </w:tc>
        <w:tc>
          <w:tcPr>
            <w:tcW w:w="728" w:type="dxa"/>
            <w:shd w:val="clear" w:color="000000" w:fill="FFFFFF"/>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color w:val="auto"/>
                <w:kern w:val="0"/>
              </w:rPr>
              <w:t>3</w:t>
            </w:r>
            <w:r>
              <w:rPr>
                <w:rFonts w:hint="eastAsia"/>
                <w:color w:val="auto"/>
                <w:kern w:val="0"/>
                <w:lang w:val="en-US" w:eastAsia="zh-CN"/>
              </w:rPr>
              <w:t>1.531394</w:t>
            </w:r>
          </w:p>
        </w:tc>
        <w:tc>
          <w:tcPr>
            <w:tcW w:w="588" w:type="dxa"/>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456</w:t>
            </w:r>
          </w:p>
        </w:tc>
        <w:tc>
          <w:tcPr>
            <w:tcW w:w="512" w:type="dxa"/>
            <w:vAlign w:val="center"/>
          </w:tcPr>
          <w:p>
            <w:pPr>
              <w:keepNext w:val="0"/>
              <w:keepLines w:val="0"/>
              <w:widowControl/>
              <w:suppressLineNumbers w:val="0"/>
              <w:spacing w:before="0" w:beforeAutospacing="0" w:after="0" w:afterAutospacing="0"/>
              <w:ind w:left="0" w:right="0"/>
              <w:jc w:val="center"/>
              <w:rPr>
                <w:rFonts w:hint="eastAsia"/>
                <w:color w:val="auto"/>
                <w:kern w:val="0"/>
                <w:lang w:val="en-US" w:eastAsia="zh-CN"/>
              </w:rPr>
            </w:pPr>
            <w:r>
              <w:rPr>
                <w:rFonts w:hint="eastAsia"/>
                <w:color w:val="auto"/>
                <w:kern w:val="0"/>
                <w:lang w:val="en-US" w:eastAsia="zh-CN"/>
              </w:rPr>
              <w:t>6</w:t>
            </w:r>
          </w:p>
        </w:tc>
        <w:tc>
          <w:tcPr>
            <w:tcW w:w="562" w:type="dxa"/>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52</w:t>
            </w:r>
          </w:p>
        </w:tc>
        <w:tc>
          <w:tcPr>
            <w:tcW w:w="542" w:type="dxa"/>
            <w:vAlign w:val="center"/>
          </w:tcPr>
          <w:p>
            <w:pPr>
              <w:keepNext w:val="0"/>
              <w:keepLines w:val="0"/>
              <w:widowControl/>
              <w:suppressLineNumbers w:val="0"/>
              <w:spacing w:before="0" w:beforeAutospacing="0" w:after="0" w:afterAutospacing="0"/>
              <w:ind w:left="0" w:right="0"/>
              <w:jc w:val="center"/>
              <w:rPr>
                <w:rFonts w:hint="default"/>
                <w:color w:val="auto"/>
                <w:kern w:val="0"/>
                <w:lang w:val="en-US" w:eastAsia="zh-CN"/>
              </w:rPr>
            </w:pPr>
            <w:r>
              <w:rPr>
                <w:rFonts w:hint="eastAsia"/>
                <w:color w:val="auto"/>
                <w:kern w:val="0"/>
                <w:lang w:val="en-US" w:eastAsia="zh-CN"/>
              </w:rPr>
              <w:t>40</w:t>
            </w:r>
          </w:p>
        </w:tc>
        <w:tc>
          <w:tcPr>
            <w:tcW w:w="567" w:type="dxa"/>
            <w:vAlign w:val="center"/>
          </w:tcPr>
          <w:p>
            <w:pPr>
              <w:keepNext w:val="0"/>
              <w:keepLines w:val="0"/>
              <w:widowControl/>
              <w:suppressLineNumbers w:val="0"/>
              <w:spacing w:before="0" w:beforeAutospacing="0" w:after="0" w:afterAutospacing="0"/>
              <w:ind w:left="0" w:right="0"/>
              <w:jc w:val="center"/>
              <w:rPr>
                <w:rFonts w:hint="default" w:eastAsia="宋体"/>
                <w:color w:val="auto"/>
                <w:kern w:val="0"/>
                <w:lang w:val="en-US" w:eastAsia="zh-CN"/>
              </w:rPr>
            </w:pPr>
            <w:r>
              <w:rPr>
                <w:rFonts w:hint="eastAsia"/>
                <w:color w:val="auto"/>
                <w:kern w:val="0"/>
                <w:lang w:val="en-US" w:eastAsia="zh-CN"/>
              </w:rPr>
              <w:t>1460</w:t>
            </w:r>
          </w:p>
        </w:tc>
        <w:tc>
          <w:tcPr>
            <w:tcW w:w="466" w:type="dxa"/>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default"/>
                <w:color w:val="auto"/>
                <w:kern w:val="0"/>
              </w:rPr>
              <w:t>正常</w:t>
            </w:r>
          </w:p>
        </w:tc>
        <w:tc>
          <w:tcPr>
            <w:tcW w:w="971" w:type="dxa"/>
            <w:shd w:val="clear" w:color="000000" w:fill="FFFFFF"/>
            <w:vAlign w:val="center"/>
          </w:tcPr>
          <w:p>
            <w:pPr>
              <w:keepNext w:val="0"/>
              <w:keepLines w:val="0"/>
              <w:widowControl/>
              <w:suppressLineNumbers w:val="0"/>
              <w:spacing w:before="0" w:beforeAutospacing="0" w:after="0" w:afterAutospacing="0"/>
              <w:ind w:left="0" w:right="0"/>
              <w:jc w:val="center"/>
              <w:rPr>
                <w:rFonts w:hint="eastAsia"/>
                <w:color w:val="auto"/>
                <w:kern w:val="0"/>
              </w:rPr>
            </w:pPr>
            <w:r>
              <w:rPr>
                <w:rFonts w:hint="eastAsia" w:cs="Times New Roman"/>
                <w:color w:val="auto"/>
                <w:lang w:val="en-US" w:eastAsia="zh-CN"/>
              </w:rPr>
              <w:t>/</w:t>
            </w:r>
          </w:p>
        </w:tc>
        <w:tc>
          <w:tcPr>
            <w:tcW w:w="1129" w:type="dxa"/>
            <w:shd w:val="clear" w:color="000000" w:fill="FFFFFF"/>
            <w:vAlign w:val="center"/>
          </w:tcPr>
          <w:p>
            <w:pPr>
              <w:keepNext w:val="0"/>
              <w:keepLines w:val="0"/>
              <w:widowControl/>
              <w:suppressLineNumbers w:val="0"/>
              <w:spacing w:before="0" w:beforeAutospacing="0" w:after="0" w:afterAutospacing="0"/>
              <w:ind w:left="0" w:right="0"/>
              <w:jc w:val="center"/>
              <w:rPr>
                <w:rFonts w:hint="eastAsia" w:eastAsia="宋体"/>
                <w:color w:val="auto"/>
                <w:kern w:val="0"/>
                <w:lang w:val="en-US" w:eastAsia="zh-CN"/>
              </w:rPr>
            </w:pPr>
            <w:r>
              <w:rPr>
                <w:rFonts w:hint="eastAsia"/>
                <w:color w:val="auto"/>
                <w:kern w:val="0"/>
                <w:lang w:val="en-US" w:eastAsia="zh-CN"/>
              </w:rPr>
              <w:t>/</w:t>
            </w:r>
          </w:p>
        </w:tc>
        <w:tc>
          <w:tcPr>
            <w:tcW w:w="941" w:type="dxa"/>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lang w:val="en-US"/>
              </w:rPr>
            </w:pPr>
            <w:r>
              <w:rPr>
                <w:rFonts w:hint="eastAsia" w:cs="Times New Roman"/>
                <w:color w:val="auto"/>
                <w:lang w:val="en-US" w:eastAsia="zh-CN"/>
              </w:rPr>
              <w:t>0.124</w:t>
            </w:r>
          </w:p>
        </w:tc>
      </w:tr>
    </w:tbl>
    <w:p>
      <w:pPr>
        <w:pStyle w:val="1244"/>
        <w:jc w:val="left"/>
        <w:rPr>
          <w:rFonts w:hAnsi="宋体" w:cs="宋体"/>
          <w:color w:val="auto"/>
        </w:rPr>
      </w:pPr>
      <w:r>
        <w:rPr>
          <w:rFonts w:hint="eastAsia" w:hAnsi="宋体" w:cs="宋体"/>
          <w:color w:val="auto"/>
        </w:rPr>
        <w:t>（3）估算模式所用参数</w:t>
      </w:r>
    </w:p>
    <w:p>
      <w:pPr>
        <w:spacing w:line="360" w:lineRule="auto"/>
        <w:ind w:firstLine="480" w:firstLineChars="200"/>
        <w:jc w:val="left"/>
        <w:rPr>
          <w:rFonts w:ascii="宋体" w:hAnsi="宋体"/>
          <w:color w:val="auto"/>
          <w:sz w:val="24"/>
        </w:rPr>
      </w:pPr>
      <w:r>
        <w:rPr>
          <w:rFonts w:hint="eastAsia" w:ascii="宋体" w:hAnsi="宋体"/>
          <w:color w:val="auto"/>
          <w:sz w:val="24"/>
        </w:rPr>
        <w:t>本次评价估算模式所用参数见表</w:t>
      </w:r>
      <w:r>
        <w:rPr>
          <w:rFonts w:hint="eastAsia" w:cs="Times New Roman"/>
          <w:color w:val="auto"/>
          <w:sz w:val="24"/>
          <w:lang w:val="en-US" w:eastAsia="zh-CN"/>
        </w:rPr>
        <w:t>5</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eastAsia" w:cs="Times New Roman"/>
          <w:color w:val="auto"/>
          <w:sz w:val="24"/>
          <w:lang w:val="en-US" w:eastAsia="zh-CN"/>
        </w:rPr>
        <w:t>11</w:t>
      </w:r>
      <w:r>
        <w:rPr>
          <w:rFonts w:hint="default" w:ascii="Times New Roman" w:hAnsi="Times New Roman" w:cs="Times New Roman"/>
          <w:color w:val="auto"/>
          <w:sz w:val="24"/>
        </w:rPr>
        <w:t>。</w:t>
      </w:r>
    </w:p>
    <w:p>
      <w:pPr>
        <w:jc w:val="center"/>
        <w:rPr>
          <w:rFonts w:eastAsia="黑体"/>
          <w:color w:val="auto"/>
          <w:szCs w:val="21"/>
        </w:rPr>
      </w:pPr>
      <w:r>
        <w:rPr>
          <w:rFonts w:eastAsia="黑体"/>
          <w:color w:val="auto"/>
          <w:szCs w:val="21"/>
        </w:rPr>
        <w:t>表</w:t>
      </w:r>
      <w:r>
        <w:rPr>
          <w:rFonts w:hint="eastAsia" w:eastAsia="黑体"/>
          <w:color w:val="auto"/>
          <w:szCs w:val="21"/>
          <w:lang w:val="en-US" w:eastAsia="zh-CN"/>
        </w:rPr>
        <w:t>5.2</w:t>
      </w:r>
      <w:r>
        <w:rPr>
          <w:rFonts w:eastAsia="黑体"/>
          <w:color w:val="auto"/>
          <w:szCs w:val="21"/>
        </w:rPr>
        <w:t>-</w:t>
      </w:r>
      <w:r>
        <w:rPr>
          <w:rFonts w:hint="eastAsia" w:eastAsia="黑体"/>
          <w:color w:val="auto"/>
          <w:szCs w:val="21"/>
          <w:lang w:val="en-US" w:eastAsia="zh-CN"/>
        </w:rPr>
        <w:t xml:space="preserve">11  </w:t>
      </w:r>
      <w:r>
        <w:rPr>
          <w:rFonts w:hint="eastAsia" w:eastAsia="黑体"/>
          <w:color w:val="auto"/>
          <w:szCs w:val="21"/>
          <w:lang w:val="zh-CN"/>
        </w:rPr>
        <w:t>估算模式参数表</w:t>
      </w:r>
    </w:p>
    <w:tbl>
      <w:tblPr>
        <w:tblStyle w:val="89"/>
        <w:tblW w:w="8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3533"/>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2" w:right="0" w:hanging="422"/>
              <w:jc w:val="center"/>
              <w:rPr>
                <w:rFonts w:hint="default" w:ascii="Times New Roman" w:hAnsi="Times New Roman"/>
                <w:b/>
                <w:color w:val="auto"/>
              </w:rPr>
            </w:pPr>
            <w:r>
              <w:rPr>
                <w:rFonts w:hint="default" w:ascii="Times New Roman" w:hAnsi="宋体"/>
                <w:b/>
                <w:color w:val="auto"/>
              </w:rPr>
              <w:t>参数</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2" w:right="0" w:hanging="422"/>
              <w:jc w:val="center"/>
              <w:rPr>
                <w:rFonts w:hint="default" w:ascii="Times New Roman" w:hAnsi="Times New Roman"/>
                <w:b/>
                <w:color w:val="auto"/>
              </w:rPr>
            </w:pPr>
            <w:r>
              <w:rPr>
                <w:rFonts w:hint="default" w:ascii="Times New Roman" w:hAnsi="宋体"/>
                <w:b/>
                <w:color w:val="auto"/>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restart"/>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城市</w:t>
            </w:r>
            <w:r>
              <w:rPr>
                <w:rFonts w:hint="default" w:ascii="Times New Roman" w:hAnsi="Times New Roman"/>
                <w:color w:val="auto"/>
              </w:rPr>
              <w:t>/</w:t>
            </w:r>
            <w:r>
              <w:rPr>
                <w:rFonts w:hint="default" w:ascii="Times New Roman" w:hAnsi="宋体"/>
                <w:color w:val="auto"/>
              </w:rPr>
              <w:t>农村选项</w:t>
            </w: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城市</w:t>
            </w:r>
            <w:r>
              <w:rPr>
                <w:rFonts w:hint="default" w:ascii="Times New Roman" w:hAnsi="Times New Roman"/>
                <w:color w:val="auto"/>
              </w:rPr>
              <w:t>/</w:t>
            </w:r>
            <w:r>
              <w:rPr>
                <w:rFonts w:hint="default" w:ascii="Times New Roman" w:hAnsi="宋体"/>
                <w:color w:val="auto"/>
              </w:rPr>
              <w:t>农村</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continue"/>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人口数（城市选项时）</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最高环境温度</w:t>
            </w:r>
            <w:r>
              <w:rPr>
                <w:rFonts w:hint="default" w:ascii="Times New Roman" w:hAnsi="Times New Roman"/>
                <w:color w:val="auto"/>
              </w:rPr>
              <w:t>/℃</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最低环境温度</w:t>
            </w:r>
            <w:r>
              <w:rPr>
                <w:rFonts w:hint="default" w:ascii="Times New Roman" w:hAnsi="Times New Roman"/>
                <w:color w:val="auto"/>
              </w:rPr>
              <w:t>/℃</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eastAsia="宋体"/>
                <w:color w:val="auto"/>
                <w:lang w:val="en-US" w:eastAsia="zh-CN"/>
              </w:rPr>
            </w:pPr>
            <w:r>
              <w:rPr>
                <w:rFonts w:hint="eastAsia" w:ascii="Times New Roman" w:hAnsi="Times New Roman"/>
                <w:color w:val="auto"/>
              </w:rPr>
              <w:t>-</w:t>
            </w:r>
            <w:r>
              <w:rPr>
                <w:rFonts w:hint="eastAsia" w:ascii="Times New Roman" w:hAnsi="Times New Roman"/>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土地利用类型</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leftChars="0" w:right="0" w:hanging="420" w:firstLineChars="0"/>
              <w:jc w:val="center"/>
              <w:rPr>
                <w:rFonts w:hint="default" w:ascii="Times New Roman" w:hAnsi="Times New Roman"/>
                <w:color w:val="auto"/>
              </w:rPr>
            </w:pPr>
            <w:r>
              <w:rPr>
                <w:rFonts w:hint="default" w:ascii="Times New Roman" w:hAnsi="Times New Roman"/>
                <w:color w:val="auto"/>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740" w:type="dxa"/>
            <w:gridSpan w:val="2"/>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区域湿度条件</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leftChars="0" w:right="0" w:hanging="420" w:firstLineChars="0"/>
              <w:jc w:val="center"/>
              <w:rPr>
                <w:rFonts w:hint="default" w:ascii="Times New Roman" w:hAnsi="Times New Roman"/>
                <w:color w:val="auto"/>
              </w:rPr>
            </w:pPr>
            <w:r>
              <w:rPr>
                <w:rFonts w:hint="default" w:ascii="Times New Roman" w:hAnsi="Times New Roman"/>
                <w:color w:val="auto"/>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restart"/>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是否考虑地形</w:t>
            </w: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考虑地形</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 w:hRule="atLeast"/>
          <w:jc w:val="center"/>
        </w:trPr>
        <w:tc>
          <w:tcPr>
            <w:tcW w:w="2207" w:type="dxa"/>
            <w:vMerge w:val="continue"/>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地形数据分辨率</w:t>
            </w:r>
            <w:r>
              <w:rPr>
                <w:rFonts w:hint="default" w:ascii="Times New Roman" w:hAnsi="Times New Roman"/>
                <w:color w:val="auto"/>
              </w:rPr>
              <w:t>/m</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eastAsia" w:ascii="Times New Roman" w:hAnsi="Times New Roman"/>
                <w:color w:val="auto"/>
                <w:lang w:val="en-US" w:eastAsia="zh-CN"/>
              </w:rPr>
              <w:t>9</w:t>
            </w:r>
            <w:r>
              <w:rPr>
                <w:rFonts w:hint="default"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restart"/>
            <w:tcBorders>
              <w:tl2br w:val="nil"/>
              <w:tr2bl w:val="nil"/>
            </w:tcBorders>
            <w:vAlign w:val="center"/>
          </w:tcPr>
          <w:p>
            <w:pPr>
              <w:pStyle w:val="46"/>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宋体"/>
                <w:color w:val="auto"/>
              </w:rPr>
              <w:t>是否考虑岸线薰烟</w:t>
            </w: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考虑岸线薰烟</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7" w:type="dxa"/>
            <w:vMerge w:val="continue"/>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岸线距离</w:t>
            </w:r>
            <w:r>
              <w:rPr>
                <w:rFonts w:hint="default" w:ascii="Times New Roman" w:hAnsi="Times New Roman"/>
                <w:color w:val="auto"/>
              </w:rPr>
              <w:t>/km</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07" w:type="dxa"/>
            <w:vMerge w:val="continue"/>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p>
        </w:tc>
        <w:tc>
          <w:tcPr>
            <w:tcW w:w="353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宋体"/>
                <w:color w:val="auto"/>
              </w:rPr>
              <w:t>岸线方向</w:t>
            </w:r>
            <w:r>
              <w:rPr>
                <w:rFonts w:hint="default" w:ascii="Times New Roman" w:hAnsi="Times New Roman"/>
                <w:color w:val="auto"/>
              </w:rPr>
              <w:t>/°</w:t>
            </w:r>
          </w:p>
        </w:tc>
        <w:tc>
          <w:tcPr>
            <w:tcW w:w="3123" w:type="dxa"/>
            <w:tcBorders>
              <w:tl2br w:val="nil"/>
              <w:tr2bl w:val="nil"/>
            </w:tcBorders>
            <w:vAlign w:val="center"/>
          </w:tcPr>
          <w:p>
            <w:pPr>
              <w:pStyle w:val="46"/>
              <w:keepNext w:val="0"/>
              <w:keepLines w:val="0"/>
              <w:suppressLineNumbers w:val="0"/>
              <w:spacing w:before="0" w:beforeAutospacing="0" w:after="0" w:afterAutospacing="0"/>
              <w:ind w:left="840" w:right="0" w:hanging="420"/>
              <w:jc w:val="center"/>
              <w:rPr>
                <w:rFonts w:hint="default" w:ascii="Times New Roman" w:hAnsi="Times New Roman"/>
                <w:color w:val="auto"/>
              </w:rPr>
            </w:pPr>
            <w:r>
              <w:rPr>
                <w:rFonts w:hint="default" w:ascii="Times New Roman" w:hAnsi="Times New Roman"/>
                <w:color w:val="auto"/>
              </w:rPr>
              <w:t>/</w:t>
            </w:r>
          </w:p>
        </w:tc>
      </w:tr>
    </w:tbl>
    <w:p>
      <w:pPr>
        <w:pStyle w:val="1244"/>
        <w:rPr>
          <w:rFonts w:hAnsi="宋体" w:cs="宋体"/>
          <w:color w:val="auto"/>
        </w:rPr>
      </w:pPr>
      <w:r>
        <w:rPr>
          <w:rFonts w:hint="eastAsia" w:hAnsi="宋体" w:cs="宋体"/>
          <w:color w:val="auto"/>
        </w:rPr>
        <w:t>（4）估算预测结果</w:t>
      </w:r>
    </w:p>
    <w:p>
      <w:pPr>
        <w:jc w:val="center"/>
        <w:rPr>
          <w:rFonts w:ascii="Times New Roman" w:hAnsi="Times New Roman" w:eastAsia="黑体" w:cs="Times New Roman"/>
          <w:color w:val="auto"/>
          <w:szCs w:val="21"/>
        </w:rPr>
      </w:pPr>
      <w:r>
        <w:rPr>
          <w:rFonts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5.2</w:t>
      </w:r>
      <w:r>
        <w:rPr>
          <w:rFonts w:ascii="Times New Roman" w:hAnsi="Times New Roman" w:eastAsia="黑体" w:cs="Times New Roman"/>
          <w:color w:val="auto"/>
          <w:szCs w:val="21"/>
        </w:rPr>
        <w:t>-</w:t>
      </w:r>
      <w:r>
        <w:rPr>
          <w:rFonts w:hint="eastAsia" w:eastAsia="黑体" w:cs="Times New Roman"/>
          <w:color w:val="auto"/>
          <w:szCs w:val="21"/>
          <w:lang w:val="en-US" w:eastAsia="zh-CN"/>
        </w:rPr>
        <w:t>12</w:t>
      </w:r>
      <w:r>
        <w:rPr>
          <w:rFonts w:ascii="Times New Roman" w:hAnsi="Times New Roman" w:eastAsia="黑体" w:cs="Times New Roman"/>
          <w:color w:val="auto"/>
          <w:szCs w:val="21"/>
        </w:rPr>
        <w:t xml:space="preserve">  点源估算模型计算结果表</w:t>
      </w:r>
    </w:p>
    <w:tbl>
      <w:tblPr>
        <w:tblStyle w:val="90"/>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1"/>
        <w:gridCol w:w="2554"/>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901" w:type="dxa"/>
            <w:vMerge w:val="restart"/>
            <w:vAlign w:val="center"/>
          </w:tcPr>
          <w:p>
            <w:pPr>
              <w:keepNext w:val="0"/>
              <w:keepLines w:val="0"/>
              <w:suppressLineNumbers w:val="0"/>
              <w:spacing w:before="0" w:beforeAutospacing="0" w:after="0" w:afterAutospacing="0"/>
              <w:ind w:left="0" w:right="0"/>
              <w:jc w:val="center"/>
              <w:rPr>
                <w:rFonts w:hint="default"/>
                <w:b/>
                <w:color w:val="auto"/>
                <w:kern w:val="0"/>
                <w:szCs w:val="21"/>
              </w:rPr>
            </w:pPr>
            <w:r>
              <w:rPr>
                <w:rFonts w:hint="default"/>
                <w:b/>
                <w:color w:val="auto"/>
                <w:kern w:val="0"/>
                <w:szCs w:val="21"/>
                <w:highlight w:val="none"/>
              </w:rPr>
              <w:t>距源</w:t>
            </w:r>
            <w:r>
              <w:rPr>
                <w:rFonts w:hint="default"/>
                <w:b/>
                <w:color w:val="auto"/>
                <w:kern w:val="0"/>
                <w:szCs w:val="21"/>
              </w:rPr>
              <w:t>中心下风向距离D（m）</w:t>
            </w:r>
          </w:p>
        </w:tc>
        <w:tc>
          <w:tcPr>
            <w:tcW w:w="5818" w:type="dxa"/>
            <w:gridSpan w:val="2"/>
            <w:vAlign w:val="center"/>
          </w:tcPr>
          <w:p>
            <w:pPr>
              <w:keepNext w:val="0"/>
              <w:keepLines w:val="0"/>
              <w:suppressLineNumbers w:val="0"/>
              <w:spacing w:before="0" w:beforeAutospacing="0" w:after="0" w:afterAutospacing="0"/>
              <w:ind w:left="0" w:right="0"/>
              <w:jc w:val="center"/>
              <w:rPr>
                <w:rFonts w:hint="default"/>
                <w:b/>
                <w:bCs/>
                <w:color w:val="auto"/>
                <w:kern w:val="0"/>
              </w:rPr>
            </w:pPr>
            <w:r>
              <w:rPr>
                <w:rFonts w:hint="eastAsia"/>
                <w:b/>
                <w:bCs/>
                <w:color w:val="auto"/>
                <w:kern w:val="0"/>
                <w:lang w:val="en-US" w:eastAsia="zh-CN"/>
              </w:rPr>
              <w:t>TSP</w:t>
            </w:r>
            <w:r>
              <w:rPr>
                <w:rFonts w:hint="default"/>
                <w:b/>
                <w:color w:val="auto"/>
                <w:kern w:val="0"/>
                <w:szCs w:val="21"/>
              </w:rPr>
              <w:t>（排气筒</w:t>
            </w:r>
            <w:r>
              <w:rPr>
                <w:rFonts w:hint="eastAsia"/>
                <w:b/>
                <w:color w:val="auto"/>
                <w:kern w:val="0"/>
                <w:szCs w:val="21"/>
                <w:lang w:val="en-US" w:eastAsia="zh-CN"/>
              </w:rPr>
              <w:t>DA001</w:t>
            </w:r>
            <w:r>
              <w:rPr>
                <w:rFonts w:hint="default"/>
                <w:b/>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2901" w:type="dxa"/>
            <w:vMerge w:val="continue"/>
            <w:vAlign w:val="center"/>
          </w:tcPr>
          <w:p>
            <w:pPr>
              <w:keepNext w:val="0"/>
              <w:keepLines w:val="0"/>
              <w:suppressLineNumbers w:val="0"/>
              <w:spacing w:before="0" w:beforeAutospacing="0" w:after="0" w:afterAutospacing="0"/>
              <w:ind w:left="0" w:right="0"/>
              <w:jc w:val="center"/>
              <w:rPr>
                <w:rFonts w:hint="default"/>
                <w:b/>
                <w:color w:val="auto"/>
                <w:kern w:val="0"/>
                <w:szCs w:val="21"/>
              </w:rPr>
            </w:pPr>
          </w:p>
        </w:tc>
        <w:tc>
          <w:tcPr>
            <w:tcW w:w="255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kern w:val="0"/>
                <w:sz w:val="21"/>
                <w:szCs w:val="21"/>
                <w:lang w:val="en-US" w:eastAsia="zh-CN" w:bidi="ar-SA"/>
              </w:rPr>
            </w:pPr>
            <w:r>
              <w:rPr>
                <w:rFonts w:hint="default"/>
                <w:b/>
                <w:color w:val="auto"/>
                <w:kern w:val="0"/>
                <w:szCs w:val="21"/>
              </w:rPr>
              <w:t>预测质量浓度（μg/m</w:t>
            </w:r>
            <w:r>
              <w:rPr>
                <w:rFonts w:hint="default"/>
                <w:b/>
                <w:color w:val="auto"/>
                <w:kern w:val="0"/>
                <w:szCs w:val="21"/>
                <w:vertAlign w:val="superscript"/>
              </w:rPr>
              <w:t>3</w:t>
            </w:r>
            <w:r>
              <w:rPr>
                <w:rFonts w:hint="default"/>
                <w:b/>
                <w:color w:val="auto"/>
                <w:kern w:val="0"/>
                <w:szCs w:val="21"/>
              </w:rPr>
              <w:t>）</w:t>
            </w:r>
          </w:p>
        </w:tc>
        <w:tc>
          <w:tcPr>
            <w:tcW w:w="326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kern w:val="0"/>
                <w:sz w:val="21"/>
                <w:szCs w:val="21"/>
                <w:lang w:val="en-US" w:eastAsia="zh-CN" w:bidi="ar-SA"/>
              </w:rPr>
            </w:pPr>
            <w:r>
              <w:rPr>
                <w:rFonts w:hint="default"/>
                <w:b/>
                <w:color w:val="auto"/>
                <w:kern w:val="0"/>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Cs/>
                <w:color w:val="auto"/>
                <w:kern w:val="0"/>
                <w:szCs w:val="21"/>
              </w:rPr>
            </w:pPr>
            <w:r>
              <w:rPr>
                <w:rFonts w:hint="eastAsia"/>
                <w:color w:val="auto"/>
                <w:kern w:val="0"/>
                <w:lang w:val="en-US" w:eastAsia="zh-CN"/>
              </w:rPr>
              <w:t>10</w:t>
            </w:r>
          </w:p>
        </w:tc>
        <w:tc>
          <w:tcPr>
            <w:tcW w:w="255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0.017611</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Cs/>
                <w:color w:val="auto"/>
                <w:kern w:val="0"/>
                <w:szCs w:val="21"/>
              </w:rPr>
            </w:pPr>
            <w:r>
              <w:rPr>
                <w:rFonts w:hint="default"/>
                <w:color w:val="auto"/>
                <w:kern w:val="0"/>
              </w:rPr>
              <w:t>25</w:t>
            </w:r>
          </w:p>
        </w:tc>
        <w:tc>
          <w:tcPr>
            <w:tcW w:w="255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0.36662</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color w:val="auto"/>
                <w:kern w:val="0"/>
                <w:szCs w:val="21"/>
                <w:lang w:val="en-US" w:eastAsia="zh-CN"/>
              </w:rPr>
            </w:pPr>
            <w:r>
              <w:rPr>
                <w:rFonts w:hint="default"/>
                <w:color w:val="auto"/>
                <w:kern w:val="0"/>
              </w:rPr>
              <w:t>50</w:t>
            </w:r>
          </w:p>
        </w:tc>
        <w:tc>
          <w:tcPr>
            <w:tcW w:w="255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1.1814</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Cs/>
                <w:color w:val="auto"/>
                <w:kern w:val="0"/>
                <w:szCs w:val="21"/>
                <w:lang w:val="en-US" w:eastAsia="zh-CN"/>
              </w:rPr>
            </w:pPr>
            <w:r>
              <w:rPr>
                <w:rFonts w:hint="eastAsia"/>
                <w:b/>
                <w:bCs/>
                <w:color w:val="auto"/>
                <w:kern w:val="0"/>
                <w:lang w:val="en-US" w:eastAsia="zh-CN"/>
              </w:rPr>
              <w:t>64</w:t>
            </w:r>
          </w:p>
        </w:tc>
        <w:tc>
          <w:tcPr>
            <w:tcW w:w="2554" w:type="dxa"/>
            <w:vAlign w:val="center"/>
          </w:tcPr>
          <w:p>
            <w:pPr>
              <w:keepNext w:val="0"/>
              <w:keepLines w:val="0"/>
              <w:suppressLineNumbers w:val="0"/>
              <w:spacing w:before="0" w:beforeAutospacing="0" w:after="0" w:afterAutospacing="0" w:line="280" w:lineRule="exact"/>
              <w:ind w:left="0" w:right="0"/>
              <w:jc w:val="center"/>
              <w:rPr>
                <w:rFonts w:hint="eastAsia"/>
                <w:b/>
                <w:bCs/>
                <w:color w:val="auto"/>
              </w:rPr>
            </w:pPr>
            <w:r>
              <w:rPr>
                <w:rFonts w:hint="eastAsia"/>
                <w:b/>
                <w:bCs/>
                <w:color w:val="auto"/>
              </w:rPr>
              <w:t>1.2807</w:t>
            </w:r>
          </w:p>
        </w:tc>
        <w:tc>
          <w:tcPr>
            <w:tcW w:w="3264" w:type="dxa"/>
            <w:vAlign w:val="center"/>
          </w:tcPr>
          <w:p>
            <w:pPr>
              <w:keepNext w:val="0"/>
              <w:keepLines w:val="0"/>
              <w:suppressLineNumbers w:val="0"/>
              <w:spacing w:before="0" w:beforeAutospacing="0" w:after="0" w:afterAutospacing="0" w:line="280" w:lineRule="exact"/>
              <w:ind w:left="0" w:right="0"/>
              <w:jc w:val="center"/>
              <w:rPr>
                <w:rFonts w:hint="default" w:eastAsia="宋体"/>
                <w:b/>
                <w:bCs/>
                <w:color w:val="auto"/>
                <w:lang w:val="en-US" w:eastAsia="zh-CN"/>
              </w:rPr>
            </w:pPr>
            <w:r>
              <w:rPr>
                <w:rFonts w:hint="eastAsia"/>
                <w:b/>
                <w:bCs/>
                <w:color w:val="auto"/>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color w:val="auto"/>
                <w:kern w:val="0"/>
              </w:rPr>
              <w:t>75</w:t>
            </w:r>
          </w:p>
        </w:tc>
        <w:tc>
          <w:tcPr>
            <w:tcW w:w="255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1.2485</w:t>
            </w:r>
          </w:p>
        </w:tc>
        <w:tc>
          <w:tcPr>
            <w:tcW w:w="326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color w:val="auto"/>
                <w:kern w:val="0"/>
              </w:rPr>
              <w:t>100</w:t>
            </w:r>
          </w:p>
        </w:tc>
        <w:tc>
          <w:tcPr>
            <w:tcW w:w="255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b/>
                <w:bCs/>
                <w:color w:val="auto"/>
                <w:kern w:val="2"/>
                <w:sz w:val="21"/>
                <w:szCs w:val="24"/>
                <w:lang w:val="en-US" w:eastAsia="zh-CN" w:bidi="ar-SA"/>
              </w:rPr>
            </w:pPr>
            <w:r>
              <w:rPr>
                <w:rFonts w:hint="eastAsia"/>
                <w:color w:val="auto"/>
              </w:rPr>
              <w:t>1.0563</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color w:val="auto"/>
                <w:kern w:val="0"/>
              </w:rPr>
              <w:t>200</w:t>
            </w:r>
          </w:p>
        </w:tc>
        <w:tc>
          <w:tcPr>
            <w:tcW w:w="255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0.84532</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color w:val="auto"/>
                <w:kern w:val="0"/>
              </w:rPr>
              <w:t>300</w:t>
            </w:r>
          </w:p>
        </w:tc>
        <w:tc>
          <w:tcPr>
            <w:tcW w:w="255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0.74656</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color w:val="auto"/>
                <w:kern w:val="0"/>
              </w:rPr>
              <w:t>500</w:t>
            </w:r>
          </w:p>
        </w:tc>
        <w:tc>
          <w:tcPr>
            <w:tcW w:w="255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0.6201</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color w:val="auto"/>
                <w:kern w:val="0"/>
              </w:rPr>
              <w:t>1000</w:t>
            </w:r>
          </w:p>
        </w:tc>
        <w:tc>
          <w:tcPr>
            <w:tcW w:w="255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0.38667</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olor w:val="auto"/>
                <w:kern w:val="0"/>
                <w:lang w:val="en-US" w:eastAsia="zh-CN"/>
              </w:rPr>
              <w:t>2000</w:t>
            </w:r>
          </w:p>
        </w:tc>
        <w:tc>
          <w:tcPr>
            <w:tcW w:w="255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olor w:val="auto"/>
              </w:rPr>
              <w:t>0.22098</w:t>
            </w:r>
          </w:p>
        </w:tc>
        <w:tc>
          <w:tcPr>
            <w:tcW w:w="3264" w:type="dxa"/>
            <w:vAlign w:val="center"/>
          </w:tcPr>
          <w:p>
            <w:pPr>
              <w:keepNext w:val="0"/>
              <w:keepLines w:val="0"/>
              <w:suppressLineNumbers w:val="0"/>
              <w:spacing w:before="0" w:beforeAutospacing="0" w:after="0" w:afterAutospacing="0" w:line="280" w:lineRule="exact"/>
              <w:ind w:left="0" w:right="0"/>
              <w:jc w:val="center"/>
              <w:rPr>
                <w:rFonts w:hint="eastAsia"/>
                <w:color w:val="auto"/>
              </w:rPr>
            </w:pPr>
            <w:r>
              <w:rPr>
                <w:rFonts w:hint="eastAsia"/>
                <w:color w:val="auto"/>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2901" w:type="dxa"/>
            <w:vAlign w:val="center"/>
          </w:tcPr>
          <w:p>
            <w:pPr>
              <w:keepNext w:val="0"/>
              <w:keepLines w:val="0"/>
              <w:suppressLineNumbers w:val="0"/>
              <w:spacing w:before="0" w:beforeAutospacing="0" w:after="0" w:afterAutospacing="0" w:line="280" w:lineRule="exact"/>
              <w:ind w:left="0" w:right="0"/>
              <w:jc w:val="center"/>
              <w:rPr>
                <w:rFonts w:hint="default"/>
                <w:b/>
                <w:color w:val="auto"/>
                <w:kern w:val="0"/>
                <w:szCs w:val="21"/>
              </w:rPr>
            </w:pPr>
            <w:r>
              <w:rPr>
                <w:rFonts w:hint="default"/>
                <w:b/>
                <w:color w:val="auto"/>
                <w:kern w:val="0"/>
                <w:szCs w:val="21"/>
              </w:rPr>
              <w:t>最大落地浓度</w:t>
            </w:r>
          </w:p>
        </w:tc>
        <w:tc>
          <w:tcPr>
            <w:tcW w:w="255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b/>
                <w:bCs/>
                <w:color w:val="auto"/>
                <w:kern w:val="2"/>
                <w:sz w:val="21"/>
                <w:szCs w:val="24"/>
                <w:lang w:val="en-US" w:eastAsia="zh-CN" w:bidi="ar-SA"/>
              </w:rPr>
            </w:pPr>
            <w:r>
              <w:rPr>
                <w:rFonts w:hint="eastAsia"/>
                <w:b/>
                <w:bCs/>
                <w:color w:val="auto"/>
              </w:rPr>
              <w:t>1.2807</w:t>
            </w:r>
          </w:p>
        </w:tc>
        <w:tc>
          <w:tcPr>
            <w:tcW w:w="3264"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b/>
                <w:bCs/>
                <w:color w:val="auto"/>
                <w:kern w:val="2"/>
                <w:sz w:val="21"/>
                <w:szCs w:val="24"/>
                <w:lang w:val="en-US" w:eastAsia="zh-CN" w:bidi="ar-SA"/>
              </w:rPr>
            </w:pPr>
            <w:r>
              <w:rPr>
                <w:rFonts w:hint="eastAsia"/>
                <w:b/>
                <w:bCs/>
                <w:color w:val="auto"/>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90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lang w:val="en-US" w:eastAsia="zh-CN" w:bidi="ar-SA"/>
              </w:rPr>
            </w:pPr>
            <w:r>
              <w:rPr>
                <w:rFonts w:hint="eastAsia"/>
                <w:b/>
                <w:color w:val="auto"/>
                <w:kern w:val="0"/>
                <w:szCs w:val="21"/>
              </w:rPr>
              <w:t>D</w:t>
            </w:r>
            <w:r>
              <w:rPr>
                <w:rFonts w:hint="eastAsia"/>
                <w:b/>
                <w:color w:val="auto"/>
                <w:kern w:val="0"/>
                <w:szCs w:val="21"/>
                <w:vertAlign w:val="subscript"/>
              </w:rPr>
              <w:t>10%</w:t>
            </w:r>
            <w:r>
              <w:rPr>
                <w:rFonts w:hint="eastAsia"/>
                <w:b/>
                <w:color w:val="auto"/>
                <w:kern w:val="0"/>
                <w:szCs w:val="21"/>
              </w:rPr>
              <w:t>最远距离/m</w:t>
            </w:r>
          </w:p>
        </w:tc>
        <w:tc>
          <w:tcPr>
            <w:tcW w:w="2554" w:type="dxa"/>
            <w:vAlign w:val="center"/>
          </w:tcPr>
          <w:p>
            <w:pPr>
              <w:keepNext w:val="0"/>
              <w:keepLines w:val="0"/>
              <w:suppressLineNumbers w:val="0"/>
              <w:spacing w:before="0" w:beforeAutospacing="0" w:after="0" w:afterAutospacing="0" w:line="280" w:lineRule="exact"/>
              <w:ind w:left="0" w:right="0"/>
              <w:jc w:val="center"/>
              <w:rPr>
                <w:rFonts w:hint="default"/>
                <w:b/>
                <w:color w:val="auto"/>
                <w:lang w:val="en-US" w:eastAsia="zh-CN"/>
              </w:rPr>
            </w:pPr>
            <w:r>
              <w:rPr>
                <w:rFonts w:hint="eastAsia"/>
                <w:b/>
                <w:color w:val="auto"/>
                <w:lang w:val="en-US" w:eastAsia="zh-CN"/>
              </w:rPr>
              <w:t>/</w:t>
            </w:r>
          </w:p>
        </w:tc>
        <w:tc>
          <w:tcPr>
            <w:tcW w:w="3264" w:type="dxa"/>
            <w:vAlign w:val="center"/>
          </w:tcPr>
          <w:p>
            <w:pPr>
              <w:keepNext w:val="0"/>
              <w:keepLines w:val="0"/>
              <w:suppressLineNumbers w:val="0"/>
              <w:spacing w:before="0" w:beforeAutospacing="0" w:after="0" w:afterAutospacing="0" w:line="280" w:lineRule="exact"/>
              <w:ind w:left="0" w:right="0"/>
              <w:jc w:val="center"/>
              <w:rPr>
                <w:rFonts w:hint="default"/>
                <w:b/>
                <w:color w:val="auto"/>
                <w:lang w:val="en-US" w:eastAsia="zh-CN"/>
              </w:rPr>
            </w:pPr>
            <w:r>
              <w:rPr>
                <w:rFonts w:hint="eastAsia"/>
                <w:b/>
                <w:color w:val="auto"/>
                <w:lang w:val="en-US" w:eastAsia="zh-CN"/>
              </w:rPr>
              <w:t>/</w:t>
            </w:r>
          </w:p>
        </w:tc>
      </w:tr>
    </w:tbl>
    <w:p>
      <w:pPr>
        <w:spacing w:before="157" w:beforeLines="50" w:line="240" w:lineRule="auto"/>
        <w:ind w:firstLine="422" w:firstLineChars="200"/>
        <w:jc w:val="center"/>
        <w:rPr>
          <w:b/>
          <w:color w:val="auto"/>
          <w:kern w:val="0"/>
          <w:szCs w:val="18"/>
        </w:rPr>
      </w:pPr>
    </w:p>
    <w:p>
      <w:pPr>
        <w:jc w:val="center"/>
        <w:rPr>
          <w:rFonts w:ascii="Times New Roman" w:hAnsi="Times New Roman" w:eastAsia="黑体" w:cs="Times New Roman"/>
          <w:color w:val="auto"/>
          <w:szCs w:val="21"/>
        </w:rPr>
      </w:pPr>
      <w:r>
        <w:rPr>
          <w:rFonts w:ascii="Times New Roman" w:hAnsi="Times New Roman" w:eastAsia="黑体" w:cs="Times New Roman"/>
          <w:color w:val="auto"/>
          <w:szCs w:val="21"/>
        </w:rPr>
        <w:t>表</w:t>
      </w:r>
      <w:r>
        <w:rPr>
          <w:rFonts w:hint="eastAsia" w:eastAsia="黑体" w:cs="Times New Roman"/>
          <w:color w:val="auto"/>
          <w:szCs w:val="21"/>
          <w:lang w:val="en-US" w:eastAsia="zh-CN"/>
        </w:rPr>
        <w:t>5</w:t>
      </w:r>
      <w:r>
        <w:rPr>
          <w:rFonts w:hint="eastAsia" w:ascii="Times New Roman" w:hAnsi="Times New Roman" w:eastAsia="黑体" w:cs="Times New Roman"/>
          <w:color w:val="auto"/>
          <w:szCs w:val="21"/>
          <w:lang w:val="en-US" w:eastAsia="zh-CN"/>
        </w:rPr>
        <w:t>.2</w:t>
      </w:r>
      <w:r>
        <w:rPr>
          <w:rFonts w:ascii="Times New Roman" w:hAnsi="Times New Roman" w:eastAsia="黑体" w:cs="Times New Roman"/>
          <w:color w:val="auto"/>
          <w:szCs w:val="21"/>
        </w:rPr>
        <w:t>-</w:t>
      </w:r>
      <w:r>
        <w:rPr>
          <w:rFonts w:hint="eastAsia" w:eastAsia="黑体" w:cs="Times New Roman"/>
          <w:color w:val="auto"/>
          <w:szCs w:val="21"/>
          <w:lang w:val="en-US" w:eastAsia="zh-CN"/>
        </w:rPr>
        <w:t xml:space="preserve">13  </w:t>
      </w:r>
      <w:r>
        <w:rPr>
          <w:rFonts w:hint="eastAsia" w:ascii="Times New Roman" w:hAnsi="Times New Roman" w:eastAsia="黑体" w:cs="Times New Roman"/>
          <w:color w:val="auto"/>
          <w:szCs w:val="21"/>
          <w:lang w:val="en-US" w:eastAsia="zh-CN"/>
        </w:rPr>
        <w:t>厂区牛舍及发酵床</w:t>
      </w:r>
      <w:r>
        <w:rPr>
          <w:rFonts w:hint="eastAsia" w:eastAsia="黑体" w:cs="Times New Roman"/>
          <w:color w:val="auto"/>
          <w:szCs w:val="21"/>
          <w:lang w:val="en-US" w:eastAsia="zh-CN"/>
        </w:rPr>
        <w:t>、饲料加工</w:t>
      </w:r>
      <w:r>
        <w:rPr>
          <w:rFonts w:hint="eastAsia" w:ascii="Times New Roman" w:hAnsi="Times New Roman" w:eastAsia="黑体" w:cs="Times New Roman"/>
          <w:color w:val="auto"/>
          <w:szCs w:val="21"/>
          <w:lang w:val="en-US" w:eastAsia="zh-CN"/>
        </w:rPr>
        <w:t>无</w:t>
      </w:r>
      <w:r>
        <w:rPr>
          <w:rFonts w:hint="eastAsia" w:ascii="Times New Roman" w:hAnsi="Times New Roman" w:eastAsia="黑体" w:cs="Times New Roman"/>
          <w:color w:val="auto"/>
          <w:szCs w:val="21"/>
        </w:rPr>
        <w:t>组织排放</w:t>
      </w:r>
      <w:r>
        <w:rPr>
          <w:rFonts w:ascii="Times New Roman" w:hAnsi="Times New Roman" w:eastAsia="黑体" w:cs="Times New Roman"/>
          <w:color w:val="auto"/>
          <w:szCs w:val="21"/>
        </w:rPr>
        <w:t>估算模型计算结果</w:t>
      </w:r>
    </w:p>
    <w:tbl>
      <w:tblPr>
        <w:tblStyle w:val="89"/>
        <w:tblW w:w="90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3"/>
        <w:gridCol w:w="1268"/>
        <w:gridCol w:w="1270"/>
        <w:gridCol w:w="1319"/>
        <w:gridCol w:w="1239"/>
        <w:gridCol w:w="1264"/>
        <w:gridCol w:w="12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1453" w:type="dxa"/>
            <w:vMerge w:val="restart"/>
            <w:vAlign w:val="center"/>
          </w:tcPr>
          <w:p>
            <w:pPr>
              <w:pStyle w:val="46"/>
              <w:keepNext w:val="0"/>
              <w:keepLines w:val="0"/>
              <w:suppressLineNumbers w:val="0"/>
              <w:spacing w:before="0" w:beforeAutospacing="0" w:after="0" w:afterAutospacing="0"/>
              <w:ind w:left="842" w:right="0" w:hanging="422"/>
              <w:jc w:val="center"/>
              <w:rPr>
                <w:rFonts w:hint="default" w:ascii="Times New Roman" w:hAnsi="Times New Roman"/>
                <w:b/>
                <w:bCs/>
                <w:color w:val="auto"/>
                <w:szCs w:val="21"/>
              </w:rPr>
            </w:pPr>
            <w:r>
              <w:rPr>
                <w:rFonts w:hint="default" w:ascii="Times New Roman" w:hAnsi="Times New Roman"/>
                <w:b/>
                <w:bCs/>
                <w:color w:val="auto"/>
                <w:szCs w:val="21"/>
              </w:rPr>
              <w:t>下风向距离/m</w:t>
            </w:r>
          </w:p>
        </w:tc>
        <w:tc>
          <w:tcPr>
            <w:tcW w:w="2538" w:type="dxa"/>
            <w:gridSpan w:val="2"/>
            <w:vAlign w:val="center"/>
          </w:tcPr>
          <w:p>
            <w:pPr>
              <w:pStyle w:val="46"/>
              <w:keepNext w:val="0"/>
              <w:keepLines w:val="0"/>
              <w:suppressLineNumbers w:val="0"/>
              <w:spacing w:before="0" w:beforeAutospacing="0" w:after="0" w:afterAutospacing="0"/>
              <w:ind w:left="842" w:right="0" w:hanging="422"/>
              <w:jc w:val="center"/>
              <w:rPr>
                <w:rFonts w:hint="eastAsia" w:ascii="Times New Roman" w:hAnsi="Times New Roman" w:eastAsia="宋体"/>
                <w:b/>
                <w:bCs/>
                <w:color w:val="auto"/>
                <w:szCs w:val="21"/>
                <w:lang w:eastAsia="zh-CN"/>
              </w:rPr>
            </w:pPr>
            <w:r>
              <w:rPr>
                <w:rFonts w:hint="default" w:ascii="Times New Roman" w:hAnsi="Times New Roman"/>
                <w:b/>
                <w:bCs/>
                <w:color w:val="auto"/>
                <w:szCs w:val="21"/>
              </w:rPr>
              <w:t>氨</w:t>
            </w:r>
            <w:r>
              <w:rPr>
                <w:rFonts w:hint="eastAsia" w:ascii="Times New Roman" w:hAnsi="Times New Roman"/>
                <w:b/>
                <w:bCs/>
                <w:color w:val="auto"/>
                <w:szCs w:val="21"/>
                <w:lang w:eastAsia="zh-CN"/>
              </w:rPr>
              <w:t>（</w:t>
            </w:r>
            <w:r>
              <w:rPr>
                <w:rFonts w:hint="eastAsia" w:ascii="Times New Roman" w:hAnsi="Times New Roman" w:eastAsia="宋体" w:cs="Times New Roman"/>
                <w:b/>
                <w:bCs/>
                <w:color w:val="auto"/>
                <w:szCs w:val="21"/>
                <w:lang w:val="en-US" w:eastAsia="zh-CN"/>
              </w:rPr>
              <w:t>牛舍及发酵床</w:t>
            </w:r>
            <w:r>
              <w:rPr>
                <w:rFonts w:hint="eastAsia" w:ascii="Times New Roman" w:hAnsi="Times New Roman"/>
                <w:b/>
                <w:bCs/>
                <w:color w:val="auto"/>
                <w:szCs w:val="21"/>
                <w:lang w:eastAsia="zh-CN"/>
              </w:rPr>
              <w:t>）</w:t>
            </w:r>
          </w:p>
        </w:tc>
        <w:tc>
          <w:tcPr>
            <w:tcW w:w="2558" w:type="dxa"/>
            <w:gridSpan w:val="2"/>
            <w:vAlign w:val="center"/>
          </w:tcPr>
          <w:p>
            <w:pPr>
              <w:pStyle w:val="46"/>
              <w:keepNext w:val="0"/>
              <w:keepLines w:val="0"/>
              <w:suppressLineNumbers w:val="0"/>
              <w:spacing w:before="0" w:beforeAutospacing="0" w:after="0" w:afterAutospacing="0"/>
              <w:ind w:left="0" w:right="0"/>
              <w:jc w:val="both"/>
              <w:rPr>
                <w:rFonts w:hint="default" w:ascii="Times New Roman" w:hAnsi="Times New Roman"/>
                <w:b/>
                <w:bCs/>
                <w:color w:val="auto"/>
                <w:szCs w:val="21"/>
              </w:rPr>
            </w:pPr>
            <w:r>
              <w:rPr>
                <w:rFonts w:hint="default" w:ascii="Times New Roman" w:hAnsi="Times New Roman"/>
                <w:b/>
                <w:bCs/>
                <w:color w:val="auto"/>
                <w:szCs w:val="21"/>
              </w:rPr>
              <w:t>硫化氢</w:t>
            </w:r>
            <w:r>
              <w:rPr>
                <w:rFonts w:hint="eastAsia" w:ascii="Times New Roman" w:hAnsi="Times New Roman"/>
                <w:b/>
                <w:bCs/>
                <w:color w:val="auto"/>
                <w:szCs w:val="21"/>
                <w:lang w:eastAsia="zh-CN"/>
              </w:rPr>
              <w:t>（</w:t>
            </w:r>
            <w:r>
              <w:rPr>
                <w:rFonts w:hint="eastAsia" w:ascii="Times New Roman" w:hAnsi="Times New Roman" w:eastAsia="宋体" w:cs="Times New Roman"/>
                <w:b/>
                <w:bCs/>
                <w:color w:val="auto"/>
                <w:szCs w:val="21"/>
                <w:lang w:val="en-US" w:eastAsia="zh-CN"/>
              </w:rPr>
              <w:t>牛舍及发酵床</w:t>
            </w:r>
            <w:r>
              <w:rPr>
                <w:rFonts w:hint="eastAsia" w:ascii="Times New Roman" w:hAnsi="Times New Roman"/>
                <w:b/>
                <w:bCs/>
                <w:color w:val="auto"/>
                <w:szCs w:val="21"/>
                <w:lang w:eastAsia="zh-CN"/>
              </w:rPr>
              <w:t>）</w:t>
            </w:r>
          </w:p>
        </w:tc>
        <w:tc>
          <w:tcPr>
            <w:tcW w:w="2468" w:type="dxa"/>
            <w:gridSpan w:val="2"/>
            <w:vAlign w:val="center"/>
          </w:tcPr>
          <w:p>
            <w:pPr>
              <w:pStyle w:val="46"/>
              <w:keepNext w:val="0"/>
              <w:keepLines w:val="0"/>
              <w:suppressLineNumbers w:val="0"/>
              <w:spacing w:before="0" w:beforeAutospacing="0" w:after="0" w:afterAutospacing="0"/>
              <w:ind w:left="0" w:right="0"/>
              <w:jc w:val="center"/>
              <w:rPr>
                <w:rFonts w:hint="default" w:ascii="Times New Roman" w:hAnsi="Times New Roman" w:eastAsia="宋体"/>
                <w:b/>
                <w:bCs/>
                <w:color w:val="auto"/>
                <w:szCs w:val="21"/>
                <w:lang w:val="en-US" w:eastAsia="zh-CN"/>
              </w:rPr>
            </w:pPr>
            <w:r>
              <w:rPr>
                <w:rFonts w:hint="eastAsia" w:ascii="Times New Roman" w:hAnsi="Times New Roman"/>
                <w:b/>
                <w:bCs/>
                <w:color w:val="auto"/>
                <w:szCs w:val="21"/>
                <w:lang w:val="en-US" w:eastAsia="zh-CN"/>
              </w:rPr>
              <w:t>TSP（饲料加工粉尘）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44" w:hRule="atLeast"/>
          <w:jc w:val="center"/>
        </w:trPr>
        <w:tc>
          <w:tcPr>
            <w:tcW w:w="1453" w:type="dxa"/>
            <w:vMerge w:val="continue"/>
            <w:vAlign w:val="center"/>
          </w:tcPr>
          <w:p>
            <w:pPr>
              <w:pStyle w:val="46"/>
              <w:keepNext w:val="0"/>
              <w:keepLines w:val="0"/>
              <w:suppressLineNumbers w:val="0"/>
              <w:spacing w:before="0" w:beforeAutospacing="0" w:after="0" w:afterAutospacing="0"/>
              <w:ind w:left="842" w:right="0" w:hanging="422"/>
              <w:jc w:val="center"/>
              <w:rPr>
                <w:rFonts w:hint="default" w:ascii="Times New Roman" w:hAnsi="Times New Roman"/>
                <w:b/>
                <w:bCs/>
                <w:color w:val="auto"/>
                <w:szCs w:val="21"/>
              </w:rPr>
            </w:pPr>
          </w:p>
        </w:tc>
        <w:tc>
          <w:tcPr>
            <w:tcW w:w="1268" w:type="dxa"/>
            <w:vAlign w:val="center"/>
          </w:tcPr>
          <w:p>
            <w:pPr>
              <w:pStyle w:val="46"/>
              <w:keepNext w:val="0"/>
              <w:keepLines w:val="0"/>
              <w:suppressLineNumbers w:val="0"/>
              <w:spacing w:before="0" w:beforeAutospacing="0" w:after="0" w:afterAutospacing="0"/>
              <w:ind w:left="0" w:right="0"/>
              <w:rPr>
                <w:rFonts w:hint="default" w:ascii="Times New Roman" w:hAnsi="Times New Roman"/>
                <w:b/>
                <w:bCs/>
                <w:color w:val="auto"/>
                <w:szCs w:val="21"/>
              </w:rPr>
            </w:pPr>
            <w:r>
              <w:rPr>
                <w:rFonts w:hint="default" w:ascii="Times New Roman" w:hAnsi="Times New Roman"/>
                <w:b/>
                <w:bCs/>
                <w:color w:val="auto"/>
                <w:szCs w:val="21"/>
              </w:rPr>
              <w:t>预测质量浓度/ (μg/m</w:t>
            </w:r>
            <w:r>
              <w:rPr>
                <w:rFonts w:hint="default" w:ascii="Times New Roman" w:hAnsi="Times New Roman"/>
                <w:b/>
                <w:bCs/>
                <w:color w:val="auto"/>
                <w:szCs w:val="21"/>
                <w:vertAlign w:val="superscript"/>
              </w:rPr>
              <w:t>3</w:t>
            </w:r>
            <w:r>
              <w:rPr>
                <w:rFonts w:hint="default" w:ascii="Times New Roman" w:hAnsi="Times New Roman"/>
                <w:b/>
                <w:bCs/>
                <w:color w:val="auto"/>
                <w:szCs w:val="21"/>
              </w:rPr>
              <w:t>)</w:t>
            </w:r>
          </w:p>
        </w:tc>
        <w:tc>
          <w:tcPr>
            <w:tcW w:w="1270" w:type="dxa"/>
            <w:vAlign w:val="center"/>
          </w:tcPr>
          <w:p>
            <w:pPr>
              <w:pStyle w:val="46"/>
              <w:keepNext w:val="0"/>
              <w:keepLines w:val="0"/>
              <w:suppressLineNumbers w:val="0"/>
              <w:spacing w:before="0" w:beforeAutospacing="0" w:after="0" w:afterAutospacing="0"/>
              <w:ind w:left="0" w:right="0"/>
              <w:rPr>
                <w:rFonts w:hint="default" w:ascii="Times New Roman" w:hAnsi="Times New Roman"/>
                <w:b/>
                <w:bCs/>
                <w:color w:val="auto"/>
                <w:szCs w:val="21"/>
              </w:rPr>
            </w:pPr>
            <w:r>
              <w:rPr>
                <w:rFonts w:hint="default" w:ascii="Times New Roman" w:hAnsi="Times New Roman"/>
                <w:b/>
                <w:bCs/>
                <w:color w:val="auto"/>
                <w:szCs w:val="21"/>
              </w:rPr>
              <w:t>占标率/%</w:t>
            </w:r>
          </w:p>
        </w:tc>
        <w:tc>
          <w:tcPr>
            <w:tcW w:w="1319" w:type="dxa"/>
            <w:vAlign w:val="center"/>
          </w:tcPr>
          <w:p>
            <w:pPr>
              <w:pStyle w:val="46"/>
              <w:keepNext w:val="0"/>
              <w:keepLines w:val="0"/>
              <w:suppressLineNumbers w:val="0"/>
              <w:spacing w:before="0" w:beforeAutospacing="0" w:after="0" w:afterAutospacing="0"/>
              <w:ind w:left="0" w:right="0"/>
              <w:rPr>
                <w:rFonts w:hint="default" w:ascii="Times New Roman" w:hAnsi="Times New Roman"/>
                <w:b/>
                <w:bCs/>
                <w:color w:val="auto"/>
                <w:szCs w:val="21"/>
              </w:rPr>
            </w:pPr>
            <w:r>
              <w:rPr>
                <w:rFonts w:hint="default" w:ascii="Times New Roman" w:hAnsi="Times New Roman"/>
                <w:b/>
                <w:bCs/>
                <w:color w:val="auto"/>
                <w:szCs w:val="21"/>
              </w:rPr>
              <w:t>预测质量浓度/ (μg/m</w:t>
            </w:r>
            <w:r>
              <w:rPr>
                <w:rFonts w:hint="default" w:ascii="Times New Roman" w:hAnsi="Times New Roman"/>
                <w:b/>
                <w:bCs/>
                <w:color w:val="auto"/>
                <w:szCs w:val="21"/>
                <w:vertAlign w:val="superscript"/>
              </w:rPr>
              <w:t>3</w:t>
            </w:r>
            <w:r>
              <w:rPr>
                <w:rFonts w:hint="default" w:ascii="Times New Roman" w:hAnsi="Times New Roman"/>
                <w:b/>
                <w:bCs/>
                <w:color w:val="auto"/>
                <w:szCs w:val="21"/>
              </w:rPr>
              <w:t>)</w:t>
            </w:r>
          </w:p>
        </w:tc>
        <w:tc>
          <w:tcPr>
            <w:tcW w:w="1239" w:type="dxa"/>
            <w:vAlign w:val="center"/>
          </w:tcPr>
          <w:p>
            <w:pPr>
              <w:pStyle w:val="46"/>
              <w:keepNext w:val="0"/>
              <w:keepLines w:val="0"/>
              <w:suppressLineNumbers w:val="0"/>
              <w:spacing w:before="0" w:beforeAutospacing="0" w:after="0" w:afterAutospacing="0"/>
              <w:ind w:left="0" w:right="0"/>
              <w:rPr>
                <w:rFonts w:hint="default" w:ascii="Times New Roman" w:hAnsi="Times New Roman"/>
                <w:b/>
                <w:bCs/>
                <w:color w:val="auto"/>
                <w:szCs w:val="21"/>
              </w:rPr>
            </w:pPr>
            <w:r>
              <w:rPr>
                <w:rFonts w:hint="default" w:ascii="Times New Roman" w:hAnsi="Times New Roman"/>
                <w:b/>
                <w:bCs/>
                <w:color w:val="auto"/>
                <w:szCs w:val="21"/>
              </w:rPr>
              <w:t>占标率/%</w:t>
            </w:r>
          </w:p>
        </w:tc>
        <w:tc>
          <w:tcPr>
            <w:tcW w:w="1264" w:type="dxa"/>
            <w:tcBorders>
              <w:right w:val="single" w:color="auto" w:sz="4" w:space="0"/>
            </w:tcBorders>
            <w:vAlign w:val="center"/>
          </w:tcPr>
          <w:p>
            <w:pPr>
              <w:pStyle w:val="46"/>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b/>
                <w:bCs/>
                <w:color w:val="auto"/>
                <w:szCs w:val="21"/>
              </w:rPr>
              <w:t>预测质量浓度/ (μg/m</w:t>
            </w:r>
            <w:r>
              <w:rPr>
                <w:rFonts w:hint="default" w:ascii="Times New Roman" w:hAnsi="Times New Roman"/>
                <w:b/>
                <w:bCs/>
                <w:color w:val="auto"/>
                <w:szCs w:val="21"/>
                <w:vertAlign w:val="superscript"/>
              </w:rPr>
              <w:t>3</w:t>
            </w:r>
            <w:r>
              <w:rPr>
                <w:rFonts w:hint="default" w:ascii="Times New Roman" w:hAnsi="Times New Roman"/>
                <w:b/>
                <w:bCs/>
                <w:color w:val="auto"/>
                <w:szCs w:val="21"/>
              </w:rPr>
              <w:t>)</w:t>
            </w:r>
          </w:p>
        </w:tc>
        <w:tc>
          <w:tcPr>
            <w:tcW w:w="1204" w:type="dxa"/>
            <w:tcBorders>
              <w:left w:val="single" w:color="auto" w:sz="4" w:space="0"/>
            </w:tcBorders>
            <w:vAlign w:val="center"/>
          </w:tcPr>
          <w:p>
            <w:pPr>
              <w:pStyle w:val="46"/>
              <w:keepNext w:val="0"/>
              <w:keepLines w:val="0"/>
              <w:suppressLineNumbers w:val="0"/>
              <w:spacing w:before="0" w:beforeAutospacing="0" w:after="0" w:afterAutospacing="0"/>
              <w:ind w:left="0" w:right="0" w:rightChars="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b/>
                <w:bCs/>
                <w:color w:val="auto"/>
                <w:szCs w:val="21"/>
              </w:rPr>
              <w:t>占标率/%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vAlign w:val="center"/>
          </w:tcPr>
          <w:p>
            <w:pPr>
              <w:keepNext w:val="0"/>
              <w:keepLines w:val="0"/>
              <w:widowControl/>
              <w:suppressLineNumbers w:val="0"/>
              <w:spacing w:before="0" w:beforeAutospacing="0" w:after="0" w:afterAutospacing="0"/>
              <w:ind w:left="0" w:right="0"/>
              <w:jc w:val="center"/>
              <w:textAlignment w:val="center"/>
              <w:rPr>
                <w:rFonts w:hint="default" w:eastAsia="宋体"/>
                <w:b/>
                <w:bCs/>
                <w:color w:val="auto"/>
                <w:szCs w:val="21"/>
                <w:lang w:val="en-US" w:eastAsia="zh-CN"/>
              </w:rPr>
            </w:pPr>
            <w:r>
              <w:rPr>
                <w:rFonts w:hint="eastAsia"/>
                <w:b w:val="0"/>
                <w:bCs w:val="0"/>
                <w:color w:val="auto"/>
                <w:kern w:val="0"/>
                <w:szCs w:val="21"/>
                <w:lang w:val="en-US" w:eastAsia="zh-CN"/>
              </w:rPr>
              <w:t>10</w:t>
            </w:r>
          </w:p>
        </w:tc>
        <w:tc>
          <w:tcPr>
            <w:tcW w:w="1268" w:type="dxa"/>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eastAsia"/>
                <w:color w:val="auto"/>
              </w:rPr>
              <w:t>5.5902</w:t>
            </w:r>
          </w:p>
        </w:tc>
        <w:tc>
          <w:tcPr>
            <w:tcW w:w="1270" w:type="dxa"/>
            <w:vAlign w:val="center"/>
          </w:tcPr>
          <w:p>
            <w:pPr>
              <w:keepNext w:val="0"/>
              <w:keepLines w:val="0"/>
              <w:widowControl/>
              <w:suppressLineNumbers w:val="0"/>
              <w:spacing w:before="0" w:beforeAutospacing="0" w:after="0" w:afterAutospacing="0"/>
              <w:ind w:left="0" w:right="0"/>
              <w:jc w:val="center"/>
              <w:textAlignment w:val="center"/>
              <w:rPr>
                <w:rFonts w:hint="eastAsia" w:eastAsia="宋体"/>
                <w:b/>
                <w:bCs/>
                <w:color w:val="auto"/>
                <w:szCs w:val="21"/>
                <w:lang w:eastAsia="zh-CN"/>
              </w:rPr>
            </w:pPr>
            <w:r>
              <w:rPr>
                <w:rFonts w:hint="eastAsia"/>
                <w:color w:val="auto"/>
              </w:rPr>
              <w:t>2.80</w:t>
            </w:r>
          </w:p>
        </w:tc>
        <w:tc>
          <w:tcPr>
            <w:tcW w:w="1319" w:type="dxa"/>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eastAsia"/>
                <w:color w:val="auto"/>
              </w:rPr>
              <w:t>0.329822</w:t>
            </w:r>
          </w:p>
        </w:tc>
        <w:tc>
          <w:tcPr>
            <w:tcW w:w="1239" w:type="dxa"/>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eastAsia"/>
                <w:color w:val="auto"/>
              </w:rPr>
              <w:t>3.30</w:t>
            </w:r>
          </w:p>
        </w:tc>
        <w:tc>
          <w:tcPr>
            <w:tcW w:w="1264" w:type="dxa"/>
            <w:tcBorders>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29.194</w:t>
            </w:r>
          </w:p>
        </w:tc>
        <w:tc>
          <w:tcPr>
            <w:tcW w:w="1204" w:type="dxa"/>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3.24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2"/>
                <w:sz w:val="21"/>
                <w:szCs w:val="21"/>
                <w:lang w:val="en-US" w:eastAsia="zh-CN" w:bidi="ar-SA"/>
              </w:rPr>
            </w:pPr>
            <w:r>
              <w:rPr>
                <w:rFonts w:hint="eastAsia"/>
                <w:b w:val="0"/>
                <w:bCs w:val="0"/>
                <w:color w:val="auto"/>
                <w:kern w:val="0"/>
                <w:szCs w:val="21"/>
                <w:lang w:val="en-US" w:eastAsia="zh-CN"/>
              </w:rPr>
              <w:t>25</w:t>
            </w:r>
          </w:p>
        </w:tc>
        <w:tc>
          <w:tcPr>
            <w:tcW w:w="1268"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5.862801</w:t>
            </w:r>
          </w:p>
        </w:tc>
        <w:tc>
          <w:tcPr>
            <w:tcW w:w="1270"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eastAsia="zh-CN"/>
              </w:rPr>
            </w:pPr>
            <w:r>
              <w:rPr>
                <w:rFonts w:hint="eastAsia"/>
                <w:color w:val="auto"/>
              </w:rPr>
              <w:t>2.93</w:t>
            </w:r>
          </w:p>
        </w:tc>
        <w:tc>
          <w:tcPr>
            <w:tcW w:w="1319"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0.345905</w:t>
            </w:r>
          </w:p>
        </w:tc>
        <w:tc>
          <w:tcPr>
            <w:tcW w:w="1239"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rPr>
              <w:t>3.46</w:t>
            </w:r>
          </w:p>
        </w:tc>
        <w:tc>
          <w:tcPr>
            <w:tcW w:w="1264" w:type="dxa"/>
            <w:tcBorders>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43.493</w:t>
            </w:r>
          </w:p>
        </w:tc>
        <w:tc>
          <w:tcPr>
            <w:tcW w:w="1204" w:type="dxa"/>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4.83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1453"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kern w:val="0"/>
                <w:szCs w:val="21"/>
                <w:lang w:val="en-US" w:eastAsia="zh-CN"/>
              </w:rPr>
            </w:pPr>
            <w:r>
              <w:rPr>
                <w:rFonts w:hint="eastAsia"/>
                <w:b/>
                <w:bCs/>
                <w:color w:val="auto"/>
                <w:kern w:val="0"/>
                <w:szCs w:val="21"/>
                <w:lang w:val="en-US" w:eastAsia="zh-CN"/>
              </w:rPr>
              <w:t>40</w:t>
            </w:r>
          </w:p>
        </w:tc>
        <w:tc>
          <w:tcPr>
            <w:tcW w:w="1268"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eastAsia="宋体"/>
                <w:b/>
                <w:bCs/>
                <w:color w:val="auto"/>
                <w:lang w:val="en-US" w:eastAsia="zh-CN"/>
              </w:rPr>
            </w:pPr>
            <w:r>
              <w:rPr>
                <w:rFonts w:hint="eastAsia"/>
                <w:b/>
                <w:bCs/>
                <w:color w:val="auto"/>
                <w:lang w:val="en-US" w:eastAsia="zh-CN"/>
              </w:rPr>
              <w:t>/</w:t>
            </w:r>
          </w:p>
        </w:tc>
        <w:tc>
          <w:tcPr>
            <w:tcW w:w="1270"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lang w:val="en-US" w:eastAsia="zh-CN"/>
              </w:rPr>
            </w:pPr>
            <w:r>
              <w:rPr>
                <w:rFonts w:hint="eastAsia"/>
                <w:b/>
                <w:bCs/>
                <w:color w:val="auto"/>
                <w:lang w:val="en-US" w:eastAsia="zh-CN"/>
              </w:rPr>
              <w:t>/</w:t>
            </w:r>
          </w:p>
        </w:tc>
        <w:tc>
          <w:tcPr>
            <w:tcW w:w="1319"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lang w:val="en-US" w:eastAsia="zh-CN"/>
              </w:rPr>
            </w:pPr>
            <w:r>
              <w:rPr>
                <w:rFonts w:hint="eastAsia"/>
                <w:b/>
                <w:bCs/>
                <w:color w:val="auto"/>
                <w:lang w:val="en-US" w:eastAsia="zh-CN"/>
              </w:rPr>
              <w:t>/</w:t>
            </w:r>
          </w:p>
        </w:tc>
        <w:tc>
          <w:tcPr>
            <w:tcW w:w="1239"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lang w:val="en-US" w:eastAsia="zh-CN"/>
              </w:rPr>
            </w:pPr>
            <w:r>
              <w:rPr>
                <w:rFonts w:hint="eastAsia"/>
                <w:b/>
                <w:bCs/>
                <w:color w:val="auto"/>
                <w:lang w:val="en-US" w:eastAsia="zh-CN"/>
              </w:rPr>
              <w:t>/</w:t>
            </w:r>
          </w:p>
        </w:tc>
        <w:tc>
          <w:tcPr>
            <w:tcW w:w="1264" w:type="dxa"/>
            <w:tcBorders>
              <w:top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lang w:val="en-US" w:eastAsia="zh-CN"/>
              </w:rPr>
            </w:pPr>
            <w:r>
              <w:rPr>
                <w:rFonts w:hint="eastAsia"/>
                <w:b/>
                <w:bCs/>
                <w:color w:val="auto"/>
                <w:lang w:val="en-US" w:eastAsia="zh-CN"/>
              </w:rPr>
              <w:t>48.222</w:t>
            </w:r>
          </w:p>
        </w:tc>
        <w:tc>
          <w:tcPr>
            <w:tcW w:w="1204" w:type="dxa"/>
            <w:tcBorders>
              <w:top w:val="single" w:color="auto" w:sz="4" w:space="0"/>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lang w:val="en-US" w:eastAsia="zh-CN"/>
              </w:rPr>
            </w:pPr>
            <w:r>
              <w:rPr>
                <w:rFonts w:hint="eastAsia"/>
                <w:b/>
                <w:bCs/>
                <w:color w:val="auto"/>
                <w:lang w:val="en-US" w:eastAsia="zh-CN"/>
              </w:rPr>
              <w:t>5.36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b w:val="0"/>
                <w:bCs w:val="0"/>
                <w:color w:val="auto"/>
                <w:kern w:val="0"/>
                <w:szCs w:val="21"/>
                <w:lang w:val="en-US" w:eastAsia="zh-CN"/>
              </w:rPr>
              <w:t>50</w:t>
            </w:r>
          </w:p>
        </w:tc>
        <w:tc>
          <w:tcPr>
            <w:tcW w:w="126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6.3097</w:t>
            </w:r>
          </w:p>
        </w:tc>
        <w:tc>
          <w:tcPr>
            <w:tcW w:w="1270"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3.15</w:t>
            </w:r>
          </w:p>
        </w:tc>
        <w:tc>
          <w:tcPr>
            <w:tcW w:w="1319"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0.372272</w:t>
            </w:r>
          </w:p>
        </w:tc>
        <w:tc>
          <w:tcPr>
            <w:tcW w:w="1239"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3.72</w:t>
            </w:r>
          </w:p>
        </w:tc>
        <w:tc>
          <w:tcPr>
            <w:tcW w:w="1264" w:type="dxa"/>
            <w:tcBorders>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44.94801</w:t>
            </w:r>
          </w:p>
        </w:tc>
        <w:tc>
          <w:tcPr>
            <w:tcW w:w="1204" w:type="dxa"/>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4.99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b w:val="0"/>
                <w:bCs w:val="0"/>
                <w:color w:val="auto"/>
                <w:kern w:val="0"/>
                <w:szCs w:val="21"/>
                <w:lang w:val="en-US" w:eastAsia="zh-CN"/>
              </w:rPr>
              <w:t>75</w:t>
            </w:r>
          </w:p>
        </w:tc>
        <w:tc>
          <w:tcPr>
            <w:tcW w:w="126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6.7523</w:t>
            </w:r>
          </w:p>
        </w:tc>
        <w:tc>
          <w:tcPr>
            <w:tcW w:w="1270"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3.38</w:t>
            </w:r>
          </w:p>
        </w:tc>
        <w:tc>
          <w:tcPr>
            <w:tcW w:w="1319"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0.398386</w:t>
            </w:r>
          </w:p>
        </w:tc>
        <w:tc>
          <w:tcPr>
            <w:tcW w:w="1239"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3.98</w:t>
            </w:r>
          </w:p>
        </w:tc>
        <w:tc>
          <w:tcPr>
            <w:tcW w:w="1264" w:type="dxa"/>
            <w:tcBorders>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41.843</w:t>
            </w:r>
          </w:p>
        </w:tc>
        <w:tc>
          <w:tcPr>
            <w:tcW w:w="1204" w:type="dxa"/>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4.65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100</w:t>
            </w:r>
          </w:p>
        </w:tc>
        <w:tc>
          <w:tcPr>
            <w:tcW w:w="126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7.189401</w:t>
            </w:r>
          </w:p>
        </w:tc>
        <w:tc>
          <w:tcPr>
            <w:tcW w:w="1270"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3.59</w:t>
            </w:r>
          </w:p>
        </w:tc>
        <w:tc>
          <w:tcPr>
            <w:tcW w:w="1319"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0.424175</w:t>
            </w:r>
          </w:p>
        </w:tc>
        <w:tc>
          <w:tcPr>
            <w:tcW w:w="1239"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4.24</w:t>
            </w:r>
          </w:p>
        </w:tc>
        <w:tc>
          <w:tcPr>
            <w:tcW w:w="1264" w:type="dxa"/>
            <w:tcBorders>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36.619</w:t>
            </w:r>
          </w:p>
        </w:tc>
        <w:tc>
          <w:tcPr>
            <w:tcW w:w="1204" w:type="dxa"/>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4.07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200</w:t>
            </w:r>
          </w:p>
        </w:tc>
        <w:tc>
          <w:tcPr>
            <w:tcW w:w="126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8.8429</w:t>
            </w:r>
          </w:p>
        </w:tc>
        <w:tc>
          <w:tcPr>
            <w:tcW w:w="1270"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4.42</w:t>
            </w:r>
          </w:p>
        </w:tc>
        <w:tc>
          <w:tcPr>
            <w:tcW w:w="1319"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0.521731</w:t>
            </w:r>
          </w:p>
        </w:tc>
        <w:tc>
          <w:tcPr>
            <w:tcW w:w="1239"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5.22</w:t>
            </w:r>
          </w:p>
        </w:tc>
        <w:tc>
          <w:tcPr>
            <w:tcW w:w="1264" w:type="dxa"/>
            <w:tcBorders>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21.768</w:t>
            </w:r>
          </w:p>
        </w:tc>
        <w:tc>
          <w:tcPr>
            <w:tcW w:w="1204" w:type="dxa"/>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2.42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7" w:hRule="atLeast"/>
          <w:jc w:val="center"/>
        </w:trPr>
        <w:tc>
          <w:tcPr>
            <w:tcW w:w="1453"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300</w:t>
            </w:r>
          </w:p>
        </w:tc>
        <w:tc>
          <w:tcPr>
            <w:tcW w:w="1268"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10.371</w:t>
            </w:r>
          </w:p>
        </w:tc>
        <w:tc>
          <w:tcPr>
            <w:tcW w:w="1270"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5.19</w:t>
            </w:r>
          </w:p>
        </w:tc>
        <w:tc>
          <w:tcPr>
            <w:tcW w:w="1319"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0.611889</w:t>
            </w:r>
          </w:p>
        </w:tc>
        <w:tc>
          <w:tcPr>
            <w:tcW w:w="1239"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6.12</w:t>
            </w:r>
          </w:p>
        </w:tc>
        <w:tc>
          <w:tcPr>
            <w:tcW w:w="1264" w:type="dxa"/>
            <w:tcBorders>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16.557</w:t>
            </w:r>
          </w:p>
        </w:tc>
        <w:tc>
          <w:tcPr>
            <w:tcW w:w="1204" w:type="dxa"/>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1.84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1" w:hRule="atLeast"/>
          <w:jc w:val="center"/>
        </w:trPr>
        <w:tc>
          <w:tcPr>
            <w:tcW w:w="1453"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b/>
                <w:bCs/>
                <w:color w:val="auto"/>
                <w:kern w:val="0"/>
                <w:szCs w:val="21"/>
                <w:lang w:val="en-US" w:eastAsia="zh-CN"/>
              </w:rPr>
            </w:pPr>
            <w:r>
              <w:rPr>
                <w:rFonts w:hint="eastAsia"/>
                <w:b/>
                <w:bCs/>
                <w:color w:val="auto"/>
                <w:kern w:val="0"/>
                <w:szCs w:val="21"/>
                <w:lang w:val="en-US" w:eastAsia="zh-CN"/>
              </w:rPr>
              <w:t>437</w:t>
            </w:r>
          </w:p>
        </w:tc>
        <w:tc>
          <w:tcPr>
            <w:tcW w:w="1268"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b/>
                <w:bCs/>
                <w:color w:val="auto"/>
              </w:rPr>
            </w:pPr>
            <w:r>
              <w:rPr>
                <w:rFonts w:hint="eastAsia"/>
                <w:b/>
                <w:bCs/>
                <w:color w:val="auto"/>
              </w:rPr>
              <w:t>11.376</w:t>
            </w:r>
          </w:p>
        </w:tc>
        <w:tc>
          <w:tcPr>
            <w:tcW w:w="1270"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b/>
                <w:bCs/>
                <w:color w:val="auto"/>
              </w:rPr>
            </w:pPr>
            <w:r>
              <w:rPr>
                <w:rFonts w:hint="eastAsia"/>
                <w:b/>
                <w:bCs/>
                <w:color w:val="auto"/>
              </w:rPr>
              <w:t>5.69</w:t>
            </w:r>
          </w:p>
        </w:tc>
        <w:tc>
          <w:tcPr>
            <w:tcW w:w="1319"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b/>
                <w:bCs/>
                <w:color w:val="auto"/>
              </w:rPr>
            </w:pPr>
            <w:r>
              <w:rPr>
                <w:rFonts w:hint="eastAsia"/>
                <w:b/>
                <w:bCs/>
                <w:color w:val="auto"/>
              </w:rPr>
              <w:t>0.671184</w:t>
            </w:r>
          </w:p>
        </w:tc>
        <w:tc>
          <w:tcPr>
            <w:tcW w:w="1239" w:type="dxa"/>
            <w:tcBorders>
              <w:top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eastAsia="宋体"/>
                <w:b/>
                <w:bCs/>
                <w:color w:val="auto"/>
                <w:lang w:val="en-US" w:eastAsia="zh-CN"/>
              </w:rPr>
            </w:pPr>
            <w:r>
              <w:rPr>
                <w:rFonts w:hint="eastAsia"/>
                <w:b/>
                <w:bCs/>
                <w:color w:val="auto"/>
                <w:lang w:val="en-US" w:eastAsia="zh-CN"/>
              </w:rPr>
              <w:t>6.7</w:t>
            </w:r>
          </w:p>
        </w:tc>
        <w:tc>
          <w:tcPr>
            <w:tcW w:w="1264"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p>
        </w:tc>
        <w:tc>
          <w:tcPr>
            <w:tcW w:w="1204" w:type="dxa"/>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500</w:t>
            </w:r>
          </w:p>
        </w:tc>
        <w:tc>
          <w:tcPr>
            <w:tcW w:w="1268"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11.358</w:t>
            </w:r>
          </w:p>
        </w:tc>
        <w:tc>
          <w:tcPr>
            <w:tcW w:w="1270"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5.68</w:t>
            </w:r>
          </w:p>
        </w:tc>
        <w:tc>
          <w:tcPr>
            <w:tcW w:w="1319"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0.670122</w:t>
            </w:r>
          </w:p>
        </w:tc>
        <w:tc>
          <w:tcPr>
            <w:tcW w:w="1239"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6.70</w:t>
            </w:r>
          </w:p>
        </w:tc>
        <w:tc>
          <w:tcPr>
            <w:tcW w:w="1264" w:type="dxa"/>
            <w:tcBorders>
              <w:top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11.46</w:t>
            </w:r>
          </w:p>
        </w:tc>
        <w:tc>
          <w:tcPr>
            <w:tcW w:w="1204" w:type="dxa"/>
            <w:tcBorders>
              <w:top w:val="single" w:color="auto" w:sz="4" w:space="0"/>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1.27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color w:val="auto"/>
                <w:kern w:val="0"/>
                <w:szCs w:val="21"/>
              </w:rPr>
              <w:t>1000</w:t>
            </w:r>
          </w:p>
        </w:tc>
        <w:tc>
          <w:tcPr>
            <w:tcW w:w="1268" w:type="dxa"/>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eastAsia"/>
                <w:color w:val="auto"/>
              </w:rPr>
              <w:t>7.9353</w:t>
            </w:r>
          </w:p>
        </w:tc>
        <w:tc>
          <w:tcPr>
            <w:tcW w:w="1270" w:type="dxa"/>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eastAsia"/>
                <w:color w:val="auto"/>
              </w:rPr>
              <w:t>3.97</w:t>
            </w:r>
          </w:p>
        </w:tc>
        <w:tc>
          <w:tcPr>
            <w:tcW w:w="1319" w:type="dxa"/>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eastAsia"/>
                <w:color w:val="auto"/>
              </w:rPr>
              <w:t>0.468183</w:t>
            </w:r>
          </w:p>
        </w:tc>
        <w:tc>
          <w:tcPr>
            <w:tcW w:w="1239" w:type="dxa"/>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szCs w:val="21"/>
              </w:rPr>
            </w:pPr>
            <w:r>
              <w:rPr>
                <w:rFonts w:hint="eastAsia"/>
                <w:color w:val="auto"/>
              </w:rPr>
              <w:t>4.68</w:t>
            </w:r>
          </w:p>
        </w:tc>
        <w:tc>
          <w:tcPr>
            <w:tcW w:w="1264" w:type="dxa"/>
            <w:tcBorders>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6.998301</w:t>
            </w:r>
          </w:p>
        </w:tc>
        <w:tc>
          <w:tcPr>
            <w:tcW w:w="1204" w:type="dxa"/>
            <w:tcBorders>
              <w:lef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0.78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1453"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kern w:val="0"/>
                <w:szCs w:val="21"/>
                <w:lang w:val="en-US" w:eastAsia="zh-CN"/>
              </w:rPr>
              <w:t>2000</w:t>
            </w:r>
          </w:p>
        </w:tc>
        <w:tc>
          <w:tcPr>
            <w:tcW w:w="1268"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4.681001</w:t>
            </w:r>
          </w:p>
        </w:tc>
        <w:tc>
          <w:tcPr>
            <w:tcW w:w="1270"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2.34</w:t>
            </w:r>
          </w:p>
        </w:tc>
        <w:tc>
          <w:tcPr>
            <w:tcW w:w="1319"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0.276179</w:t>
            </w:r>
          </w:p>
        </w:tc>
        <w:tc>
          <w:tcPr>
            <w:tcW w:w="1239"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rPr>
              <w:t>2.76</w:t>
            </w:r>
          </w:p>
        </w:tc>
        <w:tc>
          <w:tcPr>
            <w:tcW w:w="1264" w:type="dxa"/>
            <w:tcBorders>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5.4072</w:t>
            </w:r>
          </w:p>
        </w:tc>
        <w:tc>
          <w:tcPr>
            <w:tcW w:w="1204" w:type="dxa"/>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0.60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22" w:hRule="atLeast"/>
          <w:jc w:val="center"/>
        </w:trPr>
        <w:tc>
          <w:tcPr>
            <w:tcW w:w="1453" w:type="dxa"/>
            <w:vAlign w:val="center"/>
          </w:tcPr>
          <w:p>
            <w:pPr>
              <w:pStyle w:val="46"/>
              <w:keepNext w:val="0"/>
              <w:keepLines w:val="0"/>
              <w:suppressLineNumbers w:val="0"/>
              <w:spacing w:before="0" w:beforeAutospacing="0" w:after="0" w:afterAutospacing="0"/>
              <w:ind w:left="0" w:right="0"/>
              <w:rPr>
                <w:rFonts w:hint="default" w:ascii="Times New Roman" w:hAnsi="Times New Roman"/>
                <w:color w:val="auto"/>
                <w:szCs w:val="21"/>
              </w:rPr>
            </w:pPr>
            <w:r>
              <w:rPr>
                <w:rFonts w:hint="default" w:ascii="Times New Roman" w:hAnsi="Times New Roman"/>
                <w:color w:val="auto"/>
                <w:szCs w:val="21"/>
              </w:rPr>
              <w:t>下风向最大质量浓度及占标率/%</w:t>
            </w:r>
          </w:p>
        </w:tc>
        <w:tc>
          <w:tcPr>
            <w:tcW w:w="126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2"/>
                <w:sz w:val="21"/>
                <w:szCs w:val="24"/>
                <w:lang w:val="en-US" w:eastAsia="zh-CN" w:bidi="ar-SA"/>
              </w:rPr>
            </w:pPr>
            <w:r>
              <w:rPr>
                <w:rFonts w:hint="eastAsia"/>
                <w:b/>
                <w:bCs/>
                <w:color w:val="auto"/>
              </w:rPr>
              <w:t>11.376</w:t>
            </w:r>
          </w:p>
        </w:tc>
        <w:tc>
          <w:tcPr>
            <w:tcW w:w="127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2"/>
                <w:sz w:val="21"/>
                <w:szCs w:val="24"/>
                <w:lang w:val="en-US" w:eastAsia="zh-CN" w:bidi="ar-SA"/>
              </w:rPr>
            </w:pPr>
            <w:r>
              <w:rPr>
                <w:rFonts w:hint="eastAsia"/>
                <w:b/>
                <w:bCs/>
                <w:color w:val="auto"/>
              </w:rPr>
              <w:t>5.69</w:t>
            </w:r>
          </w:p>
        </w:tc>
        <w:tc>
          <w:tcPr>
            <w:tcW w:w="131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2"/>
                <w:sz w:val="21"/>
                <w:szCs w:val="24"/>
                <w:lang w:val="en-US" w:eastAsia="zh-CN" w:bidi="ar-SA"/>
              </w:rPr>
            </w:pPr>
            <w:r>
              <w:rPr>
                <w:rFonts w:hint="eastAsia"/>
                <w:b/>
                <w:bCs/>
                <w:color w:val="auto"/>
              </w:rPr>
              <w:t>0.671184</w:t>
            </w:r>
          </w:p>
        </w:tc>
        <w:tc>
          <w:tcPr>
            <w:tcW w:w="123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2"/>
                <w:sz w:val="21"/>
                <w:szCs w:val="24"/>
                <w:lang w:val="en-US" w:eastAsia="zh-CN" w:bidi="ar-SA"/>
              </w:rPr>
            </w:pPr>
            <w:r>
              <w:rPr>
                <w:rFonts w:hint="eastAsia"/>
                <w:b/>
                <w:bCs/>
                <w:color w:val="auto"/>
                <w:lang w:val="en-US" w:eastAsia="zh-CN"/>
              </w:rPr>
              <w:t>6.7</w:t>
            </w:r>
          </w:p>
        </w:tc>
        <w:tc>
          <w:tcPr>
            <w:tcW w:w="1264" w:type="dxa"/>
            <w:tcBorders>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bCs/>
                <w:color w:val="auto"/>
                <w:kern w:val="2"/>
                <w:sz w:val="21"/>
                <w:szCs w:val="24"/>
                <w:lang w:val="en-US" w:eastAsia="zh-CN" w:bidi="ar-SA"/>
              </w:rPr>
            </w:pPr>
            <w:r>
              <w:rPr>
                <w:rFonts w:hint="eastAsia"/>
                <w:b/>
                <w:bCs/>
                <w:color w:val="auto"/>
                <w:lang w:val="en-US" w:eastAsia="zh-CN"/>
              </w:rPr>
              <w:t>48.222</w:t>
            </w:r>
          </w:p>
        </w:tc>
        <w:tc>
          <w:tcPr>
            <w:tcW w:w="1204" w:type="dxa"/>
            <w:tcBorders>
              <w:lef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bCs/>
                <w:color w:val="auto"/>
                <w:kern w:val="2"/>
                <w:sz w:val="21"/>
                <w:szCs w:val="24"/>
                <w:lang w:val="en-US" w:eastAsia="zh-CN" w:bidi="ar-SA"/>
              </w:rPr>
            </w:pPr>
            <w:r>
              <w:rPr>
                <w:rFonts w:hint="eastAsia"/>
                <w:b/>
                <w:bCs/>
                <w:color w:val="auto"/>
                <w:lang w:val="en-US" w:eastAsia="zh-CN"/>
              </w:rPr>
              <w:t>5.36</w:t>
            </w:r>
          </w:p>
        </w:tc>
      </w:tr>
    </w:tbl>
    <w:p>
      <w:pPr>
        <w:jc w:val="center"/>
        <w:rPr>
          <w:rFonts w:ascii="Times New Roman" w:hAnsi="Times New Roman" w:eastAsia="黑体" w:cs="Times New Roman"/>
          <w:color w:val="auto"/>
          <w:szCs w:val="21"/>
        </w:rPr>
      </w:pPr>
    </w:p>
    <w:p>
      <w:pPr>
        <w:spacing w:line="360" w:lineRule="auto"/>
        <w:ind w:firstLine="480"/>
        <w:rPr>
          <w:rFonts w:ascii="Times New Roman" w:hAnsi="Times New Roman" w:cs="Times New Roman"/>
          <w:b/>
          <w:bCs w:val="0"/>
          <w:color w:val="auto"/>
          <w:sz w:val="24"/>
        </w:rPr>
      </w:pPr>
      <w:r>
        <w:rPr>
          <w:rFonts w:ascii="Times New Roman" w:hAnsi="Times New Roman" w:cs="Times New Roman"/>
          <w:bCs/>
          <w:color w:val="auto"/>
          <w:sz w:val="24"/>
          <w:szCs w:val="24"/>
        </w:rPr>
        <w:t>根据AERSCREEN估算模式预测结果，本项目无组织排放的氨和硫化氢最大占标率为</w:t>
      </w:r>
      <w:r>
        <w:rPr>
          <w:rFonts w:hint="eastAsia" w:cs="Times New Roman"/>
          <w:bCs/>
          <w:color w:val="auto"/>
          <w:sz w:val="24"/>
          <w:szCs w:val="24"/>
          <w:lang w:val="en-US" w:eastAsia="zh-CN"/>
        </w:rPr>
        <w:t>6.7</w:t>
      </w:r>
      <w:r>
        <w:rPr>
          <w:rFonts w:ascii="Times New Roman" w:hAnsi="Times New Roman" w:cs="Times New Roman"/>
          <w:bCs/>
          <w:color w:val="auto"/>
          <w:sz w:val="24"/>
          <w:szCs w:val="24"/>
        </w:rPr>
        <w:t>%（Pmax＞1%，且＜10%），</w:t>
      </w:r>
      <w:r>
        <w:rPr>
          <w:rFonts w:ascii="Times New Roman" w:hAnsi="Times New Roman" w:cs="Times New Roman"/>
          <w:b/>
          <w:bCs w:val="0"/>
          <w:color w:val="auto"/>
          <w:sz w:val="24"/>
          <w:szCs w:val="24"/>
        </w:rPr>
        <w:t>因此，本项目大气环境影响评价等级为二级评价</w:t>
      </w:r>
      <w:r>
        <w:rPr>
          <w:rFonts w:ascii="Times New Roman" w:hAnsi="Times New Roman" w:cs="Times New Roman"/>
          <w:b/>
          <w:bCs w:val="0"/>
          <w:color w:val="auto"/>
          <w:sz w:val="24"/>
        </w:rPr>
        <w:t>。</w:t>
      </w:r>
    </w:p>
    <w:p>
      <w:pPr>
        <w:spacing w:line="360" w:lineRule="auto"/>
        <w:ind w:firstLine="480"/>
        <w:rPr>
          <w:rFonts w:ascii="Times New Roman" w:hAnsi="Times New Roman" w:cs="Times New Roman"/>
          <w:b w:val="0"/>
          <w:bCs/>
          <w:color w:val="auto"/>
          <w:sz w:val="24"/>
          <w:szCs w:val="24"/>
        </w:rPr>
      </w:pPr>
      <w:r>
        <w:rPr>
          <w:rFonts w:ascii="Times New Roman" w:hAnsi="Times New Roman" w:cs="Times New Roman"/>
          <w:b w:val="0"/>
          <w:bCs/>
          <w:color w:val="auto"/>
          <w:sz w:val="24"/>
        </w:rPr>
        <w:t>同时，根据AERSCREEN估算模式预测结果可知，</w:t>
      </w:r>
      <w:r>
        <w:rPr>
          <w:rFonts w:ascii="Times New Roman" w:hAnsi="Times New Roman" w:cs="Times New Roman"/>
          <w:b w:val="0"/>
          <w:bCs/>
          <w:color w:val="auto"/>
          <w:sz w:val="24"/>
          <w:szCs w:val="24"/>
        </w:rPr>
        <w:t>通过项目拟采取的治理措施处理后，本项目厂界氨和硫化氢的无组织排放浓度均能达到《恶臭污染物排放标准》（GB14554-93）中相应限值要求，符合《排污许可证申请与核发技术规范畜禽养殖行业》（HJ1029-2019）中对畜禽养殖行业废气的无组织排放控制要求。</w:t>
      </w:r>
    </w:p>
    <w:p>
      <w:pPr>
        <w:pStyle w:val="1244"/>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color w:val="auto"/>
        </w:rPr>
        <w:t>污染物排放量核算</w:t>
      </w:r>
    </w:p>
    <w:p>
      <w:pPr>
        <w:spacing w:line="360" w:lineRule="auto"/>
        <w:ind w:firstLine="424" w:firstLineChars="177"/>
        <w:rPr>
          <w:rFonts w:ascii="Times New Roman" w:hAnsi="Times New Roman" w:cs="Times New Roman"/>
          <w:bCs/>
          <w:color w:val="auto"/>
          <w:sz w:val="24"/>
          <w:szCs w:val="24"/>
        </w:rPr>
      </w:pPr>
      <w:r>
        <w:rPr>
          <w:rFonts w:ascii="Times New Roman" w:hAnsi="Times New Roman" w:cs="Times New Roman"/>
          <w:bCs/>
          <w:color w:val="auto"/>
          <w:sz w:val="24"/>
          <w:szCs w:val="24"/>
        </w:rPr>
        <w:t>根据《环境影响评价技术导则—大气环境》（HJ2.2-2018）要求：“二级评价项目不进行进一步预测与评价，只对污染物排放量进行核算”。污染物排放量核算表包括有组织及无组织排放量、大气污染物年排放量、非正常排放量等。</w:t>
      </w:r>
    </w:p>
    <w:p>
      <w:pPr>
        <w:spacing w:line="360" w:lineRule="auto"/>
        <w:ind w:firstLine="424" w:firstLineChars="177"/>
        <w:rPr>
          <w:rFonts w:ascii="Times New Roman" w:hAnsi="Times New Roman" w:cs="Times New Roman"/>
          <w:bCs/>
          <w:color w:val="auto"/>
          <w:sz w:val="24"/>
          <w:szCs w:val="24"/>
        </w:rPr>
      </w:pPr>
      <w:r>
        <w:rPr>
          <w:rFonts w:ascii="Times New Roman" w:hAnsi="Times New Roman" w:cs="Times New Roman"/>
          <w:bCs/>
          <w:color w:val="auto"/>
          <w:sz w:val="24"/>
          <w:szCs w:val="24"/>
        </w:rPr>
        <w:t>因此，本项目污染物排放量核算主要包括无组织排放量核算、大气污染物年排放量核算及非正常排放量核算。具体情况如下：</w:t>
      </w:r>
    </w:p>
    <w:p>
      <w:pPr>
        <w:spacing w:line="360" w:lineRule="auto"/>
        <w:ind w:firstLine="424" w:firstLineChars="177"/>
        <w:rPr>
          <w:rFonts w:ascii="Times New Roman" w:hAnsi="Times New Roman" w:cs="Times New Roman"/>
          <w:bCs/>
          <w:color w:val="auto"/>
          <w:sz w:val="24"/>
          <w:szCs w:val="24"/>
        </w:rPr>
      </w:pPr>
      <w:r>
        <w:rPr>
          <w:rFonts w:ascii="Times New Roman" w:hAnsi="Times New Roman" w:cs="Times New Roman"/>
          <w:bCs/>
          <w:color w:val="auto"/>
          <w:sz w:val="24"/>
          <w:szCs w:val="24"/>
        </w:rPr>
        <w:t>项目无组织排放量核算详见下表：</w:t>
      </w:r>
    </w:p>
    <w:p>
      <w:pPr>
        <w:jc w:val="center"/>
        <w:rPr>
          <w:rFonts w:hint="eastAsia" w:ascii="Times New Roman" w:hAnsi="Times New Roman" w:eastAsia="黑体" w:cs="Times New Roman"/>
          <w:color w:val="auto"/>
          <w:szCs w:val="21"/>
          <w:lang w:val="en-US" w:eastAsia="zh-CN"/>
        </w:rPr>
      </w:pPr>
      <w:r>
        <w:rPr>
          <w:rFonts w:hint="eastAsia" w:ascii="Times New Roman" w:hAnsi="Times New Roman" w:eastAsia="黑体" w:cs="Times New Roman"/>
          <w:color w:val="auto"/>
          <w:szCs w:val="21"/>
          <w:lang w:val="en-US" w:eastAsia="zh-CN"/>
        </w:rPr>
        <w:t>表5.2-1</w:t>
      </w:r>
      <w:r>
        <w:rPr>
          <w:rFonts w:hint="eastAsia" w:eastAsia="黑体" w:cs="Times New Roman"/>
          <w:color w:val="auto"/>
          <w:szCs w:val="21"/>
          <w:lang w:val="en-US" w:eastAsia="zh-CN"/>
        </w:rPr>
        <w:t>4</w:t>
      </w:r>
      <w:r>
        <w:rPr>
          <w:rFonts w:hint="eastAsia" w:ascii="Times New Roman" w:hAnsi="Times New Roman" w:eastAsia="黑体" w:cs="Times New Roman"/>
          <w:color w:val="auto"/>
          <w:szCs w:val="21"/>
          <w:lang w:val="en-US" w:eastAsia="zh-CN"/>
        </w:rPr>
        <w:t xml:space="preserve">  大气污染物有组织排放量核算表</w:t>
      </w:r>
    </w:p>
    <w:tbl>
      <w:tblPr>
        <w:tblStyle w:val="9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295"/>
        <w:gridCol w:w="1867"/>
        <w:gridCol w:w="2415"/>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428" w:type="dxa"/>
            <w:vAlign w:val="center"/>
          </w:tcPr>
          <w:p>
            <w:pPr>
              <w:keepNext w:val="0"/>
              <w:keepLines w:val="0"/>
              <w:suppressLineNumbers w:val="0"/>
              <w:spacing w:before="0" w:beforeAutospacing="0" w:after="0" w:afterAutospacing="0" w:line="280" w:lineRule="exact"/>
              <w:ind w:left="0" w:right="0"/>
              <w:jc w:val="center"/>
              <w:rPr>
                <w:rFonts w:hint="default"/>
                <w:b/>
                <w:bCs/>
                <w:color w:val="auto"/>
                <w:kern w:val="0"/>
                <w:szCs w:val="21"/>
              </w:rPr>
            </w:pPr>
            <w:r>
              <w:rPr>
                <w:rFonts w:hint="default"/>
                <w:b/>
                <w:bCs/>
                <w:color w:val="auto"/>
                <w:kern w:val="0"/>
                <w:szCs w:val="21"/>
              </w:rPr>
              <w:t>排放口编号</w:t>
            </w:r>
          </w:p>
        </w:tc>
        <w:tc>
          <w:tcPr>
            <w:tcW w:w="1295" w:type="dxa"/>
            <w:vAlign w:val="center"/>
          </w:tcPr>
          <w:p>
            <w:pPr>
              <w:keepNext w:val="0"/>
              <w:keepLines w:val="0"/>
              <w:suppressLineNumbers w:val="0"/>
              <w:spacing w:before="0" w:beforeAutospacing="0" w:after="0" w:afterAutospacing="0" w:line="280" w:lineRule="exact"/>
              <w:ind w:left="0" w:right="0"/>
              <w:jc w:val="center"/>
              <w:rPr>
                <w:rFonts w:hint="default"/>
                <w:b/>
                <w:bCs/>
                <w:color w:val="auto"/>
                <w:kern w:val="0"/>
                <w:szCs w:val="21"/>
              </w:rPr>
            </w:pPr>
            <w:r>
              <w:rPr>
                <w:rFonts w:hint="default"/>
                <w:b/>
                <w:bCs/>
                <w:color w:val="auto"/>
                <w:kern w:val="0"/>
                <w:szCs w:val="21"/>
              </w:rPr>
              <w:t>污染物</w:t>
            </w:r>
          </w:p>
        </w:tc>
        <w:tc>
          <w:tcPr>
            <w:tcW w:w="1867" w:type="dxa"/>
            <w:vAlign w:val="center"/>
          </w:tcPr>
          <w:p>
            <w:pPr>
              <w:keepNext w:val="0"/>
              <w:keepLines w:val="0"/>
              <w:suppressLineNumbers w:val="0"/>
              <w:spacing w:before="0" w:beforeAutospacing="0" w:after="0" w:afterAutospacing="0" w:line="280" w:lineRule="exact"/>
              <w:ind w:left="0" w:right="0"/>
              <w:jc w:val="center"/>
              <w:rPr>
                <w:rFonts w:hint="default"/>
                <w:b/>
                <w:bCs/>
                <w:color w:val="auto"/>
                <w:kern w:val="0"/>
                <w:szCs w:val="21"/>
              </w:rPr>
            </w:pPr>
            <w:r>
              <w:rPr>
                <w:rFonts w:hint="default"/>
                <w:b/>
                <w:bCs/>
                <w:color w:val="auto"/>
                <w:kern w:val="0"/>
                <w:szCs w:val="21"/>
              </w:rPr>
              <w:t>核算排放浓度/（</w:t>
            </w:r>
            <w:r>
              <w:rPr>
                <w:rFonts w:hint="eastAsia"/>
                <w:b/>
                <w:bCs/>
                <w:color w:val="auto"/>
                <w:kern w:val="0"/>
                <w:szCs w:val="21"/>
              </w:rPr>
              <w:t>m</w:t>
            </w:r>
            <w:r>
              <w:rPr>
                <w:rFonts w:hint="default"/>
                <w:b/>
                <w:bCs/>
                <w:color w:val="auto"/>
                <w:kern w:val="0"/>
                <w:szCs w:val="21"/>
              </w:rPr>
              <w:t>g/m</w:t>
            </w:r>
            <w:r>
              <w:rPr>
                <w:rFonts w:hint="default"/>
                <w:b/>
                <w:bCs/>
                <w:color w:val="auto"/>
                <w:kern w:val="0"/>
                <w:szCs w:val="21"/>
                <w:vertAlign w:val="superscript"/>
              </w:rPr>
              <w:t>3</w:t>
            </w:r>
            <w:r>
              <w:rPr>
                <w:rFonts w:hint="default"/>
                <w:b/>
                <w:bCs/>
                <w:color w:val="auto"/>
                <w:kern w:val="0"/>
                <w:szCs w:val="21"/>
              </w:rPr>
              <w:t>）</w:t>
            </w:r>
          </w:p>
        </w:tc>
        <w:tc>
          <w:tcPr>
            <w:tcW w:w="2415" w:type="dxa"/>
            <w:vAlign w:val="center"/>
          </w:tcPr>
          <w:p>
            <w:pPr>
              <w:keepNext w:val="0"/>
              <w:keepLines w:val="0"/>
              <w:suppressLineNumbers w:val="0"/>
              <w:spacing w:before="0" w:beforeAutospacing="0" w:after="0" w:afterAutospacing="0" w:line="280" w:lineRule="exact"/>
              <w:ind w:left="0" w:right="0"/>
              <w:jc w:val="center"/>
              <w:rPr>
                <w:rFonts w:hint="default"/>
                <w:b/>
                <w:bCs/>
                <w:color w:val="auto"/>
                <w:kern w:val="0"/>
                <w:szCs w:val="21"/>
              </w:rPr>
            </w:pPr>
            <w:r>
              <w:rPr>
                <w:rFonts w:hint="default"/>
                <w:b/>
                <w:bCs/>
                <w:color w:val="auto"/>
                <w:kern w:val="0"/>
                <w:szCs w:val="21"/>
              </w:rPr>
              <w:t>核算排放速率/（kg/h）</w:t>
            </w:r>
          </w:p>
        </w:tc>
        <w:tc>
          <w:tcPr>
            <w:tcW w:w="1763" w:type="dxa"/>
            <w:vAlign w:val="center"/>
          </w:tcPr>
          <w:p>
            <w:pPr>
              <w:keepNext w:val="0"/>
              <w:keepLines w:val="0"/>
              <w:suppressLineNumbers w:val="0"/>
              <w:spacing w:before="0" w:beforeAutospacing="0" w:after="0" w:afterAutospacing="0" w:line="280" w:lineRule="exact"/>
              <w:ind w:left="0" w:right="0"/>
              <w:jc w:val="center"/>
              <w:rPr>
                <w:rFonts w:hint="default"/>
                <w:b/>
                <w:bCs/>
                <w:color w:val="auto"/>
                <w:kern w:val="0"/>
                <w:szCs w:val="21"/>
              </w:rPr>
            </w:pPr>
            <w:r>
              <w:rPr>
                <w:rFonts w:hint="default"/>
                <w:b/>
                <w:bCs/>
                <w:color w:val="auto"/>
                <w:kern w:val="0"/>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8768" w:type="dxa"/>
            <w:gridSpan w:val="5"/>
            <w:vAlign w:val="center"/>
          </w:tcPr>
          <w:p>
            <w:pPr>
              <w:keepNext w:val="0"/>
              <w:keepLines w:val="0"/>
              <w:suppressLineNumbers w:val="0"/>
              <w:spacing w:before="0" w:beforeAutospacing="0" w:after="0" w:afterAutospacing="0" w:line="280" w:lineRule="exact"/>
              <w:ind w:left="0" w:right="0"/>
              <w:jc w:val="center"/>
              <w:rPr>
                <w:rFonts w:hint="default"/>
                <w:color w:val="auto"/>
                <w:kern w:val="0"/>
                <w:szCs w:val="21"/>
              </w:rPr>
            </w:pPr>
            <w:r>
              <w:rPr>
                <w:rFonts w:hint="default"/>
                <w:color w:val="auto"/>
                <w:kern w:val="0"/>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428" w:type="dxa"/>
            <w:vAlign w:val="center"/>
          </w:tcPr>
          <w:p>
            <w:pPr>
              <w:keepNext w:val="0"/>
              <w:keepLines w:val="0"/>
              <w:suppressLineNumbers w:val="0"/>
              <w:spacing w:before="0" w:beforeAutospacing="0" w:after="0" w:afterAutospacing="0" w:line="280" w:lineRule="exact"/>
              <w:ind w:left="0" w:right="0"/>
              <w:jc w:val="center"/>
              <w:rPr>
                <w:rFonts w:hint="default" w:eastAsia="宋体"/>
                <w:color w:val="auto"/>
                <w:kern w:val="0"/>
                <w:szCs w:val="21"/>
                <w:lang w:val="en-US" w:eastAsia="zh-CN"/>
              </w:rPr>
            </w:pPr>
            <w:r>
              <w:rPr>
                <w:rFonts w:hint="eastAsia"/>
                <w:color w:val="auto"/>
                <w:kern w:val="0"/>
                <w:szCs w:val="21"/>
                <w:lang w:val="en-US" w:eastAsia="zh-CN"/>
              </w:rPr>
              <w:t>DA001</w:t>
            </w:r>
          </w:p>
        </w:tc>
        <w:tc>
          <w:tcPr>
            <w:tcW w:w="129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TSP</w:t>
            </w:r>
          </w:p>
        </w:tc>
        <w:tc>
          <w:tcPr>
            <w:tcW w:w="186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0"/>
                <w:szCs w:val="21"/>
                <w:lang w:val="en-US" w:eastAsia="zh-CN" w:bidi="ar"/>
              </w:rPr>
            </w:pPr>
            <w:r>
              <w:rPr>
                <w:rFonts w:hint="eastAsia"/>
                <w:color w:val="auto"/>
                <w:kern w:val="0"/>
                <w:szCs w:val="21"/>
                <w:lang w:val="en-US" w:eastAsia="zh-CN" w:bidi="ar"/>
              </w:rPr>
              <w:t>5.43</w:t>
            </w:r>
          </w:p>
        </w:tc>
        <w:tc>
          <w:tcPr>
            <w:tcW w:w="24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lang w:val="en-US" w:eastAsia="zh-CN"/>
              </w:rPr>
              <w:t>0.0163</w:t>
            </w:r>
          </w:p>
        </w:tc>
        <w:tc>
          <w:tcPr>
            <w:tcW w:w="1763" w:type="dxa"/>
            <w:vAlign w:val="center"/>
          </w:tcPr>
          <w:p>
            <w:pPr>
              <w:keepNext w:val="0"/>
              <w:keepLines w:val="0"/>
              <w:suppressLineNumbers w:val="0"/>
              <w:spacing w:before="0" w:beforeAutospacing="0" w:after="0" w:afterAutospacing="0" w:line="280" w:lineRule="exact"/>
              <w:ind w:left="0" w:right="0"/>
              <w:jc w:val="center"/>
              <w:rPr>
                <w:rFonts w:hint="eastAsia"/>
                <w:color w:val="auto"/>
                <w:szCs w:val="21"/>
                <w:lang w:val="en-US" w:eastAsia="zh-CN"/>
              </w:rPr>
            </w:pPr>
            <w:r>
              <w:rPr>
                <w:rFonts w:hint="eastAsia" w:cs="Times New Roman"/>
                <w:color w:val="auto"/>
                <w:lang w:val="en-US" w:eastAsia="zh-CN"/>
              </w:rPr>
              <w:t>0.0163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428" w:type="dxa"/>
            <w:vAlign w:val="center"/>
          </w:tcPr>
          <w:p>
            <w:pPr>
              <w:keepNext w:val="0"/>
              <w:keepLines w:val="0"/>
              <w:suppressLineNumbers w:val="0"/>
              <w:spacing w:before="0" w:beforeAutospacing="0" w:after="0" w:afterAutospacing="0" w:line="280" w:lineRule="exact"/>
              <w:ind w:left="0" w:right="0"/>
              <w:jc w:val="center"/>
              <w:rPr>
                <w:rFonts w:hint="eastAsia" w:eastAsia="宋体"/>
                <w:color w:val="auto"/>
                <w:kern w:val="0"/>
                <w:szCs w:val="21"/>
                <w:lang w:val="en-US" w:eastAsia="zh-CN"/>
              </w:rPr>
            </w:pPr>
            <w:r>
              <w:rPr>
                <w:rFonts w:hint="default"/>
                <w:color w:val="auto"/>
                <w:kern w:val="0"/>
                <w:szCs w:val="21"/>
              </w:rPr>
              <w:t>一般排放口</w:t>
            </w:r>
            <w:r>
              <w:rPr>
                <w:rFonts w:hint="eastAsia"/>
                <w:color w:val="auto"/>
                <w:kern w:val="0"/>
                <w:szCs w:val="21"/>
                <w:lang w:val="en-US" w:eastAsia="zh-CN"/>
              </w:rPr>
              <w:t>合计</w:t>
            </w:r>
          </w:p>
        </w:tc>
        <w:tc>
          <w:tcPr>
            <w:tcW w:w="5577" w:type="dxa"/>
            <w:gridSpan w:val="3"/>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rPr>
            </w:pPr>
            <w:r>
              <w:rPr>
                <w:rFonts w:hint="eastAsia" w:ascii="Times New Roman" w:hAnsi="Times New Roman" w:cs="Times New Roman"/>
                <w:color w:val="auto"/>
                <w:lang w:val="en-US" w:eastAsia="zh-CN"/>
              </w:rPr>
              <w:t>TSP</w:t>
            </w:r>
          </w:p>
        </w:tc>
        <w:tc>
          <w:tcPr>
            <w:tcW w:w="1763" w:type="dxa"/>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0.0163</w:t>
            </w:r>
          </w:p>
        </w:tc>
      </w:tr>
    </w:tbl>
    <w:p>
      <w:pPr>
        <w:jc w:val="center"/>
        <w:rPr>
          <w:rFonts w:ascii="Times New Roman" w:hAnsi="Times New Roman" w:eastAsia="黑体" w:cs="Times New Roman"/>
          <w:color w:val="auto"/>
          <w:szCs w:val="21"/>
        </w:rPr>
      </w:pPr>
      <w:r>
        <w:rPr>
          <w:rFonts w:hint="eastAsia" w:ascii="Times New Roman" w:hAnsi="Times New Roman" w:eastAsia="黑体" w:cs="Times New Roman"/>
          <w:color w:val="auto"/>
          <w:szCs w:val="21"/>
          <w:lang w:val="en-US" w:eastAsia="zh-CN"/>
        </w:rPr>
        <w:t>表</w:t>
      </w:r>
      <w:r>
        <w:rPr>
          <w:rFonts w:hint="eastAsia" w:eastAsia="黑体" w:cs="Times New Roman"/>
          <w:color w:val="auto"/>
          <w:szCs w:val="21"/>
          <w:lang w:val="en-US" w:eastAsia="zh-CN"/>
        </w:rPr>
        <w:t>5</w:t>
      </w:r>
      <w:r>
        <w:rPr>
          <w:rFonts w:hint="eastAsia" w:ascii="Times New Roman" w:hAnsi="Times New Roman" w:eastAsia="黑体" w:cs="Times New Roman"/>
          <w:color w:val="auto"/>
          <w:szCs w:val="21"/>
          <w:lang w:val="en-US" w:eastAsia="zh-CN"/>
        </w:rPr>
        <w:t>.2-1</w:t>
      </w:r>
      <w:r>
        <w:rPr>
          <w:rFonts w:hint="eastAsia" w:eastAsia="黑体" w:cs="Times New Roman"/>
          <w:color w:val="auto"/>
          <w:szCs w:val="21"/>
          <w:lang w:val="en-US" w:eastAsia="zh-CN"/>
        </w:rPr>
        <w:t xml:space="preserve">5 </w:t>
      </w:r>
      <w:r>
        <w:rPr>
          <w:rFonts w:hint="eastAsia" w:ascii="Times New Roman" w:hAnsi="Times New Roman" w:eastAsia="黑体" w:cs="Times New Roman"/>
          <w:color w:val="auto"/>
          <w:szCs w:val="21"/>
          <w:lang w:val="en-US" w:eastAsia="zh-CN"/>
        </w:rPr>
        <w:t xml:space="preserve"> </w:t>
      </w:r>
      <w:r>
        <w:rPr>
          <w:rFonts w:ascii="Times New Roman" w:hAnsi="Times New Roman" w:eastAsia="黑体" w:cs="Times New Roman"/>
          <w:color w:val="auto"/>
          <w:szCs w:val="21"/>
        </w:rPr>
        <w:t>大气污染物无组织排放量核算表</w:t>
      </w:r>
    </w:p>
    <w:tbl>
      <w:tblPr>
        <w:tblStyle w:val="89"/>
        <w:tblW w:w="894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5"/>
        <w:gridCol w:w="831"/>
        <w:gridCol w:w="682"/>
        <w:gridCol w:w="895"/>
        <w:gridCol w:w="2976"/>
        <w:gridCol w:w="1432"/>
        <w:gridCol w:w="660"/>
        <w:gridCol w:w="9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trPr>
        <w:tc>
          <w:tcPr>
            <w:tcW w:w="535"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序号</w:t>
            </w:r>
          </w:p>
        </w:tc>
        <w:tc>
          <w:tcPr>
            <w:tcW w:w="831"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产污环节</w:t>
            </w:r>
          </w:p>
        </w:tc>
        <w:tc>
          <w:tcPr>
            <w:tcW w:w="682"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位置</w:t>
            </w:r>
          </w:p>
        </w:tc>
        <w:tc>
          <w:tcPr>
            <w:tcW w:w="895"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污染物类型</w:t>
            </w:r>
          </w:p>
        </w:tc>
        <w:tc>
          <w:tcPr>
            <w:tcW w:w="2976"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主要污染防治措施</w:t>
            </w:r>
          </w:p>
        </w:tc>
        <w:tc>
          <w:tcPr>
            <w:tcW w:w="1432"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标准名称</w:t>
            </w:r>
          </w:p>
        </w:tc>
        <w:tc>
          <w:tcPr>
            <w:tcW w:w="660"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浓度限值（mg/m</w:t>
            </w:r>
            <w:r>
              <w:rPr>
                <w:rFonts w:hint="default" w:ascii="Times New Roman" w:hAnsi="Times New Roman" w:cs="Times New Roman"/>
                <w:b/>
                <w:color w:val="auto"/>
                <w:vertAlign w:val="superscript"/>
              </w:rPr>
              <w:t>3</w:t>
            </w:r>
            <w:r>
              <w:rPr>
                <w:rFonts w:hint="default" w:ascii="Times New Roman" w:hAnsi="Times New Roman" w:cs="Times New Roman"/>
                <w:b/>
                <w:color w:val="auto"/>
              </w:rPr>
              <w:t>）</w:t>
            </w:r>
          </w:p>
        </w:tc>
        <w:tc>
          <w:tcPr>
            <w:tcW w:w="938"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排放量（t/a）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21" w:hRule="atLeast"/>
        </w:trPr>
        <w:tc>
          <w:tcPr>
            <w:tcW w:w="535" w:type="dxa"/>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831" w:type="dxa"/>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cs="Times New Roman"/>
                <w:color w:val="auto"/>
                <w:lang w:val="en-US" w:eastAsia="zh-CN"/>
              </w:rPr>
              <w:t>牛</w:t>
            </w:r>
            <w:r>
              <w:rPr>
                <w:rFonts w:hint="default" w:ascii="Times New Roman" w:hAnsi="Times New Roman" w:cs="Times New Roman"/>
                <w:color w:val="auto"/>
              </w:rPr>
              <w:t>舍</w:t>
            </w:r>
          </w:p>
        </w:tc>
        <w:tc>
          <w:tcPr>
            <w:tcW w:w="682" w:type="dxa"/>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场区</w:t>
            </w:r>
          </w:p>
        </w:tc>
        <w:tc>
          <w:tcPr>
            <w:tcW w:w="895"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氨</w:t>
            </w:r>
          </w:p>
        </w:tc>
        <w:tc>
          <w:tcPr>
            <w:tcW w:w="2976" w:type="dxa"/>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color w:val="auto"/>
              </w:rPr>
              <w:t>畜禽科学饲喂技术；</w:t>
            </w:r>
            <w:r>
              <w:rPr>
                <w:rFonts w:hint="eastAsia"/>
                <w:color w:val="auto"/>
              </w:rPr>
              <w:t>舍内、舍外</w:t>
            </w:r>
            <w:r>
              <w:rPr>
                <w:rFonts w:hint="default"/>
                <w:color w:val="auto"/>
              </w:rPr>
              <w:t>喷雾除臭；</w:t>
            </w:r>
            <w:r>
              <w:rPr>
                <w:rFonts w:hint="eastAsia"/>
                <w:color w:val="auto"/>
              </w:rPr>
              <w:t>向粪便或舍内、</w:t>
            </w:r>
            <w:r>
              <w:rPr>
                <w:rFonts w:hint="eastAsia"/>
                <w:color w:val="auto"/>
                <w:lang w:eastAsia="zh-CN"/>
              </w:rPr>
              <w:t>牛</w:t>
            </w:r>
            <w:r>
              <w:rPr>
                <w:rFonts w:hint="eastAsia"/>
                <w:color w:val="auto"/>
              </w:rPr>
              <w:t>舍出风口投（铺）放吸附剂；</w:t>
            </w:r>
            <w:r>
              <w:rPr>
                <w:rFonts w:hint="default"/>
                <w:color w:val="auto"/>
              </w:rPr>
              <w:t>加强厂区绿化；设置卫生防护距离；合理布局和规划养殖场；合理设计</w:t>
            </w:r>
            <w:r>
              <w:rPr>
                <w:rFonts w:hint="eastAsia"/>
                <w:color w:val="auto"/>
                <w:lang w:eastAsia="zh-CN"/>
              </w:rPr>
              <w:t>牛</w:t>
            </w:r>
            <w:r>
              <w:rPr>
                <w:rFonts w:hint="default"/>
                <w:color w:val="auto"/>
              </w:rPr>
              <w:t>舍结构及设施；规范管理等</w:t>
            </w:r>
            <w:r>
              <w:rPr>
                <w:rFonts w:hint="eastAsia"/>
                <w:color w:val="auto"/>
              </w:rPr>
              <w:t>。</w:t>
            </w:r>
          </w:p>
        </w:tc>
        <w:tc>
          <w:tcPr>
            <w:tcW w:w="1432" w:type="dxa"/>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《恶臭污染物排放标准》（GB14554-93）</w:t>
            </w:r>
          </w:p>
        </w:tc>
        <w:tc>
          <w:tcPr>
            <w:tcW w:w="660"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1.5</w:t>
            </w:r>
          </w:p>
        </w:tc>
        <w:tc>
          <w:tcPr>
            <w:tcW w:w="938"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0.249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8" w:hRule="atLeast"/>
        </w:trPr>
        <w:tc>
          <w:tcPr>
            <w:tcW w:w="535"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831"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682"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895"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硫化氢</w:t>
            </w:r>
          </w:p>
        </w:tc>
        <w:tc>
          <w:tcPr>
            <w:tcW w:w="2976"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432"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660"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0.06</w:t>
            </w:r>
          </w:p>
        </w:tc>
        <w:tc>
          <w:tcPr>
            <w:tcW w:w="938"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0.0</w:t>
            </w:r>
            <w:r>
              <w:rPr>
                <w:rFonts w:hint="eastAsia" w:cs="Times New Roman"/>
                <w:color w:val="auto"/>
                <w:lang w:val="en-US" w:eastAsia="zh-CN"/>
              </w:rPr>
              <w:t>142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trPr>
        <w:tc>
          <w:tcPr>
            <w:tcW w:w="535" w:type="dxa"/>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w:t>
            </w:r>
          </w:p>
        </w:tc>
        <w:tc>
          <w:tcPr>
            <w:tcW w:w="831" w:type="dxa"/>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发酵床</w:t>
            </w:r>
          </w:p>
        </w:tc>
        <w:tc>
          <w:tcPr>
            <w:tcW w:w="682"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895" w:type="dxa"/>
            <w:tcBorders>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rPr>
              <w:t>氨</w:t>
            </w:r>
          </w:p>
        </w:tc>
        <w:tc>
          <w:tcPr>
            <w:tcW w:w="2976" w:type="dxa"/>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bCs/>
                <w:color w:val="auto"/>
                <w:sz w:val="21"/>
                <w:szCs w:val="21"/>
              </w:rPr>
              <w:t>发酵床</w:t>
            </w:r>
            <w:r>
              <w:rPr>
                <w:rFonts w:hint="eastAsia" w:ascii="Times New Roman" w:hAnsi="Times New Roman" w:cs="Times New Roman"/>
                <w:bCs/>
                <w:color w:val="auto"/>
                <w:sz w:val="21"/>
                <w:szCs w:val="21"/>
                <w:lang w:val="en-US" w:eastAsia="zh-CN"/>
              </w:rPr>
              <w:t>周边</w:t>
            </w:r>
            <w:r>
              <w:rPr>
                <w:rFonts w:hint="eastAsia" w:ascii="Times New Roman" w:hAnsi="Times New Roman" w:cs="Times New Roman"/>
                <w:bCs/>
                <w:color w:val="auto"/>
                <w:sz w:val="21"/>
                <w:szCs w:val="21"/>
              </w:rPr>
              <w:t>定时喷洒除臭剂，同时加强周边绿化</w:t>
            </w:r>
          </w:p>
        </w:tc>
        <w:tc>
          <w:tcPr>
            <w:tcW w:w="1432"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660" w:type="dxa"/>
            <w:tcBorders>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1.5</w:t>
            </w:r>
          </w:p>
        </w:tc>
        <w:tc>
          <w:tcPr>
            <w:tcW w:w="938" w:type="dxa"/>
            <w:tcBorders>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0.0037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5" w:hRule="atLeast"/>
        </w:trPr>
        <w:tc>
          <w:tcPr>
            <w:tcW w:w="535"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en-US" w:eastAsia="zh-CN"/>
              </w:rPr>
            </w:pPr>
          </w:p>
        </w:tc>
        <w:tc>
          <w:tcPr>
            <w:tcW w:w="831"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en-US" w:eastAsia="zh-CN"/>
              </w:rPr>
            </w:pPr>
          </w:p>
        </w:tc>
        <w:tc>
          <w:tcPr>
            <w:tcW w:w="682"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895" w:type="dxa"/>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rPr>
              <w:t>硫化氢</w:t>
            </w:r>
          </w:p>
        </w:tc>
        <w:tc>
          <w:tcPr>
            <w:tcW w:w="2976"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432" w:type="dxa"/>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660" w:type="dxa"/>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0.06</w:t>
            </w:r>
          </w:p>
        </w:tc>
        <w:tc>
          <w:tcPr>
            <w:tcW w:w="938" w:type="dxa"/>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0.00074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1" w:hRule="atLeast"/>
        </w:trPr>
        <w:tc>
          <w:tcPr>
            <w:tcW w:w="535" w:type="dxa"/>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4</w:t>
            </w:r>
          </w:p>
        </w:tc>
        <w:tc>
          <w:tcPr>
            <w:tcW w:w="831" w:type="dxa"/>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饲料加工</w:t>
            </w:r>
          </w:p>
        </w:tc>
        <w:tc>
          <w:tcPr>
            <w:tcW w:w="682" w:type="dxa"/>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TMR管理中心</w:t>
            </w:r>
          </w:p>
        </w:tc>
        <w:tc>
          <w:tcPr>
            <w:tcW w:w="895" w:type="dxa"/>
            <w:tcBorders>
              <w:top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TSP</w:t>
            </w:r>
          </w:p>
        </w:tc>
        <w:tc>
          <w:tcPr>
            <w:tcW w:w="2976" w:type="dxa"/>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en-US" w:eastAsia="zh-CN"/>
              </w:rPr>
            </w:pPr>
            <w:r>
              <w:rPr>
                <w:rFonts w:hint="eastAsia" w:cs="Times New Roman"/>
                <w:color w:val="auto"/>
                <w:lang w:val="en-US" w:eastAsia="zh-CN"/>
              </w:rPr>
              <w:t>布袋除尘器+15m高排气筒（</w:t>
            </w:r>
            <w:r>
              <w:rPr>
                <w:rFonts w:hint="default" w:ascii="Times New Roman" w:hAnsi="Times New Roman" w:eastAsia="宋体" w:cs="Times New Roman"/>
                <w:color w:val="auto"/>
                <w:sz w:val="21"/>
                <w:szCs w:val="21"/>
                <w:lang w:eastAsia="zh-CN"/>
              </w:rPr>
              <w:t>风量</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00m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收集效率取90%，处理效率取99%</w:t>
            </w:r>
            <w:r>
              <w:rPr>
                <w:rFonts w:hint="eastAsia" w:cs="Times New Roman"/>
                <w:color w:val="auto"/>
                <w:sz w:val="21"/>
                <w:szCs w:val="21"/>
                <w:lang w:eastAsia="zh-CN"/>
              </w:rPr>
              <w:t>，</w:t>
            </w:r>
            <w:r>
              <w:rPr>
                <w:rFonts w:hint="eastAsia" w:cs="Times New Roman"/>
                <w:color w:val="auto"/>
                <w:lang w:val="en-US" w:eastAsia="zh-CN"/>
              </w:rPr>
              <w:t>DA001）</w:t>
            </w:r>
          </w:p>
        </w:tc>
        <w:tc>
          <w:tcPr>
            <w:tcW w:w="1432" w:type="dxa"/>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大气污染物综合排放标准</w:t>
            </w:r>
            <w:r>
              <w:rPr>
                <w:rFonts w:hint="default" w:ascii="Times New Roman" w:hAnsi="Times New Roman" w:cs="Times New Roman"/>
                <w:color w:val="auto"/>
              </w:rPr>
              <w:t>》（GB 16297-1996）</w:t>
            </w:r>
          </w:p>
        </w:tc>
        <w:tc>
          <w:tcPr>
            <w:tcW w:w="660" w:type="dxa"/>
            <w:tcBorders>
              <w:top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938" w:type="dxa"/>
            <w:tcBorders>
              <w:top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eastAsia" w:cs="Times New Roman"/>
                <w:color w:val="auto"/>
                <w:lang w:val="en-US" w:eastAsia="zh-CN"/>
              </w:rPr>
            </w:pPr>
            <w:r>
              <w:rPr>
                <w:rFonts w:hint="eastAsia" w:cs="Times New Roman"/>
                <w:color w:val="auto"/>
                <w:lang w:val="en-US" w:eastAsia="zh-CN"/>
              </w:rPr>
              <w:t>0.058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2" w:hRule="atLeast"/>
        </w:trPr>
        <w:tc>
          <w:tcPr>
            <w:tcW w:w="1366" w:type="dxa"/>
            <w:gridSpan w:val="2"/>
            <w:vMerge w:val="restart"/>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en-US" w:eastAsia="zh-CN"/>
              </w:rPr>
            </w:pPr>
            <w:r>
              <w:rPr>
                <w:rFonts w:hint="default" w:ascii="Times New Roman" w:hAnsi="Times New Roman"/>
                <w:color w:val="auto"/>
                <w:sz w:val="21"/>
                <w:szCs w:val="21"/>
              </w:rPr>
              <w:t>无组织排放总计</w:t>
            </w:r>
          </w:p>
        </w:tc>
        <w:tc>
          <w:tcPr>
            <w:tcW w:w="4553" w:type="dxa"/>
            <w:gridSpan w:val="3"/>
            <w:tcBorders>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氨</w:t>
            </w:r>
          </w:p>
        </w:tc>
        <w:tc>
          <w:tcPr>
            <w:tcW w:w="3030" w:type="dxa"/>
            <w:gridSpan w:val="3"/>
            <w:tcBorders>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lang w:val="en-US" w:eastAsia="zh-CN"/>
              </w:rPr>
            </w:pPr>
            <w:r>
              <w:rPr>
                <w:rFonts w:hint="eastAsia" w:cs="Times New Roman"/>
                <w:color w:val="auto"/>
                <w:lang w:val="en-US" w:eastAsia="zh-CN"/>
              </w:rPr>
              <w:t>0.2527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 w:hRule="atLeast"/>
        </w:trPr>
        <w:tc>
          <w:tcPr>
            <w:tcW w:w="1366" w:type="dxa"/>
            <w:gridSpan w:val="2"/>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rPr>
            </w:pPr>
          </w:p>
        </w:tc>
        <w:tc>
          <w:tcPr>
            <w:tcW w:w="4553" w:type="dxa"/>
            <w:gridSpan w:val="3"/>
            <w:tcBorders>
              <w:top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硫化氢</w:t>
            </w:r>
          </w:p>
        </w:tc>
        <w:tc>
          <w:tcPr>
            <w:tcW w:w="3030" w:type="dxa"/>
            <w:gridSpan w:val="3"/>
            <w:tcBorders>
              <w:top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lang w:val="en-US" w:eastAsia="zh-CN"/>
              </w:rPr>
            </w:pPr>
            <w:r>
              <w:rPr>
                <w:rFonts w:hint="eastAsia" w:cs="Times New Roman"/>
                <w:color w:val="auto"/>
                <w:lang w:val="en-US" w:eastAsia="zh-CN"/>
              </w:rPr>
              <w:t>0.0037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2" w:hRule="atLeast"/>
        </w:trPr>
        <w:tc>
          <w:tcPr>
            <w:tcW w:w="1366" w:type="dxa"/>
            <w:gridSpan w:val="2"/>
            <w:vMerge w:val="continue"/>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rPr>
            </w:pPr>
          </w:p>
        </w:tc>
        <w:tc>
          <w:tcPr>
            <w:tcW w:w="4553" w:type="dxa"/>
            <w:gridSpan w:val="3"/>
            <w:tcBorders>
              <w:top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lang w:val="en-US" w:eastAsia="zh-CN"/>
              </w:rPr>
            </w:pPr>
            <w:r>
              <w:rPr>
                <w:rFonts w:hint="eastAsia" w:cs="Times New Roman"/>
                <w:color w:val="auto"/>
                <w:lang w:val="en-US" w:eastAsia="zh-CN"/>
              </w:rPr>
              <w:t>TSP</w:t>
            </w:r>
          </w:p>
        </w:tc>
        <w:tc>
          <w:tcPr>
            <w:tcW w:w="3030" w:type="dxa"/>
            <w:gridSpan w:val="3"/>
            <w:tcBorders>
              <w:top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olor w:val="auto"/>
                <w:kern w:val="0"/>
                <w:lang w:val="en-US" w:eastAsia="zh-CN"/>
              </w:rPr>
            </w:pPr>
            <w:r>
              <w:rPr>
                <w:rFonts w:hint="eastAsia" w:cs="Times New Roman"/>
                <w:color w:val="auto"/>
                <w:lang w:val="en-US" w:eastAsia="zh-CN"/>
              </w:rPr>
              <w:t>0.058</w:t>
            </w:r>
          </w:p>
        </w:tc>
      </w:tr>
    </w:tbl>
    <w:p>
      <w:pPr>
        <w:ind w:firstLine="424" w:firstLineChars="177"/>
        <w:rPr>
          <w:rFonts w:ascii="Times New Roman" w:hAnsi="Times New Roman" w:cs="Times New Roman"/>
          <w:bCs/>
          <w:color w:val="auto"/>
          <w:sz w:val="24"/>
          <w:szCs w:val="24"/>
        </w:rPr>
      </w:pPr>
      <w:r>
        <w:rPr>
          <w:rFonts w:ascii="Times New Roman" w:hAnsi="Times New Roman" w:cs="Times New Roman"/>
          <w:bCs/>
          <w:color w:val="auto"/>
          <w:sz w:val="24"/>
          <w:szCs w:val="24"/>
        </w:rPr>
        <w:t>项目大气污染物年排放量核算详见下表：</w:t>
      </w:r>
    </w:p>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ascii="Times New Roman" w:hAnsi="Times New Roman" w:eastAsia="黑体" w:cs="Times New Roman"/>
          <w:color w:val="auto"/>
          <w:szCs w:val="21"/>
        </w:rPr>
      </w:pPr>
      <w:r>
        <w:rPr>
          <w:rFonts w:ascii="Times New Roman" w:hAnsi="Times New Roman" w:eastAsia="黑体" w:cs="Times New Roman"/>
          <w:color w:val="auto"/>
          <w:szCs w:val="21"/>
        </w:rPr>
        <w:t>表</w:t>
      </w:r>
      <w:r>
        <w:rPr>
          <w:rFonts w:hint="eastAsia" w:eastAsia="黑体" w:cs="Times New Roman"/>
          <w:color w:val="auto"/>
          <w:szCs w:val="21"/>
          <w:lang w:val="en-US" w:eastAsia="zh-CN"/>
        </w:rPr>
        <w:t>5</w:t>
      </w:r>
      <w:r>
        <w:rPr>
          <w:rFonts w:hint="eastAsia" w:ascii="Times New Roman" w:hAnsi="Times New Roman" w:eastAsia="黑体" w:cs="Times New Roman"/>
          <w:color w:val="auto"/>
          <w:szCs w:val="21"/>
        </w:rPr>
        <w:t>.2</w:t>
      </w:r>
      <w:r>
        <w:rPr>
          <w:rFonts w:ascii="Times New Roman" w:hAnsi="Times New Roman" w:eastAsia="黑体" w:cs="Times New Roman"/>
          <w:color w:val="auto"/>
          <w:szCs w:val="21"/>
        </w:rPr>
        <w:t>-</w:t>
      </w:r>
      <w:r>
        <w:rPr>
          <w:rFonts w:hint="eastAsia" w:ascii="Times New Roman" w:hAnsi="Times New Roman" w:eastAsia="黑体" w:cs="Times New Roman"/>
          <w:color w:val="auto"/>
          <w:szCs w:val="21"/>
          <w:lang w:val="en-US" w:eastAsia="zh-CN"/>
        </w:rPr>
        <w:t>1</w:t>
      </w:r>
      <w:r>
        <w:rPr>
          <w:rFonts w:hint="eastAsia" w:eastAsia="黑体" w:cs="Times New Roman"/>
          <w:color w:val="auto"/>
          <w:szCs w:val="21"/>
          <w:lang w:val="en-US" w:eastAsia="zh-CN"/>
        </w:rPr>
        <w:t>6</w:t>
      </w:r>
      <w:r>
        <w:rPr>
          <w:rFonts w:hint="eastAsia" w:ascii="Times New Roman" w:hAnsi="Times New Roman" w:eastAsia="黑体" w:cs="Times New Roman"/>
          <w:color w:val="auto"/>
          <w:szCs w:val="21"/>
        </w:rPr>
        <w:t xml:space="preserve">  </w:t>
      </w:r>
      <w:r>
        <w:rPr>
          <w:rFonts w:ascii="Times New Roman" w:hAnsi="Times New Roman" w:eastAsia="黑体" w:cs="Times New Roman"/>
          <w:color w:val="auto"/>
          <w:szCs w:val="21"/>
          <w:lang w:val="en-US" w:eastAsia="zh-CN"/>
        </w:rPr>
        <w:t>项目大气污染物年排放量核算表</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3023"/>
        <w:gridCol w:w="4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655"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序号</w:t>
            </w:r>
          </w:p>
        </w:tc>
        <w:tc>
          <w:tcPr>
            <w:tcW w:w="3023"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污染物</w:t>
            </w:r>
          </w:p>
        </w:tc>
        <w:tc>
          <w:tcPr>
            <w:tcW w:w="4270"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655"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3023"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氨</w:t>
            </w:r>
          </w:p>
        </w:tc>
        <w:tc>
          <w:tcPr>
            <w:tcW w:w="4270"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lang w:val="en-US" w:eastAsia="zh-CN"/>
              </w:rPr>
            </w:pPr>
            <w:r>
              <w:rPr>
                <w:rFonts w:hint="eastAsia" w:cs="Times New Roman"/>
                <w:color w:val="auto"/>
                <w:lang w:val="en-US" w:eastAsia="zh-CN"/>
              </w:rPr>
              <w:t>0.2527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655"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2</w:t>
            </w:r>
          </w:p>
        </w:tc>
        <w:tc>
          <w:tcPr>
            <w:tcW w:w="3023"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硫化氢</w:t>
            </w:r>
          </w:p>
        </w:tc>
        <w:tc>
          <w:tcPr>
            <w:tcW w:w="4270"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lang w:val="en-US" w:eastAsia="zh-CN"/>
              </w:rPr>
            </w:pPr>
            <w:r>
              <w:rPr>
                <w:rFonts w:hint="eastAsia" w:cs="Times New Roman"/>
                <w:color w:val="auto"/>
                <w:lang w:val="en-US" w:eastAsia="zh-CN"/>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655"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3</w:t>
            </w:r>
          </w:p>
        </w:tc>
        <w:tc>
          <w:tcPr>
            <w:tcW w:w="3023" w:type="dxa"/>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TSP</w:t>
            </w:r>
          </w:p>
        </w:tc>
        <w:tc>
          <w:tcPr>
            <w:tcW w:w="4270"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cs="Times New Roman"/>
                <w:color w:val="auto"/>
                <w:lang w:val="en-US" w:eastAsia="zh-CN"/>
              </w:rPr>
            </w:pPr>
            <w:r>
              <w:rPr>
                <w:rFonts w:hint="eastAsia" w:cs="Times New Roman"/>
                <w:color w:val="auto"/>
                <w:lang w:val="en-US" w:eastAsia="zh-CN"/>
              </w:rPr>
              <w:t>0.0743</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2、大气环境防护距离</w:t>
      </w:r>
    </w:p>
    <w:p>
      <w:pPr>
        <w:spacing w:before="120"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HJ2.2-2018：对于项目厂界浓度满足大气污染物厂界浓度限值，但厂界外大气污染物浓度短期贡献浓度超过环境质量浓度限值的，可以自厂界向外设置一定范围的大气环境防护区域。根据预测结果，项目污染物贡献值能够满足环境质量标准，厂界外贡献值外无超标区。</w:t>
      </w:r>
    </w:p>
    <w:p>
      <w:pPr>
        <w:spacing w:line="360" w:lineRule="auto"/>
        <w:ind w:firstLine="480" w:firstLineChars="200"/>
        <w:rPr>
          <w:color w:val="auto"/>
          <w:sz w:val="24"/>
          <w:u w:val="single"/>
        </w:rPr>
      </w:pPr>
      <w:r>
        <w:rPr>
          <w:rFonts w:hint="default" w:ascii="Times New Roman" w:hAnsi="Times New Roman" w:cs="Times New Roman"/>
          <w:color w:val="auto"/>
          <w:sz w:val="24"/>
          <w:u w:val="single"/>
        </w:rPr>
        <w:t>综上所述，本次评价无需设置大气环境</w:t>
      </w:r>
      <w:r>
        <w:rPr>
          <w:color w:val="auto"/>
          <w:sz w:val="24"/>
          <w:u w:val="single"/>
        </w:rPr>
        <w:t>防护区域。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卫生防护距离</w:t>
      </w:r>
    </w:p>
    <w:p>
      <w:pPr>
        <w:spacing w:line="360" w:lineRule="auto"/>
        <w:ind w:firstLine="540"/>
        <w:rPr>
          <w:rFonts w:hint="default" w:ascii="Times New Roman" w:hAnsi="Times New Roman" w:cs="Times New Roman"/>
          <w:color w:val="auto"/>
          <w:sz w:val="24"/>
        </w:rPr>
      </w:pPr>
      <w:r>
        <w:rPr>
          <w:rFonts w:hint="default" w:ascii="Times New Roman" w:hAnsi="Times New Roman" w:cs="Times New Roman"/>
          <w:color w:val="auto"/>
          <w:sz w:val="24"/>
        </w:rPr>
        <w:t>根据</w:t>
      </w:r>
      <w:r>
        <w:rPr>
          <w:color w:val="auto"/>
          <w:sz w:val="24"/>
          <w:szCs w:val="32"/>
        </w:rPr>
        <w:t>《</w:t>
      </w:r>
      <w:r>
        <w:rPr>
          <w:rFonts w:hint="eastAsia"/>
          <w:color w:val="auto"/>
          <w:sz w:val="24"/>
          <w:szCs w:val="32"/>
          <w:lang w:val="en-US" w:eastAsia="zh-CN"/>
        </w:rPr>
        <w:t>大气有害物质无组织排放卫生防护距离推导技术导则</w:t>
      </w:r>
      <w:r>
        <w:rPr>
          <w:color w:val="auto"/>
          <w:sz w:val="24"/>
          <w:szCs w:val="32"/>
        </w:rPr>
        <w:t>》</w:t>
      </w:r>
      <w:r>
        <w:rPr>
          <w:rFonts w:hint="eastAsia"/>
          <w:color w:val="auto"/>
          <w:sz w:val="24"/>
          <w:szCs w:val="32"/>
          <w:lang w:val="en-US" w:eastAsia="zh-CN"/>
        </w:rPr>
        <w:t>（GB/T 39499-2020）</w:t>
      </w:r>
      <w:r>
        <w:rPr>
          <w:rFonts w:hint="default" w:ascii="Times New Roman" w:hAnsi="Times New Roman" w:cs="Times New Roman"/>
          <w:color w:val="auto"/>
          <w:sz w:val="24"/>
        </w:rPr>
        <w:t>规定，计算卫生防护距离的公式为：</w:t>
      </w:r>
    </w:p>
    <w:p>
      <w:pPr>
        <w:spacing w:line="360" w:lineRule="auto"/>
        <w:ind w:firstLine="540"/>
        <w:rPr>
          <w:rFonts w:hint="default" w:ascii="Times New Roman" w:hAnsi="Times New Roman" w:cs="Times New Roman"/>
          <w:color w:val="auto"/>
          <w:sz w:val="24"/>
        </w:rPr>
      </w:pPr>
      <w:r>
        <w:rPr>
          <w:rFonts w:hint="default" w:ascii="Times New Roman" w:hAnsi="Times New Roman" w:cs="Times New Roman"/>
          <w:color w:val="auto"/>
        </w:rPr>
        <w:drawing>
          <wp:inline distT="0" distB="0" distL="0" distR="0">
            <wp:extent cx="1828800" cy="428625"/>
            <wp:effectExtent l="0" t="0" r="0" b="8890"/>
            <wp:docPr id="54" name="图片 54" descr="C:\Users\ADMINI~1\AppData\Local\Temp\ksohtml46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1\AppData\Local\Temp\ksohtml4612\wps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28800" cy="428625"/>
                    </a:xfrm>
                    <a:prstGeom prst="rect">
                      <a:avLst/>
                    </a:prstGeom>
                    <a:noFill/>
                    <a:ln>
                      <a:noFill/>
                    </a:ln>
                  </pic:spPr>
                </pic:pic>
              </a:graphicData>
            </a:graphic>
          </wp:inline>
        </w:drawing>
      </w:r>
    </w:p>
    <w:p>
      <w:pPr>
        <w:spacing w:line="360" w:lineRule="auto"/>
        <w:ind w:firstLine="540"/>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rPr>
        <w:drawing>
          <wp:inline distT="0" distB="0" distL="0" distR="0">
            <wp:extent cx="219075" cy="200025"/>
            <wp:effectExtent l="0" t="0" r="9525" b="8890"/>
            <wp:docPr id="55" name="图片 55" descr="C:\Users\ADMINI~1\AppData\Local\Temp\ksohtml461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1\AppData\Local\Temp\ksohtml4612\wps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9075" cy="200025"/>
                    </a:xfrm>
                    <a:prstGeom prst="rect">
                      <a:avLst/>
                    </a:prstGeom>
                    <a:noFill/>
                    <a:ln>
                      <a:noFill/>
                    </a:ln>
                  </pic:spPr>
                </pic:pic>
              </a:graphicData>
            </a:graphic>
          </wp:inline>
        </w:drawing>
      </w:r>
      <w:r>
        <w:rPr>
          <w:rFonts w:hint="default" w:ascii="Times New Roman" w:hAnsi="Times New Roman" w:cs="Times New Roman"/>
          <w:color w:val="auto"/>
          <w:sz w:val="24"/>
        </w:rPr>
        <w:t>----浓度标准限值，mg/m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540"/>
        <w:rPr>
          <w:rFonts w:hint="default" w:ascii="Times New Roman" w:hAnsi="Times New Roman" w:cs="Times New Roman"/>
          <w:color w:val="auto"/>
          <w:sz w:val="24"/>
        </w:rPr>
      </w:pPr>
      <w:r>
        <w:rPr>
          <w:rFonts w:hint="default" w:ascii="Times New Roman" w:hAnsi="Times New Roman" w:cs="Times New Roman"/>
          <w:color w:val="auto"/>
        </w:rPr>
        <w:drawing>
          <wp:inline distT="0" distB="0" distL="0" distR="0">
            <wp:extent cx="152400" cy="152400"/>
            <wp:effectExtent l="0" t="0" r="0" b="0"/>
            <wp:docPr id="56" name="图片 56" descr="C:\Users\ADMINI~1\AppData\Local\Temp\ksohtml461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1\AppData\Local\Temp\ksohtml4612\wps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hint="default" w:ascii="Times New Roman" w:hAnsi="Times New Roman" w:cs="Times New Roman"/>
          <w:color w:val="auto"/>
          <w:sz w:val="24"/>
        </w:rPr>
        <w:t>----卫生防护距离，m</w:t>
      </w:r>
    </w:p>
    <w:p>
      <w:pPr>
        <w:spacing w:line="360" w:lineRule="auto"/>
        <w:ind w:firstLine="540"/>
        <w:rPr>
          <w:rFonts w:hint="default" w:ascii="Times New Roman" w:hAnsi="Times New Roman" w:cs="Times New Roman"/>
          <w:color w:val="auto"/>
          <w:sz w:val="24"/>
        </w:rPr>
      </w:pPr>
      <w:r>
        <w:rPr>
          <w:rFonts w:hint="default" w:ascii="Times New Roman" w:hAnsi="Times New Roman" w:cs="Times New Roman"/>
          <w:color w:val="auto"/>
        </w:rPr>
        <w:drawing>
          <wp:inline distT="0" distB="0" distL="0" distR="0">
            <wp:extent cx="114300" cy="123825"/>
            <wp:effectExtent l="0" t="0" r="0" b="8255"/>
            <wp:docPr id="57" name="图片 57" descr="C:\Users\ADMINI~1\AppData\Local\Temp\ksohtml461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ksohtml4612\wps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4300" cy="123825"/>
                    </a:xfrm>
                    <a:prstGeom prst="rect">
                      <a:avLst/>
                    </a:prstGeom>
                    <a:noFill/>
                    <a:ln>
                      <a:noFill/>
                    </a:ln>
                  </pic:spPr>
                </pic:pic>
              </a:graphicData>
            </a:graphic>
          </wp:inline>
        </w:drawing>
      </w:r>
      <w:r>
        <w:rPr>
          <w:rFonts w:hint="default" w:ascii="Times New Roman" w:hAnsi="Times New Roman" w:cs="Times New Roman"/>
          <w:color w:val="auto"/>
          <w:sz w:val="24"/>
        </w:rPr>
        <w:t>-----排放源等效半径，m</w:t>
      </w:r>
    </w:p>
    <w:p>
      <w:pPr>
        <w:spacing w:line="360" w:lineRule="auto"/>
        <w:ind w:firstLine="540"/>
        <w:rPr>
          <w:rFonts w:hint="default" w:ascii="Times New Roman" w:hAnsi="Times New Roman" w:cs="Times New Roman"/>
          <w:color w:val="auto"/>
          <w:sz w:val="24"/>
        </w:rPr>
      </w:pPr>
      <w:r>
        <w:rPr>
          <w:rFonts w:hint="default" w:ascii="Times New Roman" w:hAnsi="Times New Roman" w:cs="Times New Roman"/>
          <w:color w:val="auto"/>
          <w:sz w:val="24"/>
        </w:rPr>
        <w:t xml:space="preserve">      A、B、C、D ---- 计算系数</w:t>
      </w:r>
    </w:p>
    <w:p>
      <w:pPr>
        <w:spacing w:line="360" w:lineRule="auto"/>
        <w:ind w:firstLine="540"/>
        <w:rPr>
          <w:rFonts w:hint="default" w:ascii="Times New Roman" w:hAnsi="Times New Roman" w:cs="Times New Roman"/>
          <w:color w:val="auto"/>
          <w:sz w:val="24"/>
        </w:rPr>
      </w:pPr>
      <w:r>
        <w:rPr>
          <w:rFonts w:hint="default" w:ascii="Times New Roman" w:hAnsi="Times New Roman" w:cs="Times New Roman"/>
          <w:color w:val="auto"/>
          <w:sz w:val="24"/>
        </w:rPr>
        <w:t xml:space="preserve">      Qc----无组织废气可以达到的控制水平排放量，kg/h</w:t>
      </w:r>
    </w:p>
    <w:p>
      <w:pPr>
        <w:rPr>
          <w:rFonts w:hint="default" w:ascii="Times New Roman" w:hAnsi="Times New Roman" w:cs="Times New Roman"/>
          <w:color w:val="auto"/>
          <w:szCs w:val="21"/>
        </w:rPr>
      </w:pPr>
      <w:r>
        <w:rPr>
          <w:rFonts w:hint="default" w:ascii="Times New Roman" w:hAnsi="Times New Roman" w:cs="Times New Roman"/>
          <w:color w:val="auto"/>
          <w:sz w:val="24"/>
        </w:rPr>
        <w:t>A、B、C、D取值，见表</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.2-</w:t>
      </w:r>
      <w:r>
        <w:rPr>
          <w:rFonts w:hint="eastAsia" w:cs="Times New Roman"/>
          <w:color w:val="auto"/>
          <w:sz w:val="24"/>
          <w:lang w:val="en-US" w:eastAsia="zh-CN"/>
        </w:rPr>
        <w:t>17</w:t>
      </w:r>
      <w:r>
        <w:rPr>
          <w:rFonts w:hint="default" w:ascii="Times New Roman" w:hAnsi="Times New Roman" w:cs="Times New Roman"/>
          <w:color w:val="auto"/>
          <w:sz w:val="24"/>
        </w:rPr>
        <w:t>。</w:t>
      </w:r>
    </w:p>
    <w:p>
      <w:pPr>
        <w:jc w:val="center"/>
        <w:rPr>
          <w:rFonts w:eastAsia="黑体"/>
          <w:color w:val="auto"/>
          <w:szCs w:val="21"/>
        </w:rPr>
      </w:pPr>
      <w:r>
        <w:rPr>
          <w:rFonts w:eastAsia="黑体"/>
          <w:color w:val="auto"/>
          <w:szCs w:val="21"/>
        </w:rPr>
        <w:t>表</w:t>
      </w:r>
      <w:r>
        <w:rPr>
          <w:rFonts w:hint="eastAsia" w:eastAsia="黑体"/>
          <w:color w:val="auto"/>
          <w:szCs w:val="21"/>
          <w:lang w:val="en-US" w:eastAsia="zh-CN"/>
        </w:rPr>
        <w:t>5</w:t>
      </w:r>
      <w:r>
        <w:rPr>
          <w:rFonts w:hint="eastAsia" w:eastAsia="黑体"/>
          <w:color w:val="auto"/>
          <w:szCs w:val="21"/>
        </w:rPr>
        <w:t>.2</w:t>
      </w:r>
      <w:r>
        <w:rPr>
          <w:rFonts w:eastAsia="黑体"/>
          <w:color w:val="auto"/>
          <w:szCs w:val="21"/>
        </w:rPr>
        <w:t>－</w:t>
      </w:r>
      <w:r>
        <w:rPr>
          <w:rFonts w:hint="eastAsia" w:eastAsia="黑体"/>
          <w:color w:val="auto"/>
          <w:szCs w:val="21"/>
          <w:lang w:val="en-US" w:eastAsia="zh-CN"/>
        </w:rPr>
        <w:t>17</w:t>
      </w:r>
      <w:r>
        <w:rPr>
          <w:rFonts w:hint="eastAsia" w:eastAsia="黑体"/>
          <w:color w:val="auto"/>
          <w:szCs w:val="21"/>
        </w:rPr>
        <w:t xml:space="preserve">  </w:t>
      </w:r>
      <w:r>
        <w:rPr>
          <w:rFonts w:eastAsia="黑体"/>
          <w:color w:val="auto"/>
          <w:szCs w:val="21"/>
        </w:rPr>
        <w:t>卫生防护距离计算系数</w:t>
      </w:r>
    </w:p>
    <w:tbl>
      <w:tblPr>
        <w:tblStyle w:val="8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014"/>
        <w:gridCol w:w="698"/>
        <w:gridCol w:w="764"/>
        <w:gridCol w:w="763"/>
        <w:gridCol w:w="763"/>
        <w:gridCol w:w="763"/>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计算</w:t>
            </w:r>
          </w:p>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系数</w:t>
            </w:r>
          </w:p>
        </w:tc>
        <w:tc>
          <w:tcPr>
            <w:tcW w:w="1014" w:type="dxa"/>
            <w:vMerge w:val="restart"/>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0" w:right="-40"/>
              <w:rPr>
                <w:rFonts w:hint="default"/>
                <w:color w:val="auto"/>
                <w:szCs w:val="21"/>
              </w:rPr>
            </w:pPr>
            <w:r>
              <w:rPr>
                <w:rFonts w:hint="default"/>
                <w:color w:val="auto"/>
              </w:rPr>
              <w:t>工业企业所在地区近五年平均风速m/s</w:t>
            </w:r>
          </w:p>
        </w:tc>
        <w:tc>
          <w:tcPr>
            <w:tcW w:w="6807" w:type="dxa"/>
            <w:gridSpan w:val="9"/>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卫生防护距离</w:t>
            </w:r>
            <w:r>
              <w:rPr>
                <w:rFonts w:hint="default"/>
                <w:i/>
                <w:iCs/>
                <w:color w:val="auto"/>
              </w:rPr>
              <w:t>L</w:t>
            </w:r>
            <w:r>
              <w:rPr>
                <w:rFonts w:hint="default"/>
                <w:color w:val="auto"/>
              </w:rPr>
              <w:t>,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014"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2225"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L≤1000</w:t>
            </w:r>
          </w:p>
        </w:tc>
        <w:tc>
          <w:tcPr>
            <w:tcW w:w="2290"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1000&lt;L≤2000</w:t>
            </w:r>
          </w:p>
        </w:tc>
        <w:tc>
          <w:tcPr>
            <w:tcW w:w="2292"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L&gt;2000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014"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6807" w:type="dxa"/>
            <w:gridSpan w:val="9"/>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工业企业大气污染源构成类别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014"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698"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Ⅰ</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Ⅱ</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Ⅲ</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Ⅰ</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Ⅱ</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Ⅲ</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Ⅰ</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Ⅱ</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A</w:t>
            </w: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&lt;2</w:t>
            </w:r>
          </w:p>
        </w:tc>
        <w:tc>
          <w:tcPr>
            <w:tcW w:w="698"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400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400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400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400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400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400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80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80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2～4</w:t>
            </w:r>
          </w:p>
        </w:tc>
        <w:tc>
          <w:tcPr>
            <w:tcW w:w="698"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700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470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350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700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470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350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380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250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&gt;4</w:t>
            </w:r>
          </w:p>
        </w:tc>
        <w:tc>
          <w:tcPr>
            <w:tcW w:w="698"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530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350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260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530</w:t>
            </w:r>
          </w:p>
        </w:tc>
        <w:tc>
          <w:tcPr>
            <w:tcW w:w="763"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350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260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290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190</w:t>
            </w:r>
          </w:p>
        </w:tc>
        <w:tc>
          <w:tcPr>
            <w:tcW w:w="76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B</w:t>
            </w: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&lt;2</w:t>
            </w:r>
          </w:p>
        </w:tc>
        <w:tc>
          <w:tcPr>
            <w:tcW w:w="2225"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0.01</w:t>
            </w:r>
          </w:p>
        </w:tc>
        <w:tc>
          <w:tcPr>
            <w:tcW w:w="2290"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0.015</w:t>
            </w:r>
          </w:p>
        </w:tc>
        <w:tc>
          <w:tcPr>
            <w:tcW w:w="2292"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&gt;2</w:t>
            </w:r>
          </w:p>
        </w:tc>
        <w:tc>
          <w:tcPr>
            <w:tcW w:w="2225"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0.021</w:t>
            </w:r>
          </w:p>
        </w:tc>
        <w:tc>
          <w:tcPr>
            <w:tcW w:w="2290"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0.036</w:t>
            </w:r>
          </w:p>
        </w:tc>
        <w:tc>
          <w:tcPr>
            <w:tcW w:w="2292"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C</w:t>
            </w: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&lt;2</w:t>
            </w:r>
          </w:p>
        </w:tc>
        <w:tc>
          <w:tcPr>
            <w:tcW w:w="2225"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1.85</w:t>
            </w:r>
          </w:p>
        </w:tc>
        <w:tc>
          <w:tcPr>
            <w:tcW w:w="2290"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1.79</w:t>
            </w:r>
          </w:p>
        </w:tc>
        <w:tc>
          <w:tcPr>
            <w:tcW w:w="2292"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&gt;2</w:t>
            </w:r>
          </w:p>
        </w:tc>
        <w:tc>
          <w:tcPr>
            <w:tcW w:w="2225"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1.85</w:t>
            </w:r>
          </w:p>
        </w:tc>
        <w:tc>
          <w:tcPr>
            <w:tcW w:w="2290"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1.77</w:t>
            </w:r>
          </w:p>
        </w:tc>
        <w:tc>
          <w:tcPr>
            <w:tcW w:w="2292"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D</w:t>
            </w: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&lt;2</w:t>
            </w:r>
          </w:p>
        </w:tc>
        <w:tc>
          <w:tcPr>
            <w:tcW w:w="2225"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0.78</w:t>
            </w:r>
          </w:p>
        </w:tc>
        <w:tc>
          <w:tcPr>
            <w:tcW w:w="2290"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0.78</w:t>
            </w:r>
          </w:p>
        </w:tc>
        <w:tc>
          <w:tcPr>
            <w:tcW w:w="2292"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8"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014" w:type="dxa"/>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&gt;2</w:t>
            </w:r>
          </w:p>
        </w:tc>
        <w:tc>
          <w:tcPr>
            <w:tcW w:w="2225"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0.84</w:t>
            </w:r>
          </w:p>
        </w:tc>
        <w:tc>
          <w:tcPr>
            <w:tcW w:w="2290"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0.84</w:t>
            </w:r>
          </w:p>
        </w:tc>
        <w:tc>
          <w:tcPr>
            <w:tcW w:w="2292" w:type="dxa"/>
            <w:gridSpan w:val="3"/>
            <w:tcBorders>
              <w:top w:val="single" w:color="auto" w:sz="4" w:space="0"/>
              <w:left w:val="nil"/>
              <w:bottom w:val="single" w:color="auto" w:sz="4" w:space="0"/>
              <w:right w:val="single" w:color="auto" w:sz="4" w:space="0"/>
            </w:tcBorders>
          </w:tcPr>
          <w:p>
            <w:pPr>
              <w:keepNext w:val="0"/>
              <w:keepLines w:val="0"/>
              <w:suppressLineNumbers w:val="0"/>
              <w:snapToGrid w:val="0"/>
              <w:spacing w:before="0" w:beforeAutospacing="0" w:after="0" w:afterAutospacing="0"/>
              <w:ind w:left="-42" w:right="-42"/>
              <w:jc w:val="center"/>
              <w:rPr>
                <w:rFonts w:hint="default"/>
                <w:color w:val="auto"/>
                <w:szCs w:val="21"/>
              </w:rPr>
            </w:pPr>
            <w:r>
              <w:rPr>
                <w:rFonts w:hint="default"/>
                <w:color w:val="auto"/>
              </w:rPr>
              <w:t>0.76</w:t>
            </w:r>
          </w:p>
        </w:tc>
      </w:tr>
    </w:tbl>
    <w:p>
      <w:pPr>
        <w:spacing w:before="120" w:beforeLines="50" w:line="360" w:lineRule="auto"/>
        <w:ind w:firstLine="527"/>
        <w:rPr>
          <w:bCs/>
          <w:color w:val="auto"/>
          <w:sz w:val="24"/>
        </w:rPr>
      </w:pPr>
      <w:r>
        <w:rPr>
          <w:color w:val="auto"/>
          <w:sz w:val="24"/>
        </w:rPr>
        <w:t>根据工程分析，本项目卫生防护距离计算结算见表</w:t>
      </w:r>
      <w:r>
        <w:rPr>
          <w:rFonts w:hint="eastAsia"/>
          <w:color w:val="auto"/>
          <w:sz w:val="24"/>
          <w:lang w:val="en-US" w:eastAsia="zh-CN"/>
        </w:rPr>
        <w:t>5</w:t>
      </w:r>
      <w:r>
        <w:rPr>
          <w:rFonts w:hint="eastAsia"/>
          <w:color w:val="auto"/>
          <w:sz w:val="24"/>
        </w:rPr>
        <w:t>.2</w:t>
      </w:r>
      <w:r>
        <w:rPr>
          <w:color w:val="auto"/>
          <w:sz w:val="24"/>
        </w:rPr>
        <w:t>-</w:t>
      </w:r>
      <w:r>
        <w:rPr>
          <w:rFonts w:hint="eastAsia"/>
          <w:color w:val="auto"/>
          <w:sz w:val="24"/>
          <w:lang w:val="en-US" w:eastAsia="zh-CN"/>
        </w:rPr>
        <w:t>18</w:t>
      </w:r>
      <w:r>
        <w:rPr>
          <w:color w:val="auto"/>
          <w:sz w:val="24"/>
        </w:rPr>
        <w:t>。</w:t>
      </w:r>
    </w:p>
    <w:p>
      <w:pPr>
        <w:jc w:val="center"/>
        <w:rPr>
          <w:rFonts w:eastAsia="黑体"/>
          <w:color w:val="auto"/>
          <w:szCs w:val="21"/>
        </w:rPr>
      </w:pPr>
      <w:r>
        <w:rPr>
          <w:rFonts w:eastAsia="黑体"/>
          <w:color w:val="auto"/>
          <w:szCs w:val="21"/>
        </w:rPr>
        <w:t>表</w:t>
      </w:r>
      <w:r>
        <w:rPr>
          <w:rFonts w:hint="eastAsia" w:eastAsia="黑体"/>
          <w:color w:val="auto"/>
          <w:szCs w:val="21"/>
          <w:lang w:val="en-US" w:eastAsia="zh-CN"/>
        </w:rPr>
        <w:t>5</w:t>
      </w:r>
      <w:r>
        <w:rPr>
          <w:rFonts w:hint="eastAsia" w:eastAsia="黑体"/>
          <w:color w:val="auto"/>
          <w:szCs w:val="21"/>
        </w:rPr>
        <w:t>.2</w:t>
      </w:r>
      <w:r>
        <w:rPr>
          <w:rFonts w:eastAsia="黑体"/>
          <w:color w:val="auto"/>
          <w:szCs w:val="21"/>
        </w:rPr>
        <w:t>-</w:t>
      </w:r>
      <w:r>
        <w:rPr>
          <w:rFonts w:hint="eastAsia" w:eastAsia="黑体"/>
          <w:color w:val="auto"/>
          <w:szCs w:val="21"/>
          <w:lang w:val="en-US" w:eastAsia="zh-CN"/>
        </w:rPr>
        <w:t>18</w:t>
      </w:r>
      <w:r>
        <w:rPr>
          <w:rFonts w:hint="eastAsia" w:eastAsia="黑体"/>
          <w:color w:val="auto"/>
          <w:szCs w:val="21"/>
        </w:rPr>
        <w:t xml:space="preserve">  </w:t>
      </w:r>
      <w:r>
        <w:rPr>
          <w:rFonts w:eastAsia="黑体"/>
          <w:color w:val="auto"/>
          <w:szCs w:val="21"/>
        </w:rPr>
        <w:t>项目卫生防护距离计算结果</w:t>
      </w:r>
    </w:p>
    <w:tbl>
      <w:tblPr>
        <w:tblStyle w:val="89"/>
        <w:tblW w:w="894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72"/>
        <w:gridCol w:w="784"/>
        <w:gridCol w:w="891"/>
        <w:gridCol w:w="1441"/>
        <w:gridCol w:w="1092"/>
        <w:gridCol w:w="1008"/>
        <w:gridCol w:w="1543"/>
        <w:gridCol w:w="13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72"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污染源</w:t>
            </w:r>
          </w:p>
        </w:tc>
        <w:tc>
          <w:tcPr>
            <w:tcW w:w="784" w:type="dxa"/>
            <w:tcBorders>
              <w:right w:val="single" w:color="auto" w:sz="2"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污染物</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名称</w:t>
            </w:r>
          </w:p>
        </w:tc>
        <w:tc>
          <w:tcPr>
            <w:tcW w:w="891" w:type="dxa"/>
            <w:tcBorders>
              <w:left w:val="single" w:color="auto" w:sz="2"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snapToGrid w:val="0"/>
                <w:color w:val="auto"/>
                <w:kern w:val="0"/>
                <w:szCs w:val="21"/>
              </w:rPr>
              <w:t>标准mg/m</w:t>
            </w:r>
            <w:r>
              <w:rPr>
                <w:rFonts w:hint="default"/>
                <w:snapToGrid w:val="0"/>
                <w:color w:val="auto"/>
                <w:kern w:val="0"/>
                <w:szCs w:val="21"/>
                <w:vertAlign w:val="superscript"/>
              </w:rPr>
              <w:t>3</w:t>
            </w:r>
          </w:p>
        </w:tc>
        <w:tc>
          <w:tcPr>
            <w:tcW w:w="1441"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无组织排放量(kg/h)</w:t>
            </w:r>
          </w:p>
        </w:tc>
        <w:tc>
          <w:tcPr>
            <w:tcW w:w="1092"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面源面积(m</w:t>
            </w:r>
            <w:r>
              <w:rPr>
                <w:rFonts w:hint="default"/>
                <w:color w:val="auto"/>
                <w:szCs w:val="21"/>
                <w:vertAlign w:val="superscript"/>
              </w:rPr>
              <w:t>2</w:t>
            </w:r>
            <w:r>
              <w:rPr>
                <w:rFonts w:hint="default"/>
                <w:color w:val="auto"/>
                <w:szCs w:val="21"/>
              </w:rPr>
              <w:t>)</w:t>
            </w:r>
          </w:p>
        </w:tc>
        <w:tc>
          <w:tcPr>
            <w:tcW w:w="1008" w:type="dxa"/>
            <w:vAlign w:val="center"/>
          </w:tcPr>
          <w:p>
            <w:pPr>
              <w:keepNext w:val="0"/>
              <w:keepLines w:val="0"/>
              <w:suppressLineNumbers w:val="0"/>
              <w:autoSpaceDE w:val="0"/>
              <w:autoSpaceDN w:val="0"/>
              <w:adjustRightInd w:val="0"/>
              <w:spacing w:before="0" w:beforeAutospacing="0" w:after="0" w:afterAutospacing="0"/>
              <w:ind w:left="0" w:right="0"/>
              <w:textAlignment w:val="baseline"/>
              <w:rPr>
                <w:rFonts w:hint="default"/>
                <w:color w:val="auto"/>
                <w:szCs w:val="21"/>
              </w:rPr>
            </w:pPr>
            <w:r>
              <w:rPr>
                <w:rFonts w:hint="default"/>
                <w:color w:val="auto"/>
                <w:szCs w:val="21"/>
              </w:rPr>
              <w:t>计算结果(m)</w:t>
            </w:r>
          </w:p>
        </w:tc>
        <w:tc>
          <w:tcPr>
            <w:tcW w:w="1543" w:type="dxa"/>
            <w:tcBorders>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确定的卫生防护距离（m）</w:t>
            </w:r>
          </w:p>
        </w:tc>
        <w:tc>
          <w:tcPr>
            <w:tcW w:w="1317" w:type="dxa"/>
            <w:tcBorders>
              <w:lef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最终确定的卫生防护距离（m）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72"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szCs w:val="21"/>
                <w:lang w:val="en-US" w:eastAsia="zh-CN"/>
              </w:rPr>
              <w:t>牛</w:t>
            </w:r>
            <w:r>
              <w:rPr>
                <w:rFonts w:hint="default"/>
                <w:color w:val="auto"/>
                <w:szCs w:val="21"/>
              </w:rPr>
              <w:t>舍</w:t>
            </w:r>
            <w:r>
              <w:rPr>
                <w:rFonts w:hint="eastAsia"/>
                <w:color w:val="auto"/>
                <w:szCs w:val="21"/>
                <w:lang w:val="en-US" w:eastAsia="zh-CN"/>
              </w:rPr>
              <w:t>及发酵床</w:t>
            </w:r>
          </w:p>
        </w:tc>
        <w:tc>
          <w:tcPr>
            <w:tcW w:w="784" w:type="dxa"/>
            <w:tcBorders>
              <w:right w:val="single" w:color="auto" w:sz="2"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NH</w:t>
            </w:r>
            <w:r>
              <w:rPr>
                <w:rFonts w:hint="default"/>
                <w:color w:val="auto"/>
                <w:szCs w:val="21"/>
                <w:vertAlign w:val="subscript"/>
              </w:rPr>
              <w:t>3</w:t>
            </w:r>
          </w:p>
        </w:tc>
        <w:tc>
          <w:tcPr>
            <w:tcW w:w="891" w:type="dxa"/>
            <w:tcBorders>
              <w:left w:val="single" w:color="auto" w:sz="2"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szCs w:val="21"/>
                <w:lang w:val="en-US" w:eastAsia="zh-CN"/>
              </w:rPr>
              <w:t>1.0</w:t>
            </w:r>
          </w:p>
        </w:tc>
        <w:tc>
          <w:tcPr>
            <w:tcW w:w="1441" w:type="dxa"/>
            <w:vAlign w:val="center"/>
          </w:tcPr>
          <w:p>
            <w:pPr>
              <w:keepNext w:val="0"/>
              <w:keepLines w:val="0"/>
              <w:widowControl/>
              <w:suppressLineNumbers w:val="0"/>
              <w:spacing w:before="0" w:beforeAutospacing="0" w:after="0" w:afterAutospacing="0"/>
              <w:ind w:left="0" w:leftChars="0" w:right="0" w:rightChars="0"/>
              <w:jc w:val="center"/>
              <w:rPr>
                <w:rFonts w:hint="default"/>
                <w:color w:val="auto"/>
                <w:szCs w:val="21"/>
                <w:lang w:val="en-US"/>
              </w:rPr>
            </w:pPr>
            <w:r>
              <w:rPr>
                <w:rFonts w:hint="eastAsia"/>
                <w:color w:val="auto"/>
                <w:kern w:val="0"/>
              </w:rPr>
              <w:t>0.</w:t>
            </w:r>
            <w:r>
              <w:rPr>
                <w:rFonts w:hint="eastAsia"/>
                <w:color w:val="auto"/>
                <w:kern w:val="0"/>
                <w:lang w:val="en-US" w:eastAsia="zh-CN"/>
              </w:rPr>
              <w:t>0288</w:t>
            </w:r>
          </w:p>
        </w:tc>
        <w:tc>
          <w:tcPr>
            <w:tcW w:w="1092" w:type="dxa"/>
            <w:vMerge w:val="restart"/>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103201</w:t>
            </w:r>
          </w:p>
        </w:tc>
        <w:tc>
          <w:tcPr>
            <w:tcW w:w="1008"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default" w:eastAsia="宋体"/>
                <w:color w:val="auto"/>
                <w:szCs w:val="21"/>
                <w:lang w:val="en-US" w:eastAsia="zh-CN"/>
              </w:rPr>
              <w:t>0.</w:t>
            </w:r>
            <w:r>
              <w:rPr>
                <w:rFonts w:hint="eastAsia"/>
                <w:color w:val="auto"/>
                <w:szCs w:val="21"/>
                <w:lang w:val="en-US" w:eastAsia="zh-CN"/>
              </w:rPr>
              <w:t>21</w:t>
            </w:r>
          </w:p>
        </w:tc>
        <w:tc>
          <w:tcPr>
            <w:tcW w:w="1543" w:type="dxa"/>
            <w:tcBorders>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50</w:t>
            </w:r>
          </w:p>
        </w:tc>
        <w:tc>
          <w:tcPr>
            <w:tcW w:w="1317" w:type="dxa"/>
            <w:vMerge w:val="restart"/>
            <w:tcBorders>
              <w:lef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72"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p>
        </w:tc>
        <w:tc>
          <w:tcPr>
            <w:tcW w:w="784" w:type="dxa"/>
            <w:tcBorders>
              <w:right w:val="single" w:color="auto" w:sz="2"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H</w:t>
            </w:r>
            <w:r>
              <w:rPr>
                <w:rFonts w:hint="default"/>
                <w:color w:val="auto"/>
                <w:szCs w:val="21"/>
                <w:vertAlign w:val="subscript"/>
              </w:rPr>
              <w:t>2</w:t>
            </w:r>
            <w:r>
              <w:rPr>
                <w:rFonts w:hint="default"/>
                <w:color w:val="auto"/>
                <w:szCs w:val="21"/>
              </w:rPr>
              <w:t>S</w:t>
            </w:r>
          </w:p>
        </w:tc>
        <w:tc>
          <w:tcPr>
            <w:tcW w:w="891" w:type="dxa"/>
            <w:tcBorders>
              <w:left w:val="single" w:color="auto" w:sz="2"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eastAsia="宋体"/>
                <w:color w:val="auto"/>
                <w:szCs w:val="21"/>
                <w:lang w:eastAsia="zh-CN"/>
              </w:rPr>
            </w:pPr>
            <w:r>
              <w:rPr>
                <w:rFonts w:hint="default"/>
                <w:color w:val="auto"/>
                <w:szCs w:val="21"/>
              </w:rPr>
              <w:t>0.0</w:t>
            </w:r>
            <w:r>
              <w:rPr>
                <w:rFonts w:hint="eastAsia"/>
                <w:color w:val="auto"/>
                <w:szCs w:val="21"/>
                <w:lang w:val="en-US" w:eastAsia="zh-CN"/>
              </w:rPr>
              <w:t>3</w:t>
            </w:r>
          </w:p>
        </w:tc>
        <w:tc>
          <w:tcPr>
            <w:tcW w:w="1441" w:type="dxa"/>
            <w:vAlign w:val="center"/>
          </w:tcPr>
          <w:p>
            <w:pPr>
              <w:keepNext w:val="0"/>
              <w:keepLines w:val="0"/>
              <w:widowControl/>
              <w:suppressLineNumbers w:val="0"/>
              <w:spacing w:before="0" w:beforeAutospacing="0" w:after="0" w:afterAutospacing="0"/>
              <w:ind w:left="0" w:leftChars="0" w:right="0" w:rightChars="0"/>
              <w:jc w:val="center"/>
              <w:rPr>
                <w:rFonts w:hint="default"/>
                <w:color w:val="auto"/>
                <w:szCs w:val="21"/>
                <w:lang w:val="en-US"/>
              </w:rPr>
            </w:pPr>
            <w:r>
              <w:rPr>
                <w:rFonts w:hint="eastAsia"/>
                <w:color w:val="auto"/>
                <w:kern w:val="0"/>
              </w:rPr>
              <w:t>0.00</w:t>
            </w:r>
            <w:r>
              <w:rPr>
                <w:rFonts w:hint="eastAsia"/>
                <w:color w:val="auto"/>
                <w:kern w:val="0"/>
                <w:lang w:val="en-US" w:eastAsia="zh-CN"/>
              </w:rPr>
              <w:t>17</w:t>
            </w:r>
          </w:p>
        </w:tc>
        <w:tc>
          <w:tcPr>
            <w:tcW w:w="1092" w:type="dxa"/>
            <w:vMerge w:val="continue"/>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p>
        </w:tc>
        <w:tc>
          <w:tcPr>
            <w:tcW w:w="1008"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default" w:eastAsia="宋体"/>
                <w:color w:val="auto"/>
                <w:szCs w:val="21"/>
                <w:lang w:val="en-US" w:eastAsia="zh-CN"/>
              </w:rPr>
              <w:t>0.</w:t>
            </w:r>
            <w:r>
              <w:rPr>
                <w:rFonts w:hint="eastAsia"/>
                <w:color w:val="auto"/>
                <w:szCs w:val="21"/>
                <w:lang w:val="en-US" w:eastAsia="zh-CN"/>
              </w:rPr>
              <w:t>53</w:t>
            </w:r>
          </w:p>
        </w:tc>
        <w:tc>
          <w:tcPr>
            <w:tcW w:w="1543" w:type="dxa"/>
            <w:tcBorders>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szCs w:val="21"/>
                <w:lang w:val="en-US" w:eastAsia="zh-CN"/>
              </w:rPr>
              <w:t>50</w:t>
            </w:r>
          </w:p>
        </w:tc>
        <w:tc>
          <w:tcPr>
            <w:tcW w:w="1317" w:type="dxa"/>
            <w:vMerge w:val="continue"/>
            <w:tcBorders>
              <w:left w:val="single" w:color="auto" w:sz="4" w:space="0"/>
              <w:bottom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872" w:type="dxa"/>
            <w:tcBorders>
              <w:top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color w:val="auto"/>
                <w:szCs w:val="21"/>
              </w:rPr>
            </w:pPr>
            <w:r>
              <w:rPr>
                <w:rFonts w:hint="default"/>
                <w:color w:val="auto"/>
                <w:szCs w:val="21"/>
              </w:rPr>
              <w:t>TMR 管理中心</w:t>
            </w:r>
          </w:p>
        </w:tc>
        <w:tc>
          <w:tcPr>
            <w:tcW w:w="784" w:type="dxa"/>
            <w:tcBorders>
              <w:top w:val="single" w:color="auto" w:sz="4" w:space="0"/>
              <w:right w:val="single" w:color="auto" w:sz="2"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szCs w:val="21"/>
                <w:lang w:val="en-US" w:eastAsia="zh-CN"/>
              </w:rPr>
              <w:t>TSP</w:t>
            </w:r>
          </w:p>
        </w:tc>
        <w:tc>
          <w:tcPr>
            <w:tcW w:w="891" w:type="dxa"/>
            <w:tcBorders>
              <w:top w:val="single" w:color="auto" w:sz="4" w:space="0"/>
              <w:left w:val="single" w:color="auto" w:sz="2" w:space="0"/>
            </w:tcBorders>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aseline"/>
              <w:rPr>
                <w:rFonts w:hint="default"/>
                <w:color w:val="auto"/>
                <w:szCs w:val="21"/>
              </w:rPr>
            </w:pPr>
            <w:r>
              <w:rPr>
                <w:rFonts w:hint="default"/>
                <w:color w:val="auto"/>
                <w:szCs w:val="21"/>
              </w:rPr>
              <w:t>0.</w:t>
            </w:r>
            <w:r>
              <w:rPr>
                <w:rFonts w:hint="eastAsia"/>
                <w:color w:val="auto"/>
                <w:szCs w:val="21"/>
              </w:rPr>
              <w:t>9</w:t>
            </w:r>
          </w:p>
        </w:tc>
        <w:tc>
          <w:tcPr>
            <w:tcW w:w="1441" w:type="dxa"/>
            <w:tcBorders>
              <w:top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eastAsia"/>
                <w:color w:val="auto"/>
                <w:kern w:val="0"/>
              </w:rPr>
            </w:pPr>
            <w:r>
              <w:rPr>
                <w:rFonts w:hint="eastAsia" w:cs="Times New Roman"/>
                <w:color w:val="auto"/>
                <w:lang w:val="en-US" w:eastAsia="zh-CN"/>
              </w:rPr>
              <w:t>0.0397</w:t>
            </w:r>
          </w:p>
        </w:tc>
        <w:tc>
          <w:tcPr>
            <w:tcW w:w="1092" w:type="dxa"/>
            <w:tcBorders>
              <w:top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szCs w:val="21"/>
                <w:lang w:val="en-US" w:eastAsia="zh-CN"/>
              </w:rPr>
              <w:t>2077</w:t>
            </w:r>
          </w:p>
        </w:tc>
        <w:tc>
          <w:tcPr>
            <w:tcW w:w="1008" w:type="dxa"/>
            <w:tcBorders>
              <w:top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lang w:val="en-US" w:eastAsia="zh-CN"/>
              </w:rPr>
              <w:t>2.542</w:t>
            </w:r>
          </w:p>
        </w:tc>
        <w:tc>
          <w:tcPr>
            <w:tcW w:w="1543" w:type="dxa"/>
            <w:tcBorders>
              <w:top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szCs w:val="21"/>
                <w:lang w:val="en-US" w:eastAsia="zh-CN"/>
              </w:rPr>
              <w:t>50</w:t>
            </w:r>
          </w:p>
        </w:tc>
        <w:tc>
          <w:tcPr>
            <w:tcW w:w="1317" w:type="dxa"/>
            <w:tcBorders>
              <w:top w:val="single" w:color="auto" w:sz="4" w:space="0"/>
              <w:left w:val="single" w:color="auto" w:sz="4" w:space="0"/>
              <w:bottom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eastAsia="宋体"/>
                <w:color w:val="auto"/>
                <w:szCs w:val="21"/>
                <w:lang w:val="en-US" w:eastAsia="zh-CN"/>
              </w:rPr>
            </w:pPr>
            <w:r>
              <w:rPr>
                <w:rFonts w:hint="eastAsia"/>
                <w:color w:val="auto"/>
                <w:szCs w:val="21"/>
                <w:lang w:val="en-US" w:eastAsia="zh-CN"/>
              </w:rPr>
              <w:t>50</w:t>
            </w:r>
          </w:p>
        </w:tc>
      </w:tr>
    </w:tbl>
    <w:p>
      <w:pPr>
        <w:spacing w:before="120" w:beforeLines="50" w:line="360" w:lineRule="auto"/>
        <w:ind w:firstLine="480" w:firstLineChars="200"/>
        <w:rPr>
          <w:color w:val="auto"/>
          <w:sz w:val="24"/>
        </w:rPr>
      </w:pPr>
      <w:r>
        <w:rPr>
          <w:rFonts w:hint="eastAsia"/>
          <w:color w:val="auto"/>
          <w:sz w:val="24"/>
        </w:rPr>
        <w:t>据《大气有害物质无组织排放卫生防护距离推导技术导则》</w:t>
      </w:r>
      <w:r>
        <w:rPr>
          <w:color w:val="auto"/>
          <w:sz w:val="24"/>
        </w:rPr>
        <w:t>GB/T</w:t>
      </w:r>
      <w:r>
        <w:rPr>
          <w:rFonts w:hint="eastAsia"/>
          <w:color w:val="auto"/>
          <w:sz w:val="24"/>
          <w:lang w:val="en-US" w:eastAsia="zh-CN"/>
        </w:rPr>
        <w:t>39499</w:t>
      </w:r>
      <w:r>
        <w:rPr>
          <w:color w:val="auto"/>
          <w:sz w:val="24"/>
        </w:rPr>
        <w:t>-</w:t>
      </w:r>
      <w:r>
        <w:rPr>
          <w:rFonts w:hint="eastAsia"/>
          <w:color w:val="auto"/>
          <w:sz w:val="24"/>
          <w:lang w:val="en-US" w:eastAsia="zh-CN"/>
        </w:rPr>
        <w:t>2020</w:t>
      </w:r>
      <w:r>
        <w:rPr>
          <w:rFonts w:hint="eastAsia"/>
          <w:color w:val="auto"/>
          <w:sz w:val="24"/>
        </w:rPr>
        <w:t>中规定，</w:t>
      </w:r>
      <w:r>
        <w:rPr>
          <w:color w:val="auto"/>
          <w:sz w:val="24"/>
        </w:rPr>
        <w:t>“</w:t>
      </w:r>
      <w:r>
        <w:rPr>
          <w:rFonts w:hint="eastAsia"/>
          <w:color w:val="auto"/>
          <w:sz w:val="24"/>
        </w:rPr>
        <w:t>卫生防护距离在</w:t>
      </w:r>
      <w:r>
        <w:rPr>
          <w:color w:val="auto"/>
          <w:sz w:val="24"/>
        </w:rPr>
        <w:t>100m</w:t>
      </w:r>
      <w:r>
        <w:rPr>
          <w:rFonts w:hint="eastAsia"/>
          <w:color w:val="auto"/>
          <w:sz w:val="24"/>
        </w:rPr>
        <w:t>以内时，级差为</w:t>
      </w:r>
      <w:r>
        <w:rPr>
          <w:color w:val="auto"/>
          <w:sz w:val="24"/>
        </w:rPr>
        <w:t>50m</w:t>
      </w:r>
      <w:r>
        <w:rPr>
          <w:rFonts w:hint="eastAsia"/>
          <w:color w:val="auto"/>
          <w:sz w:val="24"/>
        </w:rPr>
        <w:t>，卫生防护距离大于</w:t>
      </w:r>
      <w:r>
        <w:rPr>
          <w:color w:val="auto"/>
          <w:sz w:val="24"/>
        </w:rPr>
        <w:t>100m</w:t>
      </w:r>
      <w:r>
        <w:rPr>
          <w:rFonts w:hint="eastAsia"/>
          <w:color w:val="auto"/>
          <w:sz w:val="24"/>
        </w:rPr>
        <w:t>时，级差为</w:t>
      </w:r>
      <w:r>
        <w:rPr>
          <w:color w:val="auto"/>
          <w:sz w:val="24"/>
        </w:rPr>
        <w:t>100m</w:t>
      </w:r>
      <w:r>
        <w:rPr>
          <w:rFonts w:hint="eastAsia"/>
          <w:color w:val="auto"/>
          <w:sz w:val="24"/>
        </w:rPr>
        <w:t>；但当按两种或两种以上的有害气体的Qc/Cm值计算的卫生防护距离在同一级别时，该类工业企业的卫生防护距离级别应该高一级。</w:t>
      </w:r>
      <w:r>
        <w:rPr>
          <w:color w:val="auto"/>
          <w:sz w:val="24"/>
        </w:rPr>
        <w:t>”</w:t>
      </w:r>
      <w:r>
        <w:rPr>
          <w:rFonts w:hint="eastAsia"/>
          <w:color w:val="auto"/>
          <w:sz w:val="24"/>
        </w:rPr>
        <w:t>确定本项目</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及发酵床</w:t>
      </w:r>
      <w:r>
        <w:rPr>
          <w:rFonts w:hint="eastAsia"/>
          <w:color w:val="auto"/>
          <w:sz w:val="24"/>
        </w:rPr>
        <w:t>卫生防护距离为1</w:t>
      </w:r>
      <w:r>
        <w:rPr>
          <w:color w:val="auto"/>
          <w:sz w:val="24"/>
        </w:rPr>
        <w:t>00m</w:t>
      </w:r>
      <w:r>
        <w:rPr>
          <w:rFonts w:hint="eastAsia"/>
          <w:color w:val="auto"/>
          <w:sz w:val="24"/>
        </w:rPr>
        <w:t>。即</w:t>
      </w:r>
      <w:r>
        <w:rPr>
          <w:b w:val="0"/>
          <w:bCs w:val="0"/>
          <w:color w:val="auto"/>
          <w:sz w:val="24"/>
        </w:rPr>
        <w:t>以本项目</w:t>
      </w:r>
      <w:r>
        <w:rPr>
          <w:rFonts w:hint="eastAsia"/>
          <w:b w:val="0"/>
          <w:bCs/>
          <w:color w:val="auto"/>
          <w:sz w:val="24"/>
        </w:rPr>
        <w:t>恶臭源</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及发酵床</w:t>
      </w:r>
      <w:r>
        <w:rPr>
          <w:rFonts w:hint="eastAsia"/>
          <w:b w:val="0"/>
          <w:bCs/>
          <w:color w:val="auto"/>
          <w:sz w:val="24"/>
        </w:rPr>
        <w:t>边界起1</w:t>
      </w:r>
      <w:r>
        <w:rPr>
          <w:b w:val="0"/>
          <w:bCs/>
          <w:color w:val="auto"/>
          <w:sz w:val="24"/>
        </w:rPr>
        <w:t>00m</w:t>
      </w:r>
      <w:r>
        <w:rPr>
          <w:rFonts w:hint="eastAsia"/>
          <w:b w:val="0"/>
          <w:bCs/>
          <w:color w:val="auto"/>
          <w:sz w:val="24"/>
          <w:lang w:val="en-US" w:eastAsia="zh-CN"/>
        </w:rPr>
        <w:t>和TMR管理中心</w:t>
      </w:r>
      <w:r>
        <w:rPr>
          <w:rFonts w:hint="eastAsia"/>
          <w:b w:val="0"/>
          <w:bCs/>
          <w:color w:val="auto"/>
          <w:sz w:val="24"/>
        </w:rPr>
        <w:t>边界起</w:t>
      </w:r>
      <w:r>
        <w:rPr>
          <w:rFonts w:hint="eastAsia"/>
          <w:b w:val="0"/>
          <w:bCs/>
          <w:color w:val="auto"/>
          <w:sz w:val="24"/>
          <w:lang w:val="en-US" w:eastAsia="zh-CN"/>
        </w:rPr>
        <w:t>5</w:t>
      </w:r>
      <w:r>
        <w:rPr>
          <w:b w:val="0"/>
          <w:bCs/>
          <w:color w:val="auto"/>
          <w:sz w:val="24"/>
        </w:rPr>
        <w:t>0m</w:t>
      </w:r>
      <w:r>
        <w:rPr>
          <w:rFonts w:hint="eastAsia"/>
          <w:b w:val="0"/>
          <w:bCs/>
          <w:color w:val="auto"/>
          <w:sz w:val="24"/>
        </w:rPr>
        <w:t>的区域</w:t>
      </w:r>
      <w:r>
        <w:rPr>
          <w:rFonts w:hint="eastAsia"/>
          <w:b w:val="0"/>
          <w:bCs/>
          <w:color w:val="auto"/>
          <w:sz w:val="24"/>
          <w:lang w:val="en-US" w:eastAsia="zh-CN"/>
        </w:rPr>
        <w:t>划定为</w:t>
      </w:r>
      <w:r>
        <w:rPr>
          <w:rFonts w:hint="eastAsia"/>
          <w:b w:val="0"/>
          <w:bCs/>
          <w:color w:val="auto"/>
          <w:sz w:val="24"/>
        </w:rPr>
        <w:t>卫生防护距离</w:t>
      </w:r>
      <w:r>
        <w:rPr>
          <w:rFonts w:hint="eastAsia"/>
          <w:color w:val="auto"/>
          <w:sz w:val="24"/>
        </w:rPr>
        <w:t>。</w:t>
      </w:r>
    </w:p>
    <w:p>
      <w:pPr>
        <w:spacing w:line="360" w:lineRule="auto"/>
        <w:ind w:firstLine="480" w:firstLineChars="200"/>
        <w:rPr>
          <w:rFonts w:hint="eastAsia" w:ascii="Times New Roman" w:hAnsi="Times New Roman" w:eastAsia="宋体" w:cs="Times New Roman"/>
          <w:color w:val="auto"/>
          <w:sz w:val="24"/>
          <w:szCs w:val="24"/>
          <w:shd w:val="clear" w:color="FFFFFF" w:fill="D9D9D9"/>
          <w:lang w:val="zh-CN" w:eastAsia="zh-CN"/>
        </w:rPr>
      </w:pPr>
      <w:r>
        <w:rPr>
          <w:rFonts w:hint="eastAsia" w:ascii="Times New Roman" w:hAnsi="Times New Roman"/>
          <w:color w:val="auto"/>
          <w:sz w:val="24"/>
          <w:szCs w:val="24"/>
          <w:shd w:val="clear" w:color="FFFFFF" w:fill="D9D9D9"/>
        </w:rPr>
        <w:t>根据（GB/T39499-2020）</w:t>
      </w:r>
      <w:r>
        <w:rPr>
          <w:rFonts w:ascii="Times New Roman" w:hAnsi="Times New Roman"/>
          <w:color w:val="auto"/>
          <w:sz w:val="24"/>
          <w:szCs w:val="24"/>
          <w:shd w:val="clear" w:color="FFFFFF" w:fill="D9D9D9"/>
          <w:lang w:val="zh-CN"/>
        </w:rPr>
        <w:t>“7不确定性”本标准对于卫生防护距离初值的推导方法主要针对平原地区。实际应用中，当地的地形地貌、气象因素、特征大气有害物质无组织排放量等的变异程度均会造成评估结果的不确定性。当企业通过自身减排、增加防护措施等方法切实降低了生产单元大气有害物</w:t>
      </w:r>
      <w:r>
        <w:rPr>
          <w:rFonts w:hint="eastAsia" w:ascii="Times New Roman" w:hAnsi="Times New Roman" w:eastAsia="宋体" w:cs="Times New Roman"/>
          <w:color w:val="auto"/>
          <w:sz w:val="24"/>
          <w:szCs w:val="24"/>
          <w:shd w:val="clear" w:color="FFFFFF" w:fill="D9D9D9"/>
          <w:lang w:val="zh-CN" w:eastAsia="zh-CN"/>
        </w:rPr>
        <w:t>质的无组织排放量，可适当降低其卫生防护距离终值。</w:t>
      </w:r>
    </w:p>
    <w:p>
      <w:pPr>
        <w:spacing w:line="360" w:lineRule="auto"/>
        <w:ind w:firstLine="480" w:firstLineChars="200"/>
        <w:rPr>
          <w:rFonts w:hint="eastAsia"/>
          <w:color w:val="auto"/>
          <w:sz w:val="24"/>
          <w:szCs w:val="24"/>
          <w:shd w:val="clear" w:color="FFFFFF" w:fill="D9D9D9"/>
        </w:rPr>
      </w:pPr>
      <w:r>
        <w:rPr>
          <w:rFonts w:hint="eastAsia" w:ascii="Times New Roman" w:hAnsi="Times New Roman" w:eastAsia="宋体" w:cs="Times New Roman"/>
          <w:color w:val="auto"/>
          <w:sz w:val="24"/>
          <w:szCs w:val="24"/>
          <w:shd w:val="clear" w:color="FFFFFF" w:fill="D9D9D9"/>
          <w:lang w:val="en-US" w:eastAsia="zh-CN"/>
        </w:rPr>
        <w:t>本项目建设地点位于</w:t>
      </w:r>
      <w:r>
        <w:rPr>
          <w:rFonts w:hint="eastAsia" w:cs="Times New Roman"/>
          <w:color w:val="auto"/>
          <w:sz w:val="24"/>
          <w:szCs w:val="24"/>
          <w:shd w:val="clear" w:color="FFFFFF" w:fill="D9D9D9"/>
          <w:lang w:val="en-US" w:eastAsia="zh-CN"/>
        </w:rPr>
        <w:t>恩阳区群乐镇坳盘村2组</w:t>
      </w:r>
      <w:r>
        <w:rPr>
          <w:rFonts w:hint="eastAsia" w:ascii="Times New Roman" w:hAnsi="Times New Roman" w:eastAsia="宋体" w:cs="Times New Roman"/>
          <w:color w:val="auto"/>
          <w:sz w:val="24"/>
          <w:szCs w:val="24"/>
          <w:shd w:val="clear" w:color="FFFFFF" w:fill="D9D9D9"/>
          <w:lang w:val="en-US" w:eastAsia="zh-CN"/>
        </w:rPr>
        <w:t>，项目</w:t>
      </w:r>
      <w:r>
        <w:rPr>
          <w:rFonts w:hint="eastAsia" w:ascii="Times New Roman" w:hAnsi="Times New Roman"/>
          <w:color w:val="auto"/>
          <w:sz w:val="24"/>
          <w:szCs w:val="24"/>
          <w:shd w:val="clear" w:color="FFFFFF" w:fill="D9D9D9"/>
        </w:rPr>
        <w:t>周边</w:t>
      </w:r>
      <w:r>
        <w:rPr>
          <w:rFonts w:hint="eastAsia" w:ascii="Times New Roman" w:hAnsi="Times New Roman"/>
          <w:color w:val="auto"/>
          <w:sz w:val="24"/>
          <w:szCs w:val="24"/>
          <w:shd w:val="clear" w:color="FFFFFF" w:fill="D9D9D9"/>
          <w:lang w:val="en-US" w:eastAsia="zh-CN"/>
        </w:rPr>
        <w:t>地势平坦，不涉及特殊地形</w:t>
      </w:r>
      <w:r>
        <w:rPr>
          <w:rFonts w:hint="eastAsia" w:ascii="Times New Roman" w:hAnsi="Times New Roman"/>
          <w:color w:val="auto"/>
          <w:sz w:val="24"/>
          <w:szCs w:val="24"/>
          <w:shd w:val="clear" w:color="FFFFFF" w:fill="D9D9D9"/>
        </w:rPr>
        <w:t>，</w:t>
      </w:r>
      <w:r>
        <w:rPr>
          <w:rFonts w:hint="eastAsia" w:ascii="Times New Roman" w:hAnsi="Times New Roman"/>
          <w:color w:val="auto"/>
          <w:sz w:val="24"/>
          <w:szCs w:val="24"/>
          <w:shd w:val="clear" w:color="FFFFFF" w:fill="D9D9D9"/>
          <w:lang w:val="en-US" w:eastAsia="zh-CN"/>
        </w:rPr>
        <w:t>项目区无组织恶臭主要通过畜禽科学饲喂技术、喷洒除臭剂、牛舍出风口加吸附剂、加强厂区绿化等措施处置。</w:t>
      </w:r>
      <w:r>
        <w:rPr>
          <w:rFonts w:hint="eastAsia" w:ascii="Times New Roman" w:hAnsi="Times New Roman"/>
          <w:color w:val="auto"/>
          <w:sz w:val="24"/>
          <w:szCs w:val="24"/>
          <w:shd w:val="clear" w:color="FFFFFF" w:fill="D9D9D9"/>
        </w:rPr>
        <w:t>因此本项目建议设置</w:t>
      </w:r>
      <w:r>
        <w:rPr>
          <w:rFonts w:hint="eastAsia" w:ascii="Times New Roman" w:hAnsi="Times New Roman"/>
          <w:color w:val="auto"/>
          <w:sz w:val="24"/>
          <w:szCs w:val="24"/>
          <w:shd w:val="clear" w:color="FFFFFF" w:fill="D9D9D9"/>
          <w:lang w:val="en-US" w:eastAsia="zh-CN"/>
        </w:rPr>
        <w:t>100</w:t>
      </w:r>
      <w:r>
        <w:rPr>
          <w:rFonts w:hint="eastAsia" w:ascii="Times New Roman" w:hAnsi="Times New Roman"/>
          <w:color w:val="auto"/>
          <w:sz w:val="24"/>
          <w:szCs w:val="24"/>
          <w:shd w:val="clear" w:color="FFFFFF" w:fill="D9D9D9"/>
        </w:rPr>
        <w:t>m卫生防护距离。</w:t>
      </w:r>
    </w:p>
    <w:p>
      <w:pPr>
        <w:spacing w:line="360" w:lineRule="auto"/>
        <w:ind w:firstLine="480" w:firstLineChars="200"/>
        <w:rPr>
          <w:rFonts w:hint="eastAsia"/>
          <w:color w:val="auto"/>
          <w:sz w:val="24"/>
        </w:rPr>
      </w:pPr>
      <w:r>
        <w:rPr>
          <w:rFonts w:hint="eastAsia"/>
          <w:color w:val="auto"/>
          <w:sz w:val="24"/>
        </w:rPr>
        <w:t>据调查，即</w:t>
      </w:r>
      <w:r>
        <w:rPr>
          <w:b w:val="0"/>
          <w:bCs w:val="0"/>
          <w:color w:val="auto"/>
          <w:sz w:val="24"/>
        </w:rPr>
        <w:t>以本项目</w:t>
      </w:r>
      <w:r>
        <w:rPr>
          <w:rFonts w:hint="eastAsia"/>
          <w:b w:val="0"/>
          <w:bCs/>
          <w:color w:val="auto"/>
          <w:sz w:val="24"/>
        </w:rPr>
        <w:t>恶臭源</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、发酵床</w:t>
      </w:r>
      <w:r>
        <w:rPr>
          <w:rFonts w:hint="eastAsia"/>
          <w:b w:val="0"/>
          <w:bCs/>
          <w:color w:val="auto"/>
          <w:sz w:val="24"/>
        </w:rPr>
        <w:t>边界起1</w:t>
      </w:r>
      <w:r>
        <w:rPr>
          <w:b w:val="0"/>
          <w:bCs/>
          <w:color w:val="auto"/>
          <w:sz w:val="24"/>
        </w:rPr>
        <w:t>00m</w:t>
      </w:r>
      <w:r>
        <w:rPr>
          <w:rFonts w:hint="eastAsia"/>
          <w:b w:val="0"/>
          <w:bCs/>
          <w:color w:val="auto"/>
          <w:sz w:val="24"/>
          <w:lang w:val="en-US" w:eastAsia="zh-CN"/>
        </w:rPr>
        <w:t>和TMR管理中心</w:t>
      </w:r>
      <w:r>
        <w:rPr>
          <w:rFonts w:hint="eastAsia"/>
          <w:b w:val="0"/>
          <w:bCs/>
          <w:color w:val="auto"/>
          <w:sz w:val="24"/>
        </w:rPr>
        <w:t>边界起</w:t>
      </w:r>
      <w:r>
        <w:rPr>
          <w:rFonts w:hint="eastAsia"/>
          <w:b w:val="0"/>
          <w:bCs/>
          <w:color w:val="auto"/>
          <w:sz w:val="24"/>
          <w:lang w:val="en-US" w:eastAsia="zh-CN"/>
        </w:rPr>
        <w:t>5</w:t>
      </w:r>
      <w:r>
        <w:rPr>
          <w:b w:val="0"/>
          <w:bCs/>
          <w:color w:val="auto"/>
          <w:sz w:val="24"/>
        </w:rPr>
        <w:t>0m</w:t>
      </w:r>
      <w:r>
        <w:rPr>
          <w:rFonts w:hint="eastAsia"/>
          <w:b w:val="0"/>
          <w:bCs/>
          <w:color w:val="auto"/>
          <w:sz w:val="24"/>
        </w:rPr>
        <w:t>的区域</w:t>
      </w:r>
      <w:r>
        <w:rPr>
          <w:rFonts w:hint="eastAsia"/>
          <w:b w:val="0"/>
          <w:bCs/>
          <w:color w:val="auto"/>
          <w:sz w:val="24"/>
          <w:lang w:val="en-US" w:eastAsia="zh-CN"/>
        </w:rPr>
        <w:t>划定为</w:t>
      </w:r>
      <w:r>
        <w:rPr>
          <w:rFonts w:hint="eastAsia"/>
          <w:b w:val="0"/>
          <w:bCs/>
          <w:color w:val="auto"/>
          <w:sz w:val="24"/>
        </w:rPr>
        <w:t>卫生防护距离</w:t>
      </w:r>
      <w:r>
        <w:rPr>
          <w:rFonts w:hint="eastAsia"/>
          <w:color w:val="auto"/>
          <w:sz w:val="24"/>
          <w:lang w:eastAsia="zh-CN"/>
        </w:rPr>
        <w:t>，</w:t>
      </w:r>
      <w:r>
        <w:rPr>
          <w:rFonts w:hint="eastAsia"/>
          <w:color w:val="auto"/>
          <w:sz w:val="24"/>
        </w:rPr>
        <w:t>存在</w:t>
      </w:r>
      <w:r>
        <w:rPr>
          <w:rFonts w:hint="eastAsia"/>
          <w:color w:val="auto"/>
          <w:sz w:val="24"/>
          <w:lang w:val="en-US" w:eastAsia="zh-CN"/>
        </w:rPr>
        <w:t>20</w:t>
      </w:r>
      <w:r>
        <w:rPr>
          <w:rFonts w:hint="eastAsia"/>
          <w:color w:val="auto"/>
          <w:sz w:val="24"/>
        </w:rPr>
        <w:t>户农户，已</w:t>
      </w:r>
      <w:r>
        <w:rPr>
          <w:rFonts w:hint="eastAsia"/>
          <w:color w:val="auto"/>
          <w:sz w:val="24"/>
          <w:lang w:val="en-US" w:eastAsia="zh-CN"/>
        </w:rPr>
        <w:t>与农户</w:t>
      </w:r>
      <w:r>
        <w:rPr>
          <w:rFonts w:hint="eastAsia"/>
          <w:color w:val="auto"/>
          <w:sz w:val="24"/>
        </w:rPr>
        <w:t>签订租赁合同，租赁为本项目的办公区域</w:t>
      </w:r>
      <w:r>
        <w:rPr>
          <w:rFonts w:hint="eastAsia"/>
          <w:color w:val="auto"/>
          <w:sz w:val="24"/>
          <w:lang w:eastAsia="zh-CN"/>
        </w:rPr>
        <w:t>，</w:t>
      </w:r>
      <w:r>
        <w:rPr>
          <w:color w:val="auto"/>
          <w:sz w:val="24"/>
        </w:rPr>
        <w:t>对卫生防护距离范围内的农户功能置换后</w:t>
      </w:r>
      <w:r>
        <w:rPr>
          <w:rFonts w:hint="eastAsia"/>
          <w:color w:val="auto"/>
          <w:sz w:val="24"/>
        </w:rPr>
        <w:t>，不存在环保搬迁。同时要求卫生防护区域内不得新建学校、医院、机关、科研机构和集中居住区等敏感建筑物。</w:t>
      </w:r>
    </w:p>
    <w:p>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lang w:val="en-US" w:eastAsia="zh-CN"/>
        </w:rPr>
        <w:t>4</w:t>
      </w:r>
      <w:r>
        <w:rPr>
          <w:rFonts w:hint="eastAsia" w:ascii="宋体" w:hAnsi="宋体" w:cs="宋体"/>
          <w:color w:val="auto"/>
          <w:sz w:val="24"/>
        </w:rPr>
        <w:t>、</w:t>
      </w:r>
      <w:r>
        <w:rPr>
          <w:rFonts w:hint="eastAsia" w:ascii="宋体" w:hAnsi="宋体" w:cs="宋体"/>
          <w:color w:val="auto"/>
          <w:sz w:val="24"/>
          <w:lang w:val="en-US" w:eastAsia="zh-CN"/>
        </w:rPr>
        <w:t>对大气保护目标的影响</w:t>
      </w:r>
    </w:p>
    <w:p>
      <w:pPr>
        <w:spacing w:line="360" w:lineRule="auto"/>
        <w:ind w:firstLine="480" w:firstLineChars="200"/>
        <w:rPr>
          <w:rFonts w:hint="eastAsia"/>
          <w:color w:val="auto"/>
          <w:sz w:val="24"/>
          <w:lang w:val="en-US" w:eastAsia="zh-CN"/>
        </w:rPr>
      </w:pPr>
      <w:r>
        <w:rPr>
          <w:rFonts w:hint="eastAsia"/>
          <w:color w:val="auto"/>
          <w:sz w:val="24"/>
          <w:lang w:val="en-US" w:eastAsia="zh-CN"/>
        </w:rPr>
        <w:t>本项目主要大气保护目标见下表。</w:t>
      </w:r>
    </w:p>
    <w:p>
      <w:pPr>
        <w:jc w:val="center"/>
        <w:rPr>
          <w:rFonts w:hint="default" w:eastAsia="黑体"/>
          <w:color w:val="auto"/>
          <w:szCs w:val="21"/>
          <w:lang w:val="en-US" w:eastAsia="zh-CN"/>
        </w:rPr>
      </w:pPr>
      <w:r>
        <w:rPr>
          <w:rFonts w:eastAsia="黑体"/>
          <w:color w:val="auto"/>
          <w:szCs w:val="21"/>
        </w:rPr>
        <w:t>表</w:t>
      </w:r>
      <w:r>
        <w:rPr>
          <w:rFonts w:hint="eastAsia" w:eastAsia="黑体"/>
          <w:color w:val="auto"/>
          <w:szCs w:val="21"/>
          <w:lang w:val="en-US" w:eastAsia="zh-CN"/>
        </w:rPr>
        <w:t>5</w:t>
      </w:r>
      <w:r>
        <w:rPr>
          <w:rFonts w:hint="eastAsia" w:eastAsia="黑体"/>
          <w:color w:val="auto"/>
          <w:szCs w:val="21"/>
        </w:rPr>
        <w:t>.2</w:t>
      </w:r>
      <w:r>
        <w:rPr>
          <w:rFonts w:eastAsia="黑体"/>
          <w:color w:val="auto"/>
          <w:szCs w:val="21"/>
        </w:rPr>
        <w:t>-</w:t>
      </w:r>
      <w:r>
        <w:rPr>
          <w:rFonts w:hint="eastAsia" w:eastAsia="黑体"/>
          <w:color w:val="auto"/>
          <w:szCs w:val="21"/>
          <w:lang w:val="en-US" w:eastAsia="zh-CN"/>
        </w:rPr>
        <w:t xml:space="preserve">19 </w:t>
      </w:r>
      <w:r>
        <w:rPr>
          <w:rFonts w:hint="eastAsia" w:eastAsia="黑体"/>
          <w:color w:val="auto"/>
          <w:szCs w:val="21"/>
        </w:rPr>
        <w:t xml:space="preserve"> </w:t>
      </w:r>
      <w:r>
        <w:rPr>
          <w:rFonts w:eastAsia="黑体"/>
          <w:color w:val="auto"/>
          <w:szCs w:val="21"/>
        </w:rPr>
        <w:t>项目</w:t>
      </w:r>
      <w:r>
        <w:rPr>
          <w:rFonts w:hint="eastAsia" w:eastAsia="黑体"/>
          <w:color w:val="auto"/>
          <w:szCs w:val="21"/>
          <w:lang w:val="en-US" w:eastAsia="zh-CN"/>
        </w:rPr>
        <w:t>大气保护目标</w:t>
      </w:r>
    </w:p>
    <w:tbl>
      <w:tblPr>
        <w:tblStyle w:val="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36"/>
        <w:gridCol w:w="1761"/>
        <w:gridCol w:w="992"/>
        <w:gridCol w:w="770"/>
        <w:gridCol w:w="891"/>
        <w:gridCol w:w="704"/>
        <w:gridCol w:w="802"/>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522" w:type="dxa"/>
            <w:gridSpan w:val="9"/>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olor w:val="auto"/>
                <w:kern w:val="0"/>
              </w:rPr>
            </w:pPr>
            <w:r>
              <w:rPr>
                <w:rFonts w:hint="eastAsia" w:ascii="宋体" w:hAnsi="宋体"/>
                <w:color w:val="auto"/>
                <w:kern w:val="0"/>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序号</w:t>
            </w:r>
          </w:p>
        </w:tc>
        <w:tc>
          <w:tcPr>
            <w:tcW w:w="936" w:type="dxa"/>
            <w:vMerge w:val="restart"/>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名称</w:t>
            </w:r>
          </w:p>
        </w:tc>
        <w:tc>
          <w:tcPr>
            <w:tcW w:w="2753" w:type="dxa"/>
            <w:gridSpan w:val="2"/>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坐标</w:t>
            </w:r>
            <w:r>
              <w:rPr>
                <w:rFonts w:hint="default"/>
                <w:color w:val="auto"/>
                <w:kern w:val="0"/>
              </w:rPr>
              <w:t>/m</w:t>
            </w:r>
          </w:p>
        </w:tc>
        <w:tc>
          <w:tcPr>
            <w:tcW w:w="770" w:type="dxa"/>
            <w:vMerge w:val="restart"/>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保护内容</w:t>
            </w:r>
          </w:p>
        </w:tc>
        <w:tc>
          <w:tcPr>
            <w:tcW w:w="891" w:type="dxa"/>
            <w:vMerge w:val="restart"/>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环境功能区</w:t>
            </w:r>
          </w:p>
        </w:tc>
        <w:tc>
          <w:tcPr>
            <w:tcW w:w="704" w:type="dxa"/>
            <w:vMerge w:val="restart"/>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ascii="宋体" w:hAnsi="宋体"/>
                <w:color w:val="auto"/>
                <w:kern w:val="0"/>
              </w:rPr>
            </w:pPr>
            <w:r>
              <w:rPr>
                <w:rFonts w:hint="eastAsia"/>
                <w:color w:val="auto"/>
              </w:rPr>
              <w:t>人数</w:t>
            </w:r>
          </w:p>
        </w:tc>
        <w:tc>
          <w:tcPr>
            <w:tcW w:w="802" w:type="dxa"/>
            <w:vMerge w:val="restart"/>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相对厂址方位</w:t>
            </w:r>
          </w:p>
        </w:tc>
        <w:tc>
          <w:tcPr>
            <w:tcW w:w="995" w:type="dxa"/>
            <w:vMerge w:val="restart"/>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color w:val="auto"/>
                <w:kern w:val="0"/>
              </w:rPr>
            </w:pPr>
            <w:r>
              <w:rPr>
                <w:rFonts w:hint="eastAsia" w:ascii="宋体" w:hAnsi="宋体"/>
                <w:color w:val="auto"/>
                <w:kern w:val="0"/>
              </w:rPr>
              <w:t>相对距离</w:t>
            </w:r>
            <w:r>
              <w:rPr>
                <w:rFonts w:hint="default"/>
                <w:color w:val="auto"/>
                <w:kern w:val="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93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1761" w:type="dxa"/>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i/>
                <w:iCs/>
                <w:color w:val="auto"/>
                <w:kern w:val="0"/>
              </w:rPr>
            </w:pPr>
            <w:r>
              <w:rPr>
                <w:rFonts w:hint="default"/>
                <w:i/>
                <w:iCs/>
                <w:color w:val="auto"/>
                <w:kern w:val="0"/>
              </w:rPr>
              <w:t>X</w:t>
            </w:r>
          </w:p>
        </w:tc>
        <w:tc>
          <w:tcPr>
            <w:tcW w:w="992" w:type="dxa"/>
            <w:tcBorders>
              <w:tl2br w:val="nil"/>
              <w:tr2bl w:val="nil"/>
            </w:tcBorders>
            <w:shd w:val="clear" w:color="000000" w:fill="FFFFFF"/>
            <w:vAlign w:val="center"/>
          </w:tcPr>
          <w:p>
            <w:pPr>
              <w:keepNext w:val="0"/>
              <w:keepLines w:val="0"/>
              <w:widowControl/>
              <w:suppressLineNumbers w:val="0"/>
              <w:spacing w:before="0" w:beforeAutospacing="0" w:after="0" w:afterAutospacing="0"/>
              <w:ind w:left="0" w:right="0"/>
              <w:jc w:val="center"/>
              <w:rPr>
                <w:rFonts w:hint="default"/>
                <w:i/>
                <w:iCs/>
                <w:color w:val="auto"/>
                <w:kern w:val="0"/>
              </w:rPr>
            </w:pPr>
            <w:r>
              <w:rPr>
                <w:rFonts w:hint="default"/>
                <w:i/>
                <w:iCs/>
                <w:color w:val="auto"/>
                <w:kern w:val="0"/>
              </w:rPr>
              <w:t>Y</w:t>
            </w:r>
          </w:p>
        </w:tc>
        <w:tc>
          <w:tcPr>
            <w:tcW w:w="77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89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70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802"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c>
          <w:tcPr>
            <w:tcW w:w="99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1</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s="Times New Roman"/>
                <w:color w:val="auto"/>
                <w:kern w:val="0"/>
                <w:lang w:val="en-US" w:eastAsia="zh-CN"/>
              </w:rPr>
              <w:t>群乐镇</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-1327</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eastAsia="宋体"/>
                <w:color w:val="auto"/>
                <w:kern w:val="0"/>
                <w:lang w:eastAsia="zh-CN"/>
              </w:rPr>
            </w:pPr>
            <w:r>
              <w:rPr>
                <w:rFonts w:hint="eastAsia"/>
                <w:color w:val="auto"/>
                <w:lang w:val="en-US" w:eastAsia="zh-CN"/>
              </w:rPr>
              <w:t>0</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2000</w:t>
            </w:r>
          </w:p>
        </w:tc>
        <w:tc>
          <w:tcPr>
            <w:tcW w:w="80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W</w:t>
            </w:r>
          </w:p>
        </w:tc>
        <w:tc>
          <w:tcPr>
            <w:tcW w:w="9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2</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s="Times New Roman"/>
                <w:color w:val="auto"/>
                <w:kern w:val="0"/>
                <w:lang w:val="en-US" w:eastAsia="zh-CN"/>
              </w:rPr>
              <w:t>龙呈寨村</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1225</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lang w:val="en-US" w:eastAsia="zh-CN"/>
              </w:rPr>
              <w:t>-40</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400</w:t>
            </w:r>
          </w:p>
        </w:tc>
        <w:tc>
          <w:tcPr>
            <w:tcW w:w="80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SE</w:t>
            </w:r>
          </w:p>
        </w:tc>
        <w:tc>
          <w:tcPr>
            <w:tcW w:w="99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3</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朱家寨村</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125</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lang w:val="en-US" w:eastAsia="zh-CN"/>
              </w:rPr>
              <w:t>1085</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rPr>
              <w:t>居民</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300</w:t>
            </w:r>
          </w:p>
        </w:tc>
        <w:tc>
          <w:tcPr>
            <w:tcW w:w="80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NE</w:t>
            </w:r>
          </w:p>
        </w:tc>
        <w:tc>
          <w:tcPr>
            <w:tcW w:w="99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4</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柳家沟村</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1957</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lang w:val="en-US" w:eastAsia="zh-CN"/>
              </w:rPr>
              <w:t>2645</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500</w:t>
            </w:r>
          </w:p>
        </w:tc>
        <w:tc>
          <w:tcPr>
            <w:tcW w:w="80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NE</w:t>
            </w:r>
          </w:p>
        </w:tc>
        <w:tc>
          <w:tcPr>
            <w:tcW w:w="99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3718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5</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太子岩村</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1898</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lang w:val="en-US" w:eastAsia="zh-CN"/>
              </w:rPr>
              <w:t>3843</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400</w:t>
            </w:r>
          </w:p>
        </w:tc>
        <w:tc>
          <w:tcPr>
            <w:tcW w:w="80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NE</w:t>
            </w:r>
          </w:p>
        </w:tc>
        <w:tc>
          <w:tcPr>
            <w:tcW w:w="99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4773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6</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ascii="Times New Roman" w:hAnsi="Times New Roman" w:eastAsia="宋体" w:cs="Times New Roman"/>
                <w:color w:val="auto"/>
                <w:kern w:val="0"/>
                <w:lang w:val="en-US" w:eastAsia="zh-CN"/>
              </w:rPr>
              <w:t>川石村</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lang w:val="en-US" w:eastAsia="zh-CN"/>
              </w:rPr>
              <w:t>815</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lang w:val="en-US" w:eastAsia="zh-CN"/>
              </w:rPr>
              <w:t>-2669</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rPr>
              <w:t>居民</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500</w:t>
            </w:r>
          </w:p>
        </w:tc>
        <w:tc>
          <w:tcPr>
            <w:tcW w:w="80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eastAsia"/>
                <w:color w:val="auto"/>
                <w:kern w:val="0"/>
                <w:lang w:val="en-US" w:eastAsia="zh-CN"/>
              </w:rPr>
              <w:t>S</w:t>
            </w:r>
            <w:r>
              <w:rPr>
                <w:rFonts w:hint="default"/>
                <w:color w:val="auto"/>
                <w:kern w:val="0"/>
              </w:rPr>
              <w:t>E</w:t>
            </w:r>
          </w:p>
        </w:tc>
        <w:tc>
          <w:tcPr>
            <w:tcW w:w="9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rPr>
            </w:pPr>
            <w:r>
              <w:rPr>
                <w:rFonts w:hint="eastAsia"/>
                <w:color w:val="auto"/>
                <w:kern w:val="0"/>
                <w:lang w:val="en-US" w:eastAsia="zh-CN"/>
              </w:rPr>
              <w:t>2773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cs="宋体"/>
                <w:color w:val="auto"/>
                <w:kern w:val="0"/>
                <w:sz w:val="22"/>
                <w:szCs w:val="22"/>
                <w:lang w:bidi="ar"/>
              </w:rPr>
            </w:pPr>
            <w:r>
              <w:rPr>
                <w:rFonts w:hint="eastAsia" w:ascii="Times New Roman" w:hAnsi="Times New Roman" w:eastAsia="宋体" w:cs="Times New Roman"/>
                <w:color w:val="auto"/>
                <w:kern w:val="0"/>
                <w:lang w:val="en-US" w:eastAsia="zh-CN"/>
              </w:rPr>
              <w:t>7</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lang w:val="en-US" w:eastAsia="zh-CN"/>
              </w:rPr>
            </w:pPr>
            <w:r>
              <w:rPr>
                <w:rFonts w:hint="eastAsia" w:ascii="Times New Roman" w:hAnsi="Times New Roman" w:eastAsia="宋体" w:cs="Times New Roman"/>
                <w:color w:val="auto"/>
                <w:kern w:val="0"/>
                <w:lang w:val="en-US" w:eastAsia="zh-CN"/>
              </w:rPr>
              <w:t>五郎村</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lang w:val="en-US" w:eastAsia="zh-CN"/>
              </w:rPr>
            </w:pPr>
            <w:r>
              <w:rPr>
                <w:rFonts w:hint="eastAsia"/>
                <w:color w:val="auto"/>
                <w:lang w:val="en-US" w:eastAsia="zh-CN"/>
              </w:rPr>
              <w:t>-3135</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lang w:val="en-US" w:eastAsia="zh-CN"/>
              </w:rPr>
            </w:pPr>
            <w:r>
              <w:rPr>
                <w:rFonts w:hint="eastAsia"/>
                <w:color w:val="auto"/>
                <w:lang w:val="en-US" w:eastAsia="zh-CN"/>
              </w:rPr>
              <w:t>-1012</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rPr>
            </w:pPr>
            <w:r>
              <w:rPr>
                <w:rFonts w:hint="eastAsia"/>
                <w:color w:val="auto"/>
                <w:kern w:val="0"/>
                <w:lang w:val="en-US" w:eastAsia="zh-CN"/>
              </w:rPr>
              <w:t>省级文物保护单位</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eastAsia="宋体"/>
                <w:color w:val="auto"/>
                <w:kern w:val="0"/>
                <w:lang w:val="en-US" w:eastAsia="zh-CN"/>
              </w:rPr>
            </w:pPr>
            <w:r>
              <w:rPr>
                <w:rFonts w:hint="eastAsia"/>
                <w:color w:val="auto"/>
                <w:kern w:val="0"/>
                <w:lang w:val="en-US" w:eastAsia="zh-CN"/>
              </w:rPr>
              <w:t>400</w:t>
            </w:r>
          </w:p>
        </w:tc>
        <w:tc>
          <w:tcPr>
            <w:tcW w:w="80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lang w:val="en-US" w:eastAsia="zh-CN"/>
              </w:rPr>
            </w:pPr>
            <w:r>
              <w:rPr>
                <w:rFonts w:hint="eastAsia"/>
                <w:color w:val="auto"/>
                <w:kern w:val="0"/>
                <w:lang w:val="en-US" w:eastAsia="zh-CN"/>
              </w:rPr>
              <w:t>SW</w:t>
            </w:r>
          </w:p>
        </w:tc>
        <w:tc>
          <w:tcPr>
            <w:tcW w:w="9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3718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cs="宋体"/>
                <w:color w:val="auto"/>
                <w:kern w:val="0"/>
                <w:sz w:val="22"/>
                <w:szCs w:val="22"/>
                <w:lang w:bidi="ar"/>
              </w:rPr>
            </w:pPr>
            <w:r>
              <w:rPr>
                <w:rFonts w:hint="eastAsia" w:ascii="Times New Roman" w:hAnsi="Times New Roman" w:eastAsia="宋体" w:cs="Times New Roman"/>
                <w:color w:val="auto"/>
                <w:kern w:val="0"/>
                <w:lang w:val="en-US" w:eastAsia="zh-CN"/>
              </w:rPr>
              <w:t>8</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lang w:val="en-US" w:eastAsia="zh-CN"/>
              </w:rPr>
            </w:pPr>
            <w:r>
              <w:rPr>
                <w:rFonts w:hint="eastAsia" w:ascii="Times New Roman" w:hAnsi="Times New Roman" w:eastAsia="宋体" w:cs="Times New Roman"/>
                <w:color w:val="auto"/>
                <w:kern w:val="0"/>
                <w:lang w:val="en-US" w:eastAsia="zh-CN"/>
              </w:rPr>
              <w:t>南江村</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lang w:val="en-US" w:eastAsia="zh-CN"/>
              </w:rPr>
            </w:pPr>
            <w:r>
              <w:rPr>
                <w:rFonts w:hint="eastAsia"/>
                <w:color w:val="auto"/>
                <w:kern w:val="0"/>
                <w:lang w:val="en-US" w:eastAsia="zh-CN"/>
              </w:rPr>
              <w:t>-2626</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lang w:val="en-US" w:eastAsia="zh-CN"/>
              </w:rPr>
            </w:pPr>
            <w:r>
              <w:rPr>
                <w:rFonts w:hint="eastAsia"/>
                <w:color w:val="auto"/>
                <w:lang w:val="en-US" w:eastAsia="zh-CN"/>
              </w:rPr>
              <w:t>1408</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rPr>
            </w:pPr>
            <w:r>
              <w:rPr>
                <w:rFonts w:hint="eastAsia"/>
                <w:color w:val="auto"/>
                <w:kern w:val="0"/>
              </w:rPr>
              <w:t>居民</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300</w:t>
            </w:r>
          </w:p>
        </w:tc>
        <w:tc>
          <w:tcPr>
            <w:tcW w:w="80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lang w:val="en-US" w:eastAsia="zh-CN"/>
              </w:rPr>
            </w:pPr>
            <w:r>
              <w:rPr>
                <w:rFonts w:hint="eastAsia"/>
                <w:color w:val="auto"/>
                <w:kern w:val="0"/>
                <w:lang w:val="en-US" w:eastAsia="zh-CN"/>
              </w:rPr>
              <w:t>NW</w:t>
            </w:r>
          </w:p>
        </w:tc>
        <w:tc>
          <w:tcPr>
            <w:tcW w:w="9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3575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cs="宋体"/>
                <w:color w:val="auto"/>
                <w:kern w:val="0"/>
                <w:sz w:val="22"/>
                <w:szCs w:val="22"/>
                <w:lang w:bidi="ar"/>
              </w:rPr>
            </w:pPr>
            <w:r>
              <w:rPr>
                <w:rFonts w:hint="eastAsia" w:ascii="Times New Roman" w:hAnsi="Times New Roman" w:eastAsia="宋体" w:cs="Times New Roman"/>
                <w:color w:val="auto"/>
                <w:kern w:val="0"/>
                <w:lang w:val="en-US" w:eastAsia="zh-CN"/>
              </w:rPr>
              <w:t>9</w:t>
            </w:r>
          </w:p>
        </w:tc>
        <w:tc>
          <w:tcPr>
            <w:tcW w:w="936"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lang w:val="en-US" w:eastAsia="zh-CN"/>
              </w:rPr>
            </w:pPr>
            <w:r>
              <w:rPr>
                <w:rFonts w:hint="eastAsia" w:ascii="Times New Roman" w:hAnsi="Times New Roman" w:eastAsia="宋体" w:cs="Times New Roman"/>
                <w:color w:val="auto"/>
                <w:kern w:val="0"/>
                <w:lang w:val="en-US" w:eastAsia="zh-CN"/>
              </w:rPr>
              <w:t>石龙寺村</w:t>
            </w:r>
          </w:p>
        </w:tc>
        <w:tc>
          <w:tcPr>
            <w:tcW w:w="176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lang w:val="en-US" w:eastAsia="zh-CN"/>
              </w:rPr>
            </w:pPr>
            <w:r>
              <w:rPr>
                <w:rFonts w:hint="eastAsia"/>
                <w:color w:val="auto"/>
                <w:lang w:val="en-US" w:eastAsia="zh-CN"/>
              </w:rPr>
              <w:t>-2426</w:t>
            </w:r>
          </w:p>
        </w:tc>
        <w:tc>
          <w:tcPr>
            <w:tcW w:w="99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lang w:val="en-US" w:eastAsia="zh-CN"/>
              </w:rPr>
            </w:pPr>
            <w:r>
              <w:rPr>
                <w:rFonts w:hint="eastAsia"/>
                <w:color w:val="auto"/>
                <w:lang w:val="en-US" w:eastAsia="zh-CN"/>
              </w:rPr>
              <w:t>2540</w:t>
            </w:r>
          </w:p>
        </w:tc>
        <w:tc>
          <w:tcPr>
            <w:tcW w:w="77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rPr>
            </w:pPr>
            <w:r>
              <w:rPr>
                <w:rFonts w:hint="eastAsia"/>
                <w:color w:val="auto"/>
                <w:kern w:val="0"/>
              </w:rPr>
              <w:t>居民</w:t>
            </w:r>
          </w:p>
        </w:tc>
        <w:tc>
          <w:tcPr>
            <w:tcW w:w="89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rPr>
            </w:pPr>
            <w:r>
              <w:rPr>
                <w:rFonts w:hint="default"/>
                <w:color w:val="auto"/>
                <w:kern w:val="0"/>
              </w:rPr>
              <w:t>2</w:t>
            </w:r>
            <w:r>
              <w:rPr>
                <w:rFonts w:hint="eastAsia" w:ascii="宋体" w:hAnsi="宋体"/>
                <w:color w:val="auto"/>
                <w:kern w:val="0"/>
              </w:rPr>
              <w:t>类</w:t>
            </w:r>
          </w:p>
        </w:tc>
        <w:tc>
          <w:tcPr>
            <w:tcW w:w="704"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200</w:t>
            </w:r>
          </w:p>
        </w:tc>
        <w:tc>
          <w:tcPr>
            <w:tcW w:w="802"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color w:val="auto"/>
                <w:kern w:val="0"/>
                <w:lang w:val="en-US" w:eastAsia="zh-CN"/>
              </w:rPr>
            </w:pPr>
            <w:r>
              <w:rPr>
                <w:rFonts w:hint="eastAsia"/>
                <w:color w:val="auto"/>
                <w:kern w:val="0"/>
                <w:lang w:val="en-US" w:eastAsia="zh-CN"/>
              </w:rPr>
              <w:t>NW</w:t>
            </w:r>
          </w:p>
        </w:tc>
        <w:tc>
          <w:tcPr>
            <w:tcW w:w="99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default"/>
                <w:color w:val="auto"/>
                <w:kern w:val="0"/>
                <w:lang w:val="en-US" w:eastAsia="zh-CN"/>
              </w:rPr>
            </w:pPr>
            <w:r>
              <w:rPr>
                <w:rFonts w:hint="eastAsia"/>
                <w:color w:val="auto"/>
                <w:kern w:val="0"/>
                <w:lang w:val="en-US" w:eastAsia="zh-CN"/>
              </w:rPr>
              <w:t>3904</w:t>
            </w:r>
          </w:p>
        </w:tc>
      </w:tr>
    </w:tbl>
    <w:p>
      <w:pPr>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本项目废气污染物在正常排放情况下最大落地浓度贡献值对区域大气环境影响不明显。</w:t>
      </w:r>
      <w:r>
        <w:rPr>
          <w:rFonts w:hint="eastAsia" w:ascii="Times New Roman" w:hAnsi="Times New Roman" w:cs="Times New Roman"/>
          <w:color w:val="auto"/>
          <w:sz w:val="24"/>
          <w:lang w:val="en-US" w:eastAsia="zh-CN"/>
        </w:rPr>
        <w:t>已与卫生防护距离内的最近居民签订</w:t>
      </w:r>
      <w:r>
        <w:rPr>
          <w:rFonts w:hint="eastAsia"/>
          <w:color w:val="auto"/>
          <w:sz w:val="24"/>
        </w:rPr>
        <w:t>租赁合同，租赁为本项目的办公区域</w:t>
      </w:r>
      <w:r>
        <w:rPr>
          <w:rFonts w:hint="eastAsia"/>
          <w:color w:val="auto"/>
          <w:sz w:val="24"/>
          <w:lang w:eastAsia="zh-CN"/>
        </w:rPr>
        <w:t>，</w:t>
      </w:r>
      <w:r>
        <w:rPr>
          <w:color w:val="auto"/>
          <w:sz w:val="24"/>
        </w:rPr>
        <w:t>对卫生防护距离范围内的农户功能置换后</w:t>
      </w:r>
      <w:r>
        <w:rPr>
          <w:rFonts w:hint="eastAsia"/>
          <w:color w:val="auto"/>
          <w:sz w:val="24"/>
        </w:rPr>
        <w:t>，不存在环保搬迁</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、大气环境影响评价结论</w:t>
      </w:r>
    </w:p>
    <w:p>
      <w:pPr>
        <w:spacing w:line="360" w:lineRule="auto"/>
        <w:ind w:firstLine="480" w:firstLineChars="200"/>
        <w:rPr>
          <w:rFonts w:hint="eastAsia"/>
          <w:color w:val="auto"/>
          <w:sz w:val="24"/>
          <w:szCs w:val="24"/>
        </w:rPr>
      </w:pPr>
      <w:r>
        <w:rPr>
          <w:rFonts w:hint="eastAsia"/>
          <w:color w:val="auto"/>
          <w:sz w:val="24"/>
          <w:szCs w:val="24"/>
        </w:rPr>
        <w:t>本评价大气评价工作等级为</w:t>
      </w:r>
      <w:r>
        <w:rPr>
          <w:rFonts w:hint="eastAsia"/>
          <w:color w:val="auto"/>
          <w:sz w:val="24"/>
          <w:szCs w:val="24"/>
          <w:lang w:val="en-US" w:eastAsia="zh-CN"/>
        </w:rPr>
        <w:t>二</w:t>
      </w:r>
      <w:r>
        <w:rPr>
          <w:rFonts w:hint="eastAsia"/>
          <w:color w:val="auto"/>
          <w:sz w:val="24"/>
          <w:szCs w:val="24"/>
        </w:rPr>
        <w:t>级，不需要进行进一步预测与评价，本评价对污染物排放量进行核算，本项目大气污染物年排放核算情况为：</w:t>
      </w:r>
      <w:r>
        <w:rPr>
          <w:rFonts w:hint="eastAsia"/>
          <w:color w:val="auto"/>
          <w:sz w:val="24"/>
          <w:szCs w:val="24"/>
          <w:lang w:val="en-US" w:eastAsia="zh-CN"/>
        </w:rPr>
        <w:t>氨</w:t>
      </w:r>
      <w:r>
        <w:rPr>
          <w:rFonts w:hint="eastAsia"/>
          <w:color w:val="auto"/>
          <w:sz w:val="24"/>
          <w:szCs w:val="24"/>
        </w:rPr>
        <w:t>：</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2527</w:t>
      </w:r>
      <w:r>
        <w:rPr>
          <w:rFonts w:hint="eastAsia"/>
          <w:color w:val="auto"/>
          <w:sz w:val="24"/>
          <w:szCs w:val="24"/>
        </w:rPr>
        <w:t>t/a</w:t>
      </w:r>
      <w:r>
        <w:rPr>
          <w:rFonts w:hint="eastAsia"/>
          <w:color w:val="auto"/>
          <w:sz w:val="24"/>
          <w:szCs w:val="24"/>
          <w:lang w:eastAsia="zh-CN"/>
        </w:rPr>
        <w:t>；</w:t>
      </w:r>
      <w:r>
        <w:rPr>
          <w:rFonts w:hint="eastAsia"/>
          <w:color w:val="auto"/>
          <w:sz w:val="24"/>
          <w:szCs w:val="24"/>
          <w:lang w:val="en-US" w:eastAsia="zh-CN"/>
        </w:rPr>
        <w:t>硫化氢</w:t>
      </w:r>
      <w:r>
        <w:rPr>
          <w:rFonts w:hint="eastAsia"/>
          <w:color w:val="auto"/>
          <w:sz w:val="24"/>
          <w:szCs w:val="24"/>
        </w:rPr>
        <w:t>：</w:t>
      </w:r>
      <w:r>
        <w:rPr>
          <w:rFonts w:hint="eastAsia" w:ascii="Times New Roman" w:hAnsi="Times New Roman" w:cs="Times New Roman"/>
          <w:color w:val="auto"/>
          <w:sz w:val="24"/>
          <w:szCs w:val="24"/>
          <w:lang w:val="en-US" w:eastAsia="zh-CN"/>
        </w:rPr>
        <w:t>0.0</w:t>
      </w:r>
      <w:r>
        <w:rPr>
          <w:rFonts w:hint="eastAsia" w:cs="Times New Roman"/>
          <w:color w:val="auto"/>
          <w:sz w:val="24"/>
          <w:szCs w:val="24"/>
          <w:lang w:val="en-US" w:eastAsia="zh-CN"/>
        </w:rPr>
        <w:t>037</w:t>
      </w:r>
      <w:r>
        <w:rPr>
          <w:rFonts w:hint="eastAsia"/>
          <w:color w:val="auto"/>
          <w:sz w:val="24"/>
          <w:szCs w:val="24"/>
        </w:rPr>
        <w:t>t/a</w:t>
      </w:r>
      <w:r>
        <w:rPr>
          <w:rFonts w:hint="eastAsia"/>
          <w:color w:val="auto"/>
          <w:sz w:val="24"/>
          <w:szCs w:val="24"/>
          <w:lang w:eastAsia="zh-CN"/>
        </w:rPr>
        <w:t>，</w:t>
      </w:r>
      <w:r>
        <w:rPr>
          <w:rFonts w:hint="eastAsia"/>
          <w:color w:val="auto"/>
          <w:sz w:val="24"/>
          <w:szCs w:val="24"/>
          <w:lang w:val="en-US" w:eastAsia="zh-CN"/>
        </w:rPr>
        <w:t>TSP：0.0743</w:t>
      </w:r>
      <w:r>
        <w:rPr>
          <w:rFonts w:hint="eastAsia"/>
          <w:color w:val="auto"/>
          <w:sz w:val="24"/>
          <w:szCs w:val="24"/>
        </w:rPr>
        <w:t>t/a。</w:t>
      </w:r>
    </w:p>
    <w:p>
      <w:pPr>
        <w:pStyle w:val="180"/>
        <w:rPr>
          <w:rFonts w:hint="default" w:ascii="Times New Roman" w:hAnsi="Times New Roman" w:cs="Times New Roman" w:eastAsiaTheme="majorEastAsia"/>
          <w:b/>
          <w:bCs w:val="0"/>
          <w:color w:val="auto"/>
          <w:sz w:val="24"/>
          <w:szCs w:val="24"/>
        </w:rPr>
      </w:pPr>
      <w:bookmarkStart w:id="451" w:name="_Toc369334868"/>
      <w:bookmarkStart w:id="452" w:name="_Toc222050037"/>
      <w:bookmarkStart w:id="453" w:name="_Toc12122"/>
      <w:r>
        <w:rPr>
          <w:rFonts w:hint="default" w:ascii="Times New Roman" w:hAnsi="Times New Roman" w:cs="Times New Roman" w:eastAsiaTheme="majorEastAsia"/>
          <w:b/>
          <w:bCs w:val="0"/>
          <w:color w:val="auto"/>
          <w:sz w:val="24"/>
          <w:szCs w:val="24"/>
        </w:rPr>
        <w:t>声学环境影响分析</w:t>
      </w:r>
      <w:bookmarkEnd w:id="451"/>
      <w:bookmarkEnd w:id="452"/>
      <w:bookmarkEnd w:id="453"/>
    </w:p>
    <w:p>
      <w:pPr>
        <w:pStyle w:val="723"/>
        <w:rPr>
          <w:rFonts w:ascii="Times New Roman" w:hAnsi="Times New Roman" w:eastAsia="宋体" w:cs="Times New Roman"/>
          <w:color w:val="auto"/>
        </w:rPr>
      </w:pPr>
      <w:r>
        <w:rPr>
          <w:rFonts w:hint="eastAsia" w:ascii="Times New Roman" w:hAnsi="Times New Roman" w:eastAsia="宋体" w:cs="Times New Roman"/>
          <w:color w:val="auto"/>
        </w:rPr>
        <w:t>根据建设项目的噪声排放特点，并结合《环境影响评价技术导则声环境》（HJ2.4-2021）的要求，本次评价基于点声源预测模式模拟预测噪声源排放噪声随距离的衰减变化规律。鉴于评价范围内无声环境保护目标，本次评价仅预测和评价运营期内建设项目在厂界（场界、边界）噪声贡献值，评价其超标和达标情况</w:t>
      </w:r>
      <w:r>
        <w:rPr>
          <w:rFonts w:ascii="Times New Roman" w:hAnsi="Times New Roman" w:eastAsia="宋体" w:cs="Times New Roman"/>
          <w:color w:val="auto"/>
        </w:rPr>
        <w:t>。</w:t>
      </w:r>
    </w:p>
    <w:p>
      <w:pPr>
        <w:snapToGrid w:val="0"/>
        <w:spacing w:line="360" w:lineRule="auto"/>
        <w:ind w:firstLine="482" w:firstLineChars="200"/>
        <w:rPr>
          <w:rFonts w:hint="eastAsia" w:eastAsia="宋体"/>
          <w:b/>
          <w:bCs w:val="0"/>
          <w:color w:val="auto"/>
          <w:sz w:val="24"/>
          <w:lang w:val="en-US" w:eastAsia="zh-CN"/>
        </w:rPr>
      </w:pPr>
      <w:r>
        <w:rPr>
          <w:rFonts w:hint="eastAsia"/>
          <w:b/>
          <w:bCs w:val="0"/>
          <w:color w:val="auto"/>
          <w:sz w:val="24"/>
          <w:lang w:val="en-US" w:eastAsia="zh-CN"/>
        </w:rPr>
        <w:t>1、预测点位</w:t>
      </w:r>
    </w:p>
    <w:p>
      <w:pPr>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评价范围内无声环境保护目标，本次预测噪声点为项目厂界东、南、西、北四边界外1m。</w:t>
      </w:r>
    </w:p>
    <w:p>
      <w:pPr>
        <w:snapToGrid w:val="0"/>
        <w:spacing w:line="360" w:lineRule="auto"/>
        <w:ind w:firstLine="482" w:firstLineChars="200"/>
        <w:rPr>
          <w:rFonts w:hint="eastAsia" w:eastAsia="宋体"/>
          <w:b w:val="0"/>
          <w:bCs/>
          <w:color w:val="auto"/>
          <w:sz w:val="24"/>
          <w:lang w:val="en-US" w:eastAsia="zh-CN"/>
        </w:rPr>
      </w:pPr>
      <w:r>
        <w:rPr>
          <w:rFonts w:hint="eastAsia"/>
          <w:b/>
          <w:color w:val="auto"/>
          <w:sz w:val="24"/>
          <w:lang w:val="en-US" w:eastAsia="zh-CN"/>
        </w:rPr>
        <w:t>2、</w:t>
      </w:r>
      <w:r>
        <w:rPr>
          <w:rFonts w:hint="eastAsia"/>
          <w:b/>
          <w:bCs w:val="0"/>
          <w:color w:val="auto"/>
          <w:sz w:val="24"/>
          <w:lang w:val="en-US" w:eastAsia="zh-CN"/>
        </w:rPr>
        <w:t>预测内容</w:t>
      </w:r>
    </w:p>
    <w:p>
      <w:pPr>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本次评价范围内无声环境保护目标，仅进行厂界噪声预测，并给出厂界噪声的最大值及位置。</w:t>
      </w:r>
    </w:p>
    <w:p>
      <w:pPr>
        <w:snapToGrid w:val="0"/>
        <w:spacing w:line="360" w:lineRule="auto"/>
        <w:ind w:firstLine="482" w:firstLineChars="200"/>
        <w:rPr>
          <w:rFonts w:hint="default"/>
          <w:b/>
          <w:bCs w:val="0"/>
          <w:color w:val="auto"/>
          <w:sz w:val="24"/>
          <w:lang w:val="en-US" w:eastAsia="zh-CN"/>
        </w:rPr>
      </w:pPr>
      <w:r>
        <w:rPr>
          <w:rFonts w:hint="eastAsia"/>
          <w:b/>
          <w:bCs w:val="0"/>
          <w:color w:val="auto"/>
          <w:sz w:val="24"/>
          <w:lang w:val="en-US" w:eastAsia="zh-CN"/>
        </w:rPr>
        <w:t>3、预测范围</w:t>
      </w:r>
    </w:p>
    <w:p>
      <w:pPr>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项目的声环境影响预测范围与评价范围相同，即厂界外200m包络线的范围</w:t>
      </w:r>
      <w:r>
        <w:rPr>
          <w:rFonts w:hint="eastAsia" w:cs="Times New Roman"/>
          <w:color w:val="auto"/>
          <w:kern w:val="0"/>
          <w:sz w:val="24"/>
          <w:szCs w:val="20"/>
          <w:lang w:val="en-US" w:eastAsia="zh-CN" w:bidi="ar-SA"/>
        </w:rPr>
        <w:t>。</w:t>
      </w:r>
    </w:p>
    <w:p>
      <w:pPr>
        <w:snapToGrid w:val="0"/>
        <w:spacing w:line="360" w:lineRule="auto"/>
        <w:ind w:firstLine="482" w:firstLineChars="200"/>
        <w:rPr>
          <w:rFonts w:hint="default" w:ascii="Times New Roman" w:hAnsi="Times New Roman" w:eastAsia="宋体" w:cs="Times New Roman"/>
          <w:color w:val="auto"/>
          <w:kern w:val="0"/>
          <w:sz w:val="24"/>
          <w:szCs w:val="20"/>
          <w:lang w:val="en-US" w:eastAsia="zh-CN" w:bidi="ar-SA"/>
        </w:rPr>
      </w:pPr>
      <w:r>
        <w:rPr>
          <w:rFonts w:hint="eastAsia" w:cs="Times New Roman"/>
          <w:b/>
          <w:bCs/>
          <w:color w:val="auto"/>
          <w:kern w:val="0"/>
          <w:sz w:val="24"/>
          <w:szCs w:val="20"/>
          <w:lang w:val="en-US" w:eastAsia="zh-CN" w:bidi="ar-SA"/>
        </w:rPr>
        <w:t>4、基础数据</w:t>
      </w:r>
    </w:p>
    <w:p>
      <w:pPr>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本次评价收集到的</w:t>
      </w:r>
      <w:r>
        <w:rPr>
          <w:rFonts w:hint="eastAsia" w:cs="Times New Roman"/>
          <w:color w:val="auto"/>
          <w:kern w:val="0"/>
          <w:sz w:val="24"/>
          <w:szCs w:val="20"/>
          <w:lang w:val="en-US" w:eastAsia="zh-CN" w:bidi="ar-SA"/>
        </w:rPr>
        <w:t>恩阳区</w:t>
      </w:r>
      <w:r>
        <w:rPr>
          <w:rFonts w:hint="eastAsia" w:ascii="Times New Roman" w:hAnsi="Times New Roman" w:eastAsia="宋体" w:cs="Times New Roman"/>
          <w:color w:val="auto"/>
          <w:kern w:val="0"/>
          <w:sz w:val="24"/>
          <w:szCs w:val="20"/>
          <w:lang w:val="en-US" w:eastAsia="zh-CN" w:bidi="ar-SA"/>
        </w:rPr>
        <w:t>多年地面的气候统计资料见下表。</w:t>
      </w:r>
    </w:p>
    <w:p>
      <w:pPr>
        <w:jc w:val="center"/>
        <w:rPr>
          <w:rFonts w:eastAsia="黑体"/>
          <w:b/>
          <w:bCs/>
          <w:color w:val="auto"/>
          <w:szCs w:val="21"/>
        </w:rPr>
      </w:pPr>
      <w:r>
        <w:rPr>
          <w:rFonts w:hint="eastAsia" w:eastAsia="黑体"/>
          <w:b/>
          <w:bCs/>
          <w:color w:val="auto"/>
          <w:szCs w:val="21"/>
        </w:rPr>
        <w:t>表</w:t>
      </w:r>
      <w:r>
        <w:rPr>
          <w:rFonts w:hint="eastAsia" w:eastAsia="黑体"/>
          <w:b/>
          <w:bCs/>
          <w:color w:val="auto"/>
          <w:szCs w:val="21"/>
          <w:lang w:val="en-US" w:eastAsia="zh-CN"/>
        </w:rPr>
        <w:t>5</w:t>
      </w:r>
      <w:r>
        <w:rPr>
          <w:rFonts w:eastAsia="黑体"/>
          <w:b/>
          <w:bCs/>
          <w:color w:val="auto"/>
          <w:szCs w:val="21"/>
        </w:rPr>
        <w:t>.2</w:t>
      </w:r>
      <w:r>
        <w:rPr>
          <w:rFonts w:eastAsia="黑体"/>
          <w:b/>
          <w:bCs/>
          <w:color w:val="auto"/>
          <w:szCs w:val="21"/>
        </w:rPr>
        <w:noBreakHyphen/>
      </w:r>
      <w:r>
        <w:rPr>
          <w:rFonts w:hint="eastAsia" w:eastAsia="黑体"/>
          <w:b/>
          <w:bCs/>
          <w:color w:val="auto"/>
          <w:szCs w:val="21"/>
          <w:lang w:val="en-US" w:eastAsia="zh-CN"/>
        </w:rPr>
        <w:t>20</w:t>
      </w:r>
      <w:r>
        <w:rPr>
          <w:rFonts w:eastAsia="黑体"/>
          <w:b/>
          <w:bCs/>
          <w:color w:val="auto"/>
          <w:szCs w:val="21"/>
        </w:rPr>
        <w:t xml:space="preserve">  </w:t>
      </w:r>
      <w:r>
        <w:rPr>
          <w:rFonts w:hint="eastAsia" w:eastAsia="黑体"/>
          <w:b/>
          <w:bCs/>
          <w:color w:val="auto"/>
          <w:szCs w:val="21"/>
        </w:rPr>
        <w:t>多年</w:t>
      </w:r>
      <w:r>
        <w:rPr>
          <w:rFonts w:hint="eastAsia" w:eastAsia="黑体"/>
          <w:b/>
          <w:bCs/>
          <w:color w:val="auto"/>
          <w:szCs w:val="21"/>
          <w:lang w:val="en-US" w:eastAsia="zh-CN"/>
        </w:rPr>
        <w:t>恩阳区</w:t>
      </w:r>
      <w:r>
        <w:rPr>
          <w:rFonts w:hint="eastAsia" w:eastAsia="黑体"/>
          <w:b/>
          <w:bCs/>
          <w:color w:val="auto"/>
          <w:szCs w:val="21"/>
        </w:rPr>
        <w:t>气象要素统计资料</w:t>
      </w:r>
    </w:p>
    <w:tbl>
      <w:tblPr>
        <w:tblStyle w:val="89"/>
        <w:tblW w:w="5000" w:type="pct"/>
        <w:tblInd w:w="51"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57" w:type="dxa"/>
          <w:bottom w:w="0" w:type="dxa"/>
          <w:right w:w="57" w:type="dxa"/>
        </w:tblCellMar>
      </w:tblPr>
      <w:tblGrid>
        <w:gridCol w:w="968"/>
        <w:gridCol w:w="1660"/>
        <w:gridCol w:w="1520"/>
        <w:gridCol w:w="1106"/>
        <w:gridCol w:w="1382"/>
        <w:gridCol w:w="1108"/>
        <w:gridCol w:w="110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57" w:type="dxa"/>
            <w:bottom w:w="0" w:type="dxa"/>
            <w:right w:w="57" w:type="dxa"/>
          </w:tblCellMar>
        </w:tblPrEx>
        <w:trPr>
          <w:trHeight w:val="624" w:hRule="atLeast"/>
        </w:trPr>
        <w:tc>
          <w:tcPr>
            <w:tcW w:w="547" w:type="pct"/>
            <w:tcBorders>
              <w:tl2br w:val="nil"/>
              <w:tr2bl w:val="nil"/>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时间</w:t>
            </w:r>
          </w:p>
        </w:tc>
        <w:tc>
          <w:tcPr>
            <w:tcW w:w="938" w:type="pct"/>
            <w:tcBorders>
              <w:tl2br w:val="nil"/>
              <w:tr2bl w:val="nil"/>
            </w:tcBorders>
            <w:shd w:val="clear" w:color="auto" w:fill="auto"/>
            <w:noWrap w:val="0"/>
            <w:vAlign w:val="center"/>
          </w:tcPr>
          <w:p>
            <w:pPr>
              <w:pStyle w:val="489"/>
              <w:suppressLineNumbers w:val="0"/>
              <w:spacing w:before="0" w:beforeAutospacing="0" w:after="0" w:afterAutospacing="0"/>
              <w:ind w:left="0" w:right="0"/>
              <w:rPr>
                <w:rFonts w:hint="eastAsia" w:ascii="Times New Roman" w:hAnsi="Times New Roman" w:eastAsia="宋体" w:cs="Times New Roman"/>
                <w:b/>
                <w:color w:val="auto"/>
                <w:spacing w:val="0"/>
                <w:sz w:val="21"/>
                <w:szCs w:val="21"/>
                <w:lang w:eastAsia="zh-CN"/>
              </w:rPr>
            </w:pPr>
            <w:r>
              <w:rPr>
                <w:rFonts w:hint="default" w:ascii="Times New Roman" w:hAnsi="Times New Roman" w:eastAsia="宋体" w:cs="Times New Roman"/>
                <w:b/>
                <w:color w:val="auto"/>
                <w:spacing w:val="0"/>
                <w:sz w:val="21"/>
                <w:szCs w:val="21"/>
              </w:rPr>
              <w:t>平均温度</w:t>
            </w:r>
          </w:p>
          <w:p>
            <w:pPr>
              <w:pStyle w:val="489"/>
              <w:suppressLineNumbers w:val="0"/>
              <w:spacing w:before="0" w:beforeAutospacing="0" w:after="0" w:afterAutospacing="0"/>
              <w:ind w:left="0" w:right="0"/>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w:t>
            </w:r>
          </w:p>
        </w:tc>
        <w:tc>
          <w:tcPr>
            <w:tcW w:w="859" w:type="pct"/>
            <w:tcBorders>
              <w:tl2br w:val="nil"/>
              <w:tr2bl w:val="nil"/>
            </w:tcBorders>
            <w:shd w:val="clear" w:color="auto" w:fill="auto"/>
            <w:noWrap w:val="0"/>
            <w:vAlign w:val="center"/>
          </w:tcPr>
          <w:p>
            <w:pPr>
              <w:pStyle w:val="489"/>
              <w:suppressLineNumbers w:val="0"/>
              <w:spacing w:before="0" w:beforeAutospacing="0" w:after="0" w:afterAutospacing="0"/>
              <w:ind w:left="0" w:right="0"/>
              <w:rPr>
                <w:rFonts w:hint="eastAsia" w:ascii="Times New Roman" w:hAnsi="Times New Roman" w:eastAsia="宋体" w:cs="Times New Roman"/>
                <w:b/>
                <w:color w:val="auto"/>
                <w:spacing w:val="0"/>
                <w:sz w:val="21"/>
                <w:szCs w:val="21"/>
                <w:lang w:eastAsia="zh-CN"/>
              </w:rPr>
            </w:pPr>
            <w:r>
              <w:rPr>
                <w:rFonts w:hint="default" w:ascii="Times New Roman" w:hAnsi="Times New Roman" w:eastAsia="宋体" w:cs="Times New Roman"/>
                <w:b/>
                <w:color w:val="auto"/>
                <w:spacing w:val="0"/>
                <w:sz w:val="21"/>
                <w:szCs w:val="21"/>
              </w:rPr>
              <w:t>平均降水量</w:t>
            </w:r>
          </w:p>
          <w:p>
            <w:pPr>
              <w:pStyle w:val="489"/>
              <w:suppressLineNumbers w:val="0"/>
              <w:spacing w:before="0" w:beforeAutospacing="0" w:after="0" w:afterAutospacing="0"/>
              <w:ind w:left="0" w:right="0"/>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（mm）</w:t>
            </w:r>
          </w:p>
        </w:tc>
        <w:tc>
          <w:tcPr>
            <w:tcW w:w="625" w:type="pct"/>
            <w:tcBorders>
              <w:tl2br w:val="nil"/>
              <w:tr2bl w:val="nil"/>
            </w:tcBorders>
            <w:shd w:val="clear" w:color="auto" w:fill="auto"/>
            <w:noWrap w:val="0"/>
            <w:vAlign w:val="center"/>
          </w:tcPr>
          <w:p>
            <w:pPr>
              <w:pStyle w:val="489"/>
              <w:suppressLineNumbers w:val="0"/>
              <w:spacing w:before="0" w:beforeAutospacing="0" w:after="0" w:afterAutospacing="0"/>
              <w:ind w:left="0" w:right="0"/>
              <w:rPr>
                <w:rFonts w:hint="eastAsia" w:ascii="Times New Roman" w:hAnsi="Times New Roman" w:eastAsia="宋体" w:cs="Times New Roman"/>
                <w:b/>
                <w:color w:val="auto"/>
                <w:spacing w:val="0"/>
                <w:sz w:val="21"/>
                <w:szCs w:val="21"/>
                <w:lang w:eastAsia="zh-CN"/>
              </w:rPr>
            </w:pPr>
            <w:r>
              <w:rPr>
                <w:rFonts w:hint="default" w:ascii="Times New Roman" w:hAnsi="Times New Roman" w:eastAsia="宋体" w:cs="Times New Roman"/>
                <w:b/>
                <w:color w:val="auto"/>
                <w:spacing w:val="0"/>
                <w:sz w:val="21"/>
                <w:szCs w:val="21"/>
              </w:rPr>
              <w:t>日照</w:t>
            </w:r>
          </w:p>
          <w:p>
            <w:pPr>
              <w:pStyle w:val="489"/>
              <w:suppressLineNumbers w:val="0"/>
              <w:spacing w:before="0" w:beforeAutospacing="0" w:after="0" w:afterAutospacing="0"/>
              <w:ind w:left="0" w:right="0"/>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（h）</w:t>
            </w:r>
          </w:p>
        </w:tc>
        <w:tc>
          <w:tcPr>
            <w:tcW w:w="781" w:type="pct"/>
            <w:tcBorders>
              <w:tl2br w:val="nil"/>
              <w:tr2bl w:val="nil"/>
            </w:tcBorders>
            <w:shd w:val="clear" w:color="auto" w:fill="auto"/>
            <w:noWrap w:val="0"/>
            <w:vAlign w:val="center"/>
          </w:tcPr>
          <w:p>
            <w:pPr>
              <w:pStyle w:val="489"/>
              <w:suppressLineNumbers w:val="0"/>
              <w:spacing w:before="0" w:beforeAutospacing="0" w:after="0" w:afterAutospacing="0"/>
              <w:ind w:left="0" w:right="0"/>
              <w:rPr>
                <w:rFonts w:hint="eastAsia" w:ascii="Times New Roman" w:hAnsi="Times New Roman" w:eastAsia="宋体" w:cs="Times New Roman"/>
                <w:b/>
                <w:color w:val="auto"/>
                <w:spacing w:val="0"/>
                <w:sz w:val="21"/>
                <w:szCs w:val="21"/>
                <w:lang w:eastAsia="zh-CN"/>
              </w:rPr>
            </w:pPr>
            <w:r>
              <w:rPr>
                <w:rFonts w:hint="default" w:ascii="Times New Roman" w:hAnsi="Times New Roman" w:eastAsia="宋体" w:cs="Times New Roman"/>
                <w:b/>
                <w:color w:val="auto"/>
                <w:spacing w:val="0"/>
                <w:sz w:val="21"/>
                <w:szCs w:val="21"/>
              </w:rPr>
              <w:t>极大风速</w:t>
            </w:r>
          </w:p>
          <w:p>
            <w:pPr>
              <w:pStyle w:val="489"/>
              <w:suppressLineNumbers w:val="0"/>
              <w:spacing w:before="0" w:beforeAutospacing="0" w:after="0" w:afterAutospacing="0"/>
              <w:ind w:left="0" w:right="0"/>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（m/s）</w:t>
            </w:r>
          </w:p>
        </w:tc>
        <w:tc>
          <w:tcPr>
            <w:tcW w:w="626" w:type="pct"/>
            <w:tcBorders>
              <w:tl2br w:val="nil"/>
              <w:tr2bl w:val="nil"/>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风向</w:t>
            </w:r>
          </w:p>
        </w:tc>
        <w:tc>
          <w:tcPr>
            <w:tcW w:w="623" w:type="pct"/>
            <w:tcBorders>
              <w:tl2br w:val="nil"/>
              <w:tr2bl w:val="nil"/>
            </w:tcBorders>
            <w:shd w:val="clear" w:color="auto" w:fill="auto"/>
            <w:noWrap w:val="0"/>
            <w:vAlign w:val="center"/>
          </w:tcPr>
          <w:p>
            <w:pPr>
              <w:pStyle w:val="489"/>
              <w:suppressLineNumbers w:val="0"/>
              <w:spacing w:before="0" w:beforeAutospacing="0" w:after="0" w:afterAutospacing="0"/>
              <w:ind w:left="0" w:right="0"/>
              <w:rPr>
                <w:rFonts w:hint="eastAsia" w:ascii="Times New Roman" w:hAnsi="Times New Roman" w:eastAsia="宋体" w:cs="Times New Roman"/>
                <w:b/>
                <w:color w:val="auto"/>
                <w:spacing w:val="0"/>
                <w:sz w:val="21"/>
                <w:szCs w:val="21"/>
                <w:lang w:eastAsia="zh-CN"/>
              </w:rPr>
            </w:pPr>
            <w:r>
              <w:rPr>
                <w:rFonts w:hint="default" w:ascii="Times New Roman" w:hAnsi="Times New Roman" w:eastAsia="宋体" w:cs="Times New Roman"/>
                <w:b/>
                <w:color w:val="auto"/>
                <w:spacing w:val="0"/>
                <w:sz w:val="21"/>
                <w:szCs w:val="21"/>
              </w:rPr>
              <w:t>相对湿度</w:t>
            </w:r>
          </w:p>
          <w:p>
            <w:pPr>
              <w:pStyle w:val="489"/>
              <w:suppressLineNumbers w:val="0"/>
              <w:spacing w:before="0" w:beforeAutospacing="0" w:after="0" w:afterAutospacing="0"/>
              <w:ind w:left="0" w:right="0"/>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57" w:type="dxa"/>
            <w:bottom w:w="0" w:type="dxa"/>
            <w:right w:w="57" w:type="dxa"/>
          </w:tblCellMar>
        </w:tblPrEx>
        <w:trPr>
          <w:trHeight w:val="340" w:hRule="atLeast"/>
        </w:trPr>
        <w:tc>
          <w:tcPr>
            <w:tcW w:w="547" w:type="pct"/>
            <w:tcBorders>
              <w:tl2br w:val="nil"/>
              <w:tr2bl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w:t>
            </w:r>
          </w:p>
        </w:tc>
        <w:tc>
          <w:tcPr>
            <w:tcW w:w="938" w:type="pct"/>
            <w:tcBorders>
              <w:tl2br w:val="nil"/>
              <w:tr2bl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17.5</w:t>
            </w:r>
          </w:p>
        </w:tc>
        <w:tc>
          <w:tcPr>
            <w:tcW w:w="859" w:type="pct"/>
            <w:tcBorders>
              <w:tl2br w:val="nil"/>
              <w:tr2bl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1050</w:t>
            </w:r>
          </w:p>
        </w:tc>
        <w:tc>
          <w:tcPr>
            <w:tcW w:w="625" w:type="pct"/>
            <w:tcBorders>
              <w:tl2br w:val="nil"/>
              <w:tr2bl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1460</w:t>
            </w:r>
          </w:p>
        </w:tc>
        <w:tc>
          <w:tcPr>
            <w:tcW w:w="781" w:type="pct"/>
            <w:tcBorders>
              <w:tl2br w:val="nil"/>
              <w:tr2bl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p>
        </w:tc>
        <w:tc>
          <w:tcPr>
            <w:tcW w:w="626" w:type="pct"/>
            <w:tcBorders>
              <w:tl2br w:val="nil"/>
              <w:tr2bl w:val="nil"/>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NE</w:t>
            </w:r>
          </w:p>
        </w:tc>
        <w:tc>
          <w:tcPr>
            <w:tcW w:w="623" w:type="pct"/>
            <w:tcBorders>
              <w:tl2br w:val="nil"/>
              <w:tr2bl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r>
    </w:tbl>
    <w:p>
      <w:pPr>
        <w:snapToGrid w:val="0"/>
        <w:spacing w:line="360" w:lineRule="auto"/>
        <w:ind w:firstLine="482" w:firstLineChars="200"/>
        <w:rPr>
          <w:rFonts w:hint="eastAsia" w:cs="Times New Roman"/>
          <w:b/>
          <w:bCs/>
          <w:color w:val="auto"/>
          <w:kern w:val="0"/>
          <w:sz w:val="24"/>
          <w:szCs w:val="20"/>
          <w:lang w:val="en-US" w:eastAsia="zh-CN" w:bidi="ar-SA"/>
        </w:rPr>
      </w:pPr>
      <w:r>
        <w:rPr>
          <w:rFonts w:hint="eastAsia" w:cs="Times New Roman"/>
          <w:b/>
          <w:bCs/>
          <w:color w:val="auto"/>
          <w:kern w:val="0"/>
          <w:sz w:val="24"/>
          <w:szCs w:val="20"/>
          <w:lang w:val="en-US" w:eastAsia="zh-CN" w:bidi="ar-SA"/>
        </w:rPr>
        <w:t>5、地形数据</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本次预测采用ASTER GDEM V003地形数据，数据精度30m。</w:t>
      </w:r>
    </w:p>
    <w:p>
      <w:pPr>
        <w:snapToGrid w:val="0"/>
        <w:spacing w:line="360" w:lineRule="auto"/>
        <w:ind w:firstLine="482" w:firstLineChars="200"/>
        <w:rPr>
          <w:rFonts w:hint="default" w:ascii="Times New Roman" w:hAnsi="Times New Roman" w:eastAsia="宋体" w:cs="Times New Roman"/>
          <w:b/>
          <w:bCs/>
          <w:color w:val="auto"/>
          <w:kern w:val="0"/>
          <w:sz w:val="24"/>
          <w:szCs w:val="20"/>
          <w:lang w:val="en-US" w:eastAsia="zh-CN" w:bidi="ar-SA"/>
        </w:rPr>
      </w:pPr>
      <w:r>
        <w:rPr>
          <w:rFonts w:hint="eastAsia" w:cs="Times New Roman"/>
          <w:b/>
          <w:bCs/>
          <w:color w:val="auto"/>
          <w:kern w:val="0"/>
          <w:sz w:val="24"/>
          <w:szCs w:val="20"/>
          <w:lang w:val="en-US" w:eastAsia="zh-CN" w:bidi="ar-SA"/>
        </w:rPr>
        <w:t>6、声源数据</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根据《环境影响评价技术导则声环境》（HJ2.4-2021），点声源组可以用处在组的中部的等效点声源来描述，特别是声源具有：</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a）有大致相同的强度和离地面高；有大致相同的强度和离地面高度；</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b）到接收点有相同的传播条件；到接收点有相同的传播条件；</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c）从单一等效点声源到接收间的距离从单一等效点声源到接收点间的距离d超过声源的最大尺寸Hmax二倍（d＞2Hmax）。</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等效点声源的计算方法为：将一个分区内的主要噪声源进行能量叠加后的合成总声级值视为一个混合点噪声源，并以半球形向外辐射传播，噪声迭加公式：</w:t>
      </w:r>
    </w:p>
    <w:p>
      <w:pPr>
        <w:ind w:firstLine="0" w:firstLineChars="0"/>
        <w:jc w:val="center"/>
        <w:rPr>
          <w:color w:val="auto"/>
        </w:rPr>
      </w:pPr>
      <w:r>
        <w:rPr>
          <w:color w:val="auto"/>
        </w:rPr>
        <w:drawing>
          <wp:inline distT="0" distB="0" distL="114300" distR="114300">
            <wp:extent cx="1195070" cy="461645"/>
            <wp:effectExtent l="0" t="0" r="0" b="15240"/>
            <wp:docPr id="8" name="图片 9" descr="d:\Users\李西西\AppData\Local\Temp\ksohtml36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Users\李西西\AppData\Local\Temp\ksohtml3660\wps1.png"/>
                    <pic:cNvPicPr>
                      <a:picLocks noChangeAspect="1"/>
                    </pic:cNvPicPr>
                  </pic:nvPicPr>
                  <pic:blipFill>
                    <a:blip r:embed="rId44"/>
                    <a:stretch>
                      <a:fillRect/>
                    </a:stretch>
                  </pic:blipFill>
                  <pic:spPr>
                    <a:xfrm>
                      <a:off x="0" y="0"/>
                      <a:ext cx="1195070" cy="461645"/>
                    </a:xfrm>
                    <a:prstGeom prst="rect">
                      <a:avLst/>
                    </a:prstGeom>
                    <a:noFill/>
                    <a:ln>
                      <a:noFill/>
                    </a:ln>
                  </pic:spPr>
                </pic:pic>
              </a:graphicData>
            </a:graphic>
          </wp:inline>
        </w:drawing>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式中：Li——第i个声源的噪声值，dB(A)；</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L——某点噪声总迭加值，dB(A)；</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n——声源个数。</w:t>
      </w:r>
    </w:p>
    <w:p>
      <w:pPr>
        <w:snapToGrid w:val="0"/>
        <w:spacing w:line="360" w:lineRule="auto"/>
        <w:ind w:firstLine="480" w:firstLineChars="200"/>
        <w:rPr>
          <w:rFonts w:hint="eastAsia" w:cs="Times New Roman"/>
          <w:b w:val="0"/>
          <w:bCs w:val="0"/>
          <w:color w:val="auto"/>
          <w:kern w:val="0"/>
          <w:sz w:val="24"/>
          <w:szCs w:val="20"/>
          <w:lang w:val="en-US" w:eastAsia="zh-CN" w:bidi="ar-SA"/>
        </w:rPr>
        <w:sectPr>
          <w:footerReference r:id="rId12" w:type="default"/>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r>
        <w:rPr>
          <w:rFonts w:hint="eastAsia" w:cs="Times New Roman"/>
          <w:b w:val="0"/>
          <w:bCs w:val="0"/>
          <w:color w:val="auto"/>
          <w:kern w:val="0"/>
          <w:sz w:val="24"/>
          <w:szCs w:val="20"/>
          <w:lang w:val="en-US" w:eastAsia="zh-CN" w:bidi="ar-SA"/>
        </w:rPr>
        <w:t>因此，本次评价将项目部分区域较为集中的噪声概化为一个等效点声源进行计算，最终得出本次预测的声源情况见下表。</w:t>
      </w:r>
    </w:p>
    <w:p>
      <w:pPr>
        <w:jc w:val="center"/>
        <w:rPr>
          <w:rFonts w:eastAsia="黑体"/>
          <w:color w:val="auto"/>
          <w:szCs w:val="21"/>
        </w:rPr>
      </w:pPr>
      <w:r>
        <w:rPr>
          <w:rFonts w:hint="eastAsia" w:eastAsia="黑体"/>
          <w:color w:val="auto"/>
          <w:szCs w:val="21"/>
        </w:rPr>
        <w:t>表</w:t>
      </w:r>
      <w:r>
        <w:rPr>
          <w:rFonts w:hint="eastAsia" w:eastAsia="黑体"/>
          <w:color w:val="auto"/>
          <w:szCs w:val="21"/>
          <w:lang w:val="en-US" w:eastAsia="zh-CN"/>
        </w:rPr>
        <w:t>5</w:t>
      </w:r>
      <w:r>
        <w:rPr>
          <w:rFonts w:eastAsia="黑体"/>
          <w:color w:val="auto"/>
          <w:szCs w:val="21"/>
        </w:rPr>
        <w:t>.2</w:t>
      </w:r>
      <w:r>
        <w:rPr>
          <w:rFonts w:eastAsia="黑体"/>
          <w:color w:val="auto"/>
          <w:szCs w:val="21"/>
        </w:rPr>
        <w:noBreakHyphen/>
      </w:r>
      <w:r>
        <w:rPr>
          <w:rFonts w:eastAsia="黑体"/>
          <w:color w:val="auto"/>
          <w:szCs w:val="21"/>
        </w:rPr>
        <w:t>2</w:t>
      </w:r>
      <w:r>
        <w:rPr>
          <w:rFonts w:hint="eastAsia" w:eastAsia="黑体"/>
          <w:color w:val="auto"/>
          <w:szCs w:val="21"/>
          <w:lang w:val="en-US" w:eastAsia="zh-CN"/>
        </w:rPr>
        <w:t>1</w:t>
      </w:r>
      <w:r>
        <w:rPr>
          <w:rFonts w:eastAsia="黑体"/>
          <w:color w:val="auto"/>
          <w:szCs w:val="21"/>
        </w:rPr>
        <w:t xml:space="preserve">   </w:t>
      </w:r>
      <w:r>
        <w:rPr>
          <w:rFonts w:hint="eastAsia" w:eastAsia="黑体"/>
          <w:color w:val="auto"/>
          <w:szCs w:val="21"/>
        </w:rPr>
        <w:t>本项目工业企业噪声源强调查清单（室内声源）</w:t>
      </w:r>
    </w:p>
    <w:tbl>
      <w:tblPr>
        <w:tblStyle w:val="89"/>
        <w:tblW w:w="4999" w:type="pct"/>
        <w:tblInd w:w="8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28"/>
        <w:gridCol w:w="1134"/>
        <w:gridCol w:w="2268"/>
        <w:gridCol w:w="566"/>
        <w:gridCol w:w="991"/>
        <w:gridCol w:w="1420"/>
        <w:gridCol w:w="659"/>
        <w:gridCol w:w="705"/>
        <w:gridCol w:w="479"/>
        <w:gridCol w:w="851"/>
        <w:gridCol w:w="851"/>
        <w:gridCol w:w="991"/>
        <w:gridCol w:w="1005"/>
        <w:gridCol w:w="851"/>
        <w:gridCol w:w="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8" w:type="dxa"/>
            <w:vMerge w:val="restart"/>
            <w:tcBorders>
              <w:top w:val="single" w:color="auto" w:sz="12"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序号 </w:t>
            </w:r>
          </w:p>
        </w:tc>
        <w:tc>
          <w:tcPr>
            <w:tcW w:w="1134" w:type="dxa"/>
            <w:vMerge w:val="restart"/>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建筑物</w:t>
            </w:r>
          </w:p>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2268"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声源名称 </w:t>
            </w:r>
          </w:p>
        </w:tc>
        <w:tc>
          <w:tcPr>
            <w:tcW w:w="566"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型号 </w:t>
            </w:r>
          </w:p>
        </w:tc>
        <w:tc>
          <w:tcPr>
            <w:tcW w:w="991" w:type="dxa"/>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声源源强</w:t>
            </w:r>
          </w:p>
        </w:tc>
        <w:tc>
          <w:tcPr>
            <w:tcW w:w="1420"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声源控制措施 </w:t>
            </w:r>
          </w:p>
        </w:tc>
        <w:tc>
          <w:tcPr>
            <w:tcW w:w="1843" w:type="dxa"/>
            <w:gridSpan w:val="3"/>
            <w:tcBorders>
              <w:top w:val="single" w:color="auto" w:sz="12"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空间相对位置/m </w:t>
            </w:r>
          </w:p>
        </w:tc>
        <w:tc>
          <w:tcPr>
            <w:tcW w:w="851" w:type="dxa"/>
            <w:vMerge w:val="restart"/>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851" w:type="dxa"/>
            <w:vMerge w:val="restart"/>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室内边界声级</w:t>
            </w:r>
          </w:p>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c>
          <w:tcPr>
            <w:tcW w:w="991"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运行时段</w:t>
            </w:r>
          </w:p>
        </w:tc>
        <w:tc>
          <w:tcPr>
            <w:tcW w:w="1005" w:type="dxa"/>
            <w:vMerge w:val="restart"/>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建筑物插入损失/dB(A)</w:t>
            </w:r>
          </w:p>
        </w:tc>
        <w:tc>
          <w:tcPr>
            <w:tcW w:w="1655" w:type="dxa"/>
            <w:gridSpan w:val="2"/>
            <w:tcBorders>
              <w:top w:val="single" w:color="auto" w:sz="12" w:space="0"/>
              <w:left w:val="single" w:color="auto" w:sz="4" w:space="0"/>
              <w:bottom w:val="nil"/>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atLeast"/>
        </w:trPr>
        <w:tc>
          <w:tcPr>
            <w:tcW w:w="428" w:type="dxa"/>
            <w:vMerge w:val="continue"/>
            <w:tcBorders>
              <w:top w:val="single" w:color="auto" w:sz="12" w:space="0"/>
              <w:left w:val="nil"/>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1134" w:type="dxa"/>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2268" w:type="dxa"/>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566" w:type="dxa"/>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99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声功率级/dB(A)</w:t>
            </w:r>
          </w:p>
        </w:tc>
        <w:tc>
          <w:tcPr>
            <w:tcW w:w="1420" w:type="dxa"/>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X</w:t>
            </w: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Y</w:t>
            </w: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Z</w:t>
            </w:r>
          </w:p>
        </w:tc>
        <w:tc>
          <w:tcPr>
            <w:tcW w:w="851" w:type="dxa"/>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851" w:type="dxa"/>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991" w:type="dxa"/>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1005" w:type="dxa"/>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声压级</w:t>
            </w:r>
          </w:p>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c>
          <w:tcPr>
            <w:tcW w:w="804" w:type="dxa"/>
            <w:tcBorders>
              <w:top w:val="single" w:color="auto" w:sz="4" w:space="0"/>
              <w:left w:val="single" w:color="auto" w:sz="4" w:space="0"/>
              <w:bottom w:val="single" w:color="auto" w:sz="4" w:space="0"/>
              <w:right w:val="nil"/>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8" w:type="dxa"/>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养殖牛舍1</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养殖牛舍1</w:t>
            </w:r>
            <w:r>
              <w:rPr>
                <w:rFonts w:hint="default" w:ascii="Times New Roman" w:hAnsi="Times New Roman" w:eastAsia="宋体" w:cs="Times New Roman"/>
                <w:color w:val="auto"/>
                <w:sz w:val="21"/>
                <w:szCs w:val="21"/>
              </w:rPr>
              <w:t>点等效声源</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点源</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1420" w:type="dxa"/>
            <w:vMerge w:val="restart"/>
            <w:tcBorders>
              <w:top w:val="single" w:color="auto" w:sz="4" w:space="0"/>
              <w:left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低噪设备，基础减震，厂房隔声等</w:t>
            </w: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124</w:t>
            </w: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72.14</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70</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间断声源</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804" w:type="dxa"/>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8" w:type="dxa"/>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养殖牛舍2</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养殖牛舍2</w:t>
            </w:r>
            <w:r>
              <w:rPr>
                <w:rFonts w:hint="default" w:ascii="Times New Roman" w:hAnsi="Times New Roman" w:eastAsia="宋体" w:cs="Times New Roman"/>
                <w:color w:val="auto"/>
                <w:sz w:val="21"/>
                <w:szCs w:val="21"/>
              </w:rPr>
              <w:t>点等效声源</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点源</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1420" w:type="dxa"/>
            <w:vMerge w:val="continue"/>
            <w:tcBorders>
              <w:left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rPr>
            </w:pP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lang w:val="en-US" w:eastAsia="zh-CN"/>
              </w:rPr>
              <w:t>0</w:t>
            </w: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-99</w:t>
            </w: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61.17</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70</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间断声源</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804" w:type="dxa"/>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8" w:type="dxa"/>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养殖牛舍3</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养殖牛舍3</w:t>
            </w:r>
            <w:r>
              <w:rPr>
                <w:rFonts w:hint="default" w:ascii="Times New Roman" w:hAnsi="Times New Roman" w:eastAsia="宋体" w:cs="Times New Roman"/>
                <w:color w:val="auto"/>
                <w:sz w:val="21"/>
                <w:szCs w:val="21"/>
              </w:rPr>
              <w:t>点等效声源</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default" w:ascii="Times New Roman" w:hAnsi="Times New Roman" w:eastAsia="宋体" w:cs="Times New Roman"/>
                <w:color w:val="auto"/>
                <w:sz w:val="21"/>
                <w:szCs w:val="21"/>
              </w:rPr>
              <w:t>点源</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70</w:t>
            </w:r>
          </w:p>
        </w:tc>
        <w:tc>
          <w:tcPr>
            <w:tcW w:w="1420" w:type="dxa"/>
            <w:vMerge w:val="continue"/>
            <w:tcBorders>
              <w:left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rPr>
            </w:pP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193</w:t>
            </w: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195</w:t>
            </w: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62.02</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85</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间断声源</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804" w:type="dxa"/>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8" w:type="dxa"/>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养殖牛舍4</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养殖牛舍4</w:t>
            </w:r>
            <w:r>
              <w:rPr>
                <w:rFonts w:hint="default" w:ascii="Times New Roman" w:hAnsi="Times New Roman" w:eastAsia="宋体" w:cs="Times New Roman"/>
                <w:color w:val="auto"/>
                <w:sz w:val="21"/>
                <w:szCs w:val="21"/>
              </w:rPr>
              <w:t>点等效声源</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default" w:ascii="Times New Roman" w:hAnsi="Times New Roman" w:eastAsia="宋体" w:cs="Times New Roman"/>
                <w:color w:val="auto"/>
                <w:sz w:val="21"/>
                <w:szCs w:val="21"/>
              </w:rPr>
              <w:t>点源</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70</w:t>
            </w:r>
          </w:p>
        </w:tc>
        <w:tc>
          <w:tcPr>
            <w:tcW w:w="1420" w:type="dxa"/>
            <w:vMerge w:val="continue"/>
            <w:tcBorders>
              <w:left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rPr>
            </w:pP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72</w:t>
            </w: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406</w:t>
            </w: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62.02</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85</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间断声源</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default" w:ascii="Times New Roman" w:hAnsi="Times New Roman" w:eastAsia="宋体" w:cs="Times New Roman"/>
                <w:color w:val="auto"/>
                <w:sz w:val="21"/>
                <w:szCs w:val="21"/>
              </w:rPr>
              <w:t>15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804" w:type="dxa"/>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default" w:ascii="Times New Roman" w:hAnsi="Times New Roman" w:eastAsia="宋体"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8" w:type="dxa"/>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TMR管理中心</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TMR管理中心</w:t>
            </w:r>
            <w:r>
              <w:rPr>
                <w:rFonts w:hint="default" w:ascii="Times New Roman" w:hAnsi="Times New Roman" w:eastAsia="宋体" w:cs="Times New Roman"/>
                <w:color w:val="auto"/>
                <w:sz w:val="21"/>
                <w:szCs w:val="21"/>
              </w:rPr>
              <w:t>等效点声源</w:t>
            </w:r>
          </w:p>
        </w:tc>
        <w:tc>
          <w:tcPr>
            <w:tcW w:w="56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default" w:ascii="Times New Roman" w:hAnsi="Times New Roman" w:eastAsia="宋体" w:cs="Times New Roman"/>
                <w:color w:val="auto"/>
                <w:sz w:val="21"/>
                <w:szCs w:val="21"/>
              </w:rPr>
              <w:t>点源</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85</w:t>
            </w:r>
          </w:p>
        </w:tc>
        <w:tc>
          <w:tcPr>
            <w:tcW w:w="1420" w:type="dxa"/>
            <w:vMerge w:val="continue"/>
            <w:tcBorders>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rPr>
            </w:pPr>
          </w:p>
        </w:tc>
        <w:tc>
          <w:tcPr>
            <w:tcW w:w="65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-9</w:t>
            </w:r>
            <w:r>
              <w:rPr>
                <w:rFonts w:hint="eastAsia" w:ascii="Times New Roman" w:hAnsi="Times New Roman" w:eastAsia="宋体" w:cs="Times New Roman"/>
                <w:color w:val="auto"/>
                <w:sz w:val="21"/>
                <w:szCs w:val="21"/>
                <w:lang w:val="en-US" w:eastAsia="zh-CN"/>
              </w:rPr>
              <w:t>6</w:t>
            </w:r>
          </w:p>
        </w:tc>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24</w:t>
            </w:r>
          </w:p>
        </w:tc>
        <w:tc>
          <w:tcPr>
            <w:tcW w:w="47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62.02</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85</w:t>
            </w:r>
          </w:p>
        </w:tc>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default" w:ascii="Times New Roman" w:hAnsi="Times New Roman" w:eastAsia="宋体" w:cs="Times New Roman"/>
                <w:color w:val="auto"/>
                <w:sz w:val="21"/>
                <w:szCs w:val="21"/>
              </w:rPr>
              <w:t>稳定声源</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default" w:ascii="Times New Roman" w:hAnsi="Times New Roman" w:eastAsia="宋体" w:cs="Times New Roman"/>
                <w:color w:val="auto"/>
                <w:sz w:val="21"/>
                <w:szCs w:val="21"/>
              </w:rPr>
              <w:t>15</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eastAsia"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70</w:t>
            </w:r>
          </w:p>
        </w:tc>
        <w:tc>
          <w:tcPr>
            <w:tcW w:w="804" w:type="dxa"/>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default" w:ascii="Times New Roman" w:hAnsi="Times New Roman" w:eastAsia="宋体" w:cs="Times New Roman"/>
                <w:color w:val="auto"/>
                <w:sz w:val="21"/>
                <w:szCs w:val="21"/>
              </w:rPr>
              <w:t>1</w:t>
            </w:r>
          </w:p>
        </w:tc>
      </w:tr>
    </w:tbl>
    <w:p>
      <w:pPr>
        <w:snapToGrid w:val="0"/>
        <w:spacing w:line="360" w:lineRule="auto"/>
        <w:ind w:firstLine="482" w:firstLineChars="200"/>
        <w:rPr>
          <w:b/>
          <w:color w:val="auto"/>
          <w:sz w:val="24"/>
        </w:rPr>
        <w:sectPr>
          <w:pgSz w:w="16840" w:h="11907" w:orient="landscape"/>
          <w:pgMar w:top="1644" w:right="1588" w:bottom="1531" w:left="1304" w:header="1134" w:footer="1021" w:gutter="0"/>
          <w:pgBorders>
            <w:top w:val="none" w:sz="0" w:space="0"/>
            <w:left w:val="none" w:sz="0" w:space="0"/>
            <w:bottom w:val="none" w:sz="0" w:space="0"/>
            <w:right w:val="none" w:sz="0" w:space="0"/>
          </w:pgBorders>
          <w:pgNumType w:fmt="decimal"/>
          <w:cols w:space="720" w:num="1"/>
        </w:sectPr>
      </w:pPr>
    </w:p>
    <w:p>
      <w:pPr>
        <w:snapToGrid w:val="0"/>
        <w:spacing w:line="360" w:lineRule="auto"/>
        <w:ind w:firstLine="482" w:firstLineChars="200"/>
        <w:rPr>
          <w:rFonts w:hint="default" w:cs="Times New Roman"/>
          <w:b/>
          <w:bCs/>
          <w:color w:val="auto"/>
          <w:kern w:val="0"/>
          <w:sz w:val="24"/>
          <w:szCs w:val="20"/>
          <w:lang w:val="en-US" w:eastAsia="zh-CN" w:bidi="ar-SA"/>
        </w:rPr>
      </w:pPr>
      <w:r>
        <w:rPr>
          <w:rFonts w:hint="eastAsia" w:cs="Times New Roman"/>
          <w:b/>
          <w:bCs/>
          <w:color w:val="auto"/>
          <w:kern w:val="0"/>
          <w:sz w:val="24"/>
          <w:szCs w:val="20"/>
          <w:lang w:val="en-US" w:eastAsia="zh-CN" w:bidi="ar-SA"/>
        </w:rPr>
        <w:t>7、预测模式</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结合项目噪声源的特征及排放特点，根据《环境影响评价技术导则声环境》（HJ2.4-2021）的要求，本次预测评价采用附录B 典型行业噪声预测模型中“B.1工业噪声预测计算模型”以及附录A“户外声传播的衰减”相关方法进行计算。</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本项目固定噪声源包括室外声源、室内声源，根据HJ2.4-2021 的规定，先将室内声源换算为等效室外声源，然后按室外声源预测方法计算预测点处的A声级。</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（1）室内声源等效室外声源声功率级</w:t>
      </w:r>
    </w:p>
    <w:p>
      <w:pPr>
        <w:pStyle w:val="1265"/>
        <w:ind w:firstLine="0" w:firstLineChars="0"/>
        <w:jc w:val="center"/>
        <w:rPr>
          <w:color w:val="auto"/>
        </w:rPr>
      </w:pPr>
      <w:r>
        <w:rPr>
          <w:color w:val="auto"/>
        </w:rPr>
        <w:drawing>
          <wp:inline distT="0" distB="0" distL="114300" distR="114300">
            <wp:extent cx="3441700" cy="1584325"/>
            <wp:effectExtent l="0" t="0" r="6350" b="15875"/>
            <wp:docPr id="10" name="图片 10" descr="d:\Users\李西西\AppData\Local\Temp\ksohtml366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Users\李西西\AppData\Local\Temp\ksohtml3660\wps2.jpg"/>
                    <pic:cNvPicPr>
                      <a:picLocks noChangeAspect="1"/>
                    </pic:cNvPicPr>
                  </pic:nvPicPr>
                  <pic:blipFill>
                    <a:blip r:embed="rId45"/>
                    <a:stretch>
                      <a:fillRect/>
                    </a:stretch>
                  </pic:blipFill>
                  <pic:spPr>
                    <a:xfrm>
                      <a:off x="0" y="0"/>
                      <a:ext cx="3441700" cy="1584325"/>
                    </a:xfrm>
                    <a:prstGeom prst="rect">
                      <a:avLst/>
                    </a:prstGeom>
                    <a:noFill/>
                    <a:ln>
                      <a:noFill/>
                    </a:ln>
                  </pic:spPr>
                </pic:pic>
              </a:graphicData>
            </a:graphic>
          </wp:inline>
        </w:drawing>
      </w:r>
      <w:r>
        <w:rPr>
          <w:color w:val="auto"/>
        </w:rPr>
        <w:t xml:space="preserve"> </w:t>
      </w:r>
    </w:p>
    <w:p>
      <w:pPr>
        <w:pStyle w:val="286"/>
        <w:spacing w:beforeLines="0" w:after="0" w:afterAutospacing="0"/>
        <w:rPr>
          <w:color w:val="auto"/>
        </w:rPr>
      </w:pPr>
      <w:r>
        <w:rPr>
          <w:rFonts w:hint="eastAsia" w:ascii="宋体" w:hAnsi="宋体"/>
          <w:color w:val="auto"/>
        </w:rPr>
        <w:t>图</w:t>
      </w:r>
      <w:r>
        <w:rPr>
          <w:rFonts w:hint="eastAsia"/>
          <w:color w:val="auto"/>
        </w:rPr>
        <w:t xml:space="preserve"> </w:t>
      </w:r>
      <w:r>
        <w:rPr>
          <w:color w:val="auto"/>
        </w:rPr>
        <w:t>6.2</w:t>
      </w:r>
      <w:r>
        <w:rPr>
          <w:color w:val="auto"/>
        </w:rPr>
        <w:noBreakHyphen/>
      </w:r>
      <w:r>
        <w:rPr>
          <w:color w:val="auto"/>
        </w:rPr>
        <w:t xml:space="preserve">2   </w:t>
      </w:r>
      <w:r>
        <w:rPr>
          <w:rFonts w:hint="eastAsia" w:ascii="宋体" w:hAnsi="宋体"/>
          <w:color w:val="auto"/>
        </w:rPr>
        <w:t>室内声源等效为室外声源图例</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如图所示，声源位于室内，室内声源可采用等效室外声源声功率级法进行计算。设靠近开口处（或窗户）室内、室外某倍频带的声压级分别为Lp1和Lp2。若声源所在室内声场为近似扩散声场，则室外的倍频带声压级可按下面公式近似求出：</w:t>
      </w:r>
    </w:p>
    <w:p>
      <w:pPr>
        <w:snapToGrid w:val="0"/>
        <w:spacing w:line="360" w:lineRule="auto"/>
        <w:ind w:firstLine="420" w:firstLineChars="200"/>
        <w:jc w:val="center"/>
        <w:rPr>
          <w:color w:val="auto"/>
        </w:rPr>
      </w:pPr>
      <w:r>
        <w:rPr>
          <w:color w:val="auto"/>
        </w:rPr>
        <w:drawing>
          <wp:inline distT="0" distB="0" distL="114300" distR="114300">
            <wp:extent cx="1375410" cy="244475"/>
            <wp:effectExtent l="0" t="0" r="15240" b="3175"/>
            <wp:docPr id="12" name="图片 11" descr="d:\Users\李西西\AppData\Local\Temp\ksohtml36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d:\Users\李西西\AppData\Local\Temp\ksohtml3660\wps3.jpg"/>
                    <pic:cNvPicPr>
                      <a:picLocks noChangeAspect="1"/>
                    </pic:cNvPicPr>
                  </pic:nvPicPr>
                  <pic:blipFill>
                    <a:blip r:embed="rId46"/>
                    <a:stretch>
                      <a:fillRect/>
                    </a:stretch>
                  </pic:blipFill>
                  <pic:spPr>
                    <a:xfrm>
                      <a:off x="0" y="0"/>
                      <a:ext cx="1375410" cy="244475"/>
                    </a:xfrm>
                    <a:prstGeom prst="rect">
                      <a:avLst/>
                    </a:prstGeom>
                    <a:noFill/>
                    <a:ln>
                      <a:noFill/>
                    </a:ln>
                  </pic:spPr>
                </pic:pic>
              </a:graphicData>
            </a:graphic>
          </wp:inline>
        </w:drawing>
      </w:r>
    </w:p>
    <w:p>
      <w:pPr>
        <w:snapToGrid w:val="0"/>
        <w:spacing w:line="360" w:lineRule="auto"/>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式中：Lp</w:t>
      </w:r>
      <w:r>
        <w:rPr>
          <w:rFonts w:hint="eastAsia" w:cs="Times New Roman"/>
          <w:b w:val="0"/>
          <w:bCs w:val="0"/>
          <w:color w:val="auto"/>
          <w:kern w:val="0"/>
          <w:sz w:val="24"/>
          <w:szCs w:val="20"/>
          <w:vertAlign w:val="subscript"/>
          <w:lang w:val="en-US" w:eastAsia="zh-CN" w:bidi="ar-SA"/>
        </w:rPr>
        <w:t>1</w:t>
      </w:r>
      <w:r>
        <w:rPr>
          <w:rFonts w:hint="eastAsia" w:cs="Times New Roman"/>
          <w:b w:val="0"/>
          <w:bCs w:val="0"/>
          <w:color w:val="auto"/>
          <w:kern w:val="0"/>
          <w:sz w:val="24"/>
          <w:szCs w:val="20"/>
          <w:lang w:val="en-US" w:eastAsia="zh-CN" w:bidi="ar-SA"/>
        </w:rPr>
        <w:t>——靠近开口处（或窗户）室内某倍频带的声压级或A 声级，dB；</w:t>
      </w:r>
    </w:p>
    <w:p>
      <w:pPr>
        <w:snapToGrid w:val="0"/>
        <w:spacing w:line="360" w:lineRule="auto"/>
        <w:ind w:firstLine="720" w:firstLineChars="3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Lp</w:t>
      </w:r>
      <w:r>
        <w:rPr>
          <w:rFonts w:hint="eastAsia" w:cs="Times New Roman"/>
          <w:b w:val="0"/>
          <w:bCs w:val="0"/>
          <w:color w:val="auto"/>
          <w:kern w:val="0"/>
          <w:sz w:val="24"/>
          <w:szCs w:val="20"/>
          <w:vertAlign w:val="subscript"/>
          <w:lang w:val="en-US" w:eastAsia="zh-CN" w:bidi="ar-SA"/>
        </w:rPr>
        <w:t>2</w:t>
      </w:r>
      <w:r>
        <w:rPr>
          <w:rFonts w:hint="eastAsia" w:cs="Times New Roman"/>
          <w:b w:val="0"/>
          <w:bCs w:val="0"/>
          <w:color w:val="auto"/>
          <w:kern w:val="0"/>
          <w:sz w:val="24"/>
          <w:szCs w:val="20"/>
          <w:lang w:val="en-US" w:eastAsia="zh-CN" w:bidi="ar-SA"/>
        </w:rPr>
        <w:t>——靠近开口处（或窗户）室外某倍频带的声压级或A 声级，dB；</w:t>
      </w:r>
    </w:p>
    <w:p>
      <w:pPr>
        <w:snapToGrid w:val="0"/>
        <w:spacing w:line="360" w:lineRule="auto"/>
        <w:ind w:firstLine="720" w:firstLineChars="3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TL——隔墙（或窗户）倍频带的隔声量。</w:t>
      </w:r>
    </w:p>
    <w:p>
      <w:pPr>
        <w:snapToGrid w:val="0"/>
        <w:spacing w:line="360" w:lineRule="auto"/>
        <w:ind w:firstLine="480" w:firstLineChars="200"/>
        <w:jc w:val="both"/>
        <w:rPr>
          <w:rFonts w:hint="eastAsia" w:cs="Times New Roman"/>
          <w:b w:val="0"/>
          <w:bCs w:val="0"/>
          <w:color w:val="auto"/>
          <w:kern w:val="0"/>
          <w:sz w:val="24"/>
          <w:szCs w:val="24"/>
          <w:lang w:val="en-US" w:eastAsia="zh-CN" w:bidi="ar-SA"/>
        </w:rPr>
      </w:pPr>
      <w:r>
        <w:rPr>
          <w:rFonts w:hint="eastAsia" w:cs="Times New Roman"/>
          <w:b w:val="0"/>
          <w:bCs w:val="0"/>
          <w:color w:val="auto"/>
          <w:kern w:val="0"/>
          <w:sz w:val="24"/>
          <w:szCs w:val="24"/>
          <w:lang w:val="en-US" w:eastAsia="zh-CN" w:bidi="ar-SA"/>
        </w:rPr>
        <w:t>然后按下式计算出所有室内声源在围护结构处产生的i 倍频带叠加声压级：</w:t>
      </w:r>
    </w:p>
    <w:p>
      <w:pPr>
        <w:pStyle w:val="1265"/>
        <w:spacing w:line="360" w:lineRule="auto"/>
        <w:ind w:firstLine="0" w:firstLineChars="0"/>
        <w:jc w:val="center"/>
        <w:rPr>
          <w:color w:val="auto"/>
          <w:sz w:val="24"/>
          <w:szCs w:val="24"/>
        </w:rPr>
      </w:pPr>
      <w:r>
        <w:rPr>
          <w:color w:val="auto"/>
          <w:sz w:val="24"/>
          <w:szCs w:val="24"/>
        </w:rPr>
        <w:drawing>
          <wp:inline distT="0" distB="0" distL="114300" distR="114300">
            <wp:extent cx="2209800" cy="316865"/>
            <wp:effectExtent l="0" t="0" r="0" b="6985"/>
            <wp:docPr id="48" name="图片 12" descr="d:\Users\李西西\AppData\Local\Temp\ksohtml36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d:\Users\李西西\AppData\Local\Temp\ksohtml3660\wps4.jpg"/>
                    <pic:cNvPicPr>
                      <a:picLocks noChangeAspect="1"/>
                    </pic:cNvPicPr>
                  </pic:nvPicPr>
                  <pic:blipFill>
                    <a:blip r:embed="rId47"/>
                    <a:stretch>
                      <a:fillRect/>
                    </a:stretch>
                  </pic:blipFill>
                  <pic:spPr>
                    <a:xfrm>
                      <a:off x="0" y="0"/>
                      <a:ext cx="2209800" cy="316865"/>
                    </a:xfrm>
                    <a:prstGeom prst="rect">
                      <a:avLst/>
                    </a:prstGeom>
                    <a:noFill/>
                    <a:ln>
                      <a:noFill/>
                    </a:ln>
                  </pic:spPr>
                </pic:pic>
              </a:graphicData>
            </a:graphic>
          </wp:inline>
        </w:drawing>
      </w:r>
      <w:r>
        <w:rPr>
          <w:color w:val="auto"/>
          <w:sz w:val="24"/>
          <w:szCs w:val="24"/>
        </w:rPr>
        <w:t>)</w:t>
      </w:r>
    </w:p>
    <w:p>
      <w:pPr>
        <w:pStyle w:val="1265"/>
        <w:spacing w:line="360" w:lineRule="auto"/>
        <w:ind w:firstLine="0" w:firstLineChars="0"/>
        <w:jc w:val="both"/>
        <w:rPr>
          <w:color w:val="auto"/>
          <w:sz w:val="24"/>
          <w:szCs w:val="24"/>
        </w:rPr>
      </w:pPr>
      <w:r>
        <w:rPr>
          <w:rFonts w:ascii="宋体" w:hAnsi="宋体"/>
          <w:color w:val="auto"/>
          <w:sz w:val="24"/>
          <w:szCs w:val="24"/>
        </w:rPr>
        <w:t>式中，</w:t>
      </w:r>
      <w:r>
        <w:rPr>
          <w:color w:val="auto"/>
          <w:sz w:val="24"/>
          <w:szCs w:val="24"/>
        </w:rPr>
        <w:drawing>
          <wp:inline distT="0" distB="0" distL="114300" distR="114300">
            <wp:extent cx="760730" cy="189865"/>
            <wp:effectExtent l="0" t="0" r="1270" b="635"/>
            <wp:docPr id="13" name="图片 13" descr="d:\Users\李西西\AppData\Local\Temp\ksohtml36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Users\李西西\AppData\Local\Temp\ksohtml3660\wps5.jpg"/>
                    <pic:cNvPicPr>
                      <a:picLocks noChangeAspect="1"/>
                    </pic:cNvPicPr>
                  </pic:nvPicPr>
                  <pic:blipFill>
                    <a:blip r:embed="rId48"/>
                    <a:stretch>
                      <a:fillRect/>
                    </a:stretch>
                  </pic:blipFill>
                  <pic:spPr>
                    <a:xfrm>
                      <a:off x="0" y="0"/>
                      <a:ext cx="760730" cy="189865"/>
                    </a:xfrm>
                    <a:prstGeom prst="rect">
                      <a:avLst/>
                    </a:prstGeom>
                    <a:noFill/>
                    <a:ln>
                      <a:noFill/>
                    </a:ln>
                  </pic:spPr>
                </pic:pic>
              </a:graphicData>
            </a:graphic>
          </wp:inline>
        </w:drawing>
      </w:r>
      <w:r>
        <w:rPr>
          <w:color w:val="auto"/>
          <w:sz w:val="24"/>
          <w:szCs w:val="24"/>
        </w:rPr>
        <w:t>——</w:t>
      </w:r>
      <w:r>
        <w:rPr>
          <w:rFonts w:hint="eastAsia" w:ascii="宋体" w:hAnsi="宋体"/>
          <w:color w:val="auto"/>
          <w:sz w:val="24"/>
          <w:szCs w:val="24"/>
        </w:rPr>
        <w:t>靠近围护结构处室内</w:t>
      </w:r>
      <w:r>
        <w:rPr>
          <w:rFonts w:hint="eastAsia"/>
          <w:color w:val="auto"/>
          <w:sz w:val="24"/>
          <w:szCs w:val="24"/>
        </w:rPr>
        <w:t xml:space="preserve">N </w:t>
      </w:r>
      <w:r>
        <w:rPr>
          <w:rFonts w:hint="eastAsia" w:ascii="宋体" w:hAnsi="宋体"/>
          <w:color w:val="auto"/>
          <w:sz w:val="24"/>
          <w:szCs w:val="24"/>
        </w:rPr>
        <w:t>个声源</w:t>
      </w:r>
      <w:r>
        <w:rPr>
          <w:rFonts w:hint="eastAsia"/>
          <w:color w:val="auto"/>
          <w:sz w:val="24"/>
          <w:szCs w:val="24"/>
        </w:rPr>
        <w:t>i</w:t>
      </w:r>
      <w:r>
        <w:rPr>
          <w:rFonts w:hint="eastAsia" w:ascii="宋体" w:hAnsi="宋体"/>
          <w:color w:val="auto"/>
          <w:sz w:val="24"/>
          <w:szCs w:val="24"/>
        </w:rPr>
        <w:t>倍频带的叠加声压级，</w:t>
      </w:r>
      <w:r>
        <w:rPr>
          <w:rFonts w:hint="eastAsia"/>
          <w:color w:val="auto"/>
          <w:sz w:val="24"/>
          <w:szCs w:val="24"/>
        </w:rPr>
        <w:t>dB</w:t>
      </w:r>
      <w:r>
        <w:rPr>
          <w:rFonts w:hint="eastAsia" w:ascii="宋体" w:hAnsi="宋体"/>
          <w:color w:val="auto"/>
          <w:sz w:val="24"/>
          <w:szCs w:val="24"/>
        </w:rPr>
        <w:t>；</w:t>
      </w:r>
      <w:r>
        <w:rPr>
          <w:rFonts w:ascii="宋体" w:hAnsi="宋体"/>
          <w:color w:val="auto"/>
          <w:sz w:val="24"/>
          <w:szCs w:val="24"/>
        </w:rPr>
        <w:t>；</w:t>
      </w:r>
    </w:p>
    <w:p>
      <w:pPr>
        <w:pStyle w:val="1265"/>
        <w:spacing w:line="360" w:lineRule="auto"/>
        <w:ind w:firstLine="0" w:firstLineChars="0"/>
        <w:jc w:val="both"/>
        <w:rPr>
          <w:color w:val="auto"/>
          <w:sz w:val="24"/>
          <w:szCs w:val="24"/>
        </w:rPr>
      </w:pPr>
      <w:r>
        <w:rPr>
          <w:color w:val="auto"/>
          <w:sz w:val="24"/>
          <w:szCs w:val="24"/>
        </w:rPr>
        <w:drawing>
          <wp:inline distT="0" distB="0" distL="114300" distR="114300">
            <wp:extent cx="1031875" cy="189865"/>
            <wp:effectExtent l="0" t="0" r="15875" b="635"/>
            <wp:docPr id="14" name="图片 14" descr="d:\Users\李西西\AppData\Local\Temp\ksohtml36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Users\李西西\AppData\Local\Temp\ksohtml3660\wps6.jpg"/>
                    <pic:cNvPicPr>
                      <a:picLocks noChangeAspect="1"/>
                    </pic:cNvPicPr>
                  </pic:nvPicPr>
                  <pic:blipFill>
                    <a:blip r:embed="rId49"/>
                    <a:stretch>
                      <a:fillRect/>
                    </a:stretch>
                  </pic:blipFill>
                  <pic:spPr>
                    <a:xfrm>
                      <a:off x="0" y="0"/>
                      <a:ext cx="1031875" cy="189865"/>
                    </a:xfrm>
                    <a:prstGeom prst="rect">
                      <a:avLst/>
                    </a:prstGeom>
                    <a:noFill/>
                    <a:ln>
                      <a:noFill/>
                    </a:ln>
                  </pic:spPr>
                </pic:pic>
              </a:graphicData>
            </a:graphic>
          </wp:inline>
        </w:drawing>
      </w:r>
      <w:r>
        <w:rPr>
          <w:color w:val="auto"/>
          <w:sz w:val="24"/>
          <w:szCs w:val="24"/>
        </w:rPr>
        <w:t>——</w:t>
      </w:r>
      <w:r>
        <w:rPr>
          <w:rFonts w:hint="eastAsia" w:ascii="宋体" w:hAnsi="宋体"/>
          <w:color w:val="auto"/>
          <w:sz w:val="24"/>
          <w:szCs w:val="24"/>
        </w:rPr>
        <w:t>室内</w:t>
      </w:r>
      <w:r>
        <w:rPr>
          <w:rFonts w:hint="eastAsia"/>
          <w:color w:val="auto"/>
          <w:sz w:val="24"/>
          <w:szCs w:val="24"/>
        </w:rPr>
        <w:t xml:space="preserve">j </w:t>
      </w:r>
      <w:r>
        <w:rPr>
          <w:rFonts w:hint="eastAsia" w:ascii="宋体" w:hAnsi="宋体"/>
          <w:color w:val="auto"/>
          <w:sz w:val="24"/>
          <w:szCs w:val="24"/>
        </w:rPr>
        <w:t>声源</w:t>
      </w:r>
      <w:r>
        <w:rPr>
          <w:rFonts w:hint="eastAsia"/>
          <w:color w:val="auto"/>
          <w:sz w:val="24"/>
          <w:szCs w:val="24"/>
        </w:rPr>
        <w:t>i</w:t>
      </w:r>
      <w:r>
        <w:rPr>
          <w:rFonts w:hint="eastAsia" w:ascii="宋体" w:hAnsi="宋体"/>
          <w:color w:val="auto"/>
          <w:sz w:val="24"/>
          <w:szCs w:val="24"/>
        </w:rPr>
        <w:t>倍频带的声压级，</w:t>
      </w:r>
      <w:r>
        <w:rPr>
          <w:rFonts w:hint="eastAsia"/>
          <w:color w:val="auto"/>
          <w:sz w:val="24"/>
          <w:szCs w:val="24"/>
        </w:rPr>
        <w:t>dB</w:t>
      </w:r>
      <w:r>
        <w:rPr>
          <w:rFonts w:ascii="宋体" w:hAnsi="宋体"/>
          <w:color w:val="auto"/>
          <w:sz w:val="24"/>
          <w:szCs w:val="24"/>
        </w:rPr>
        <w:t>；</w:t>
      </w:r>
    </w:p>
    <w:p>
      <w:pPr>
        <w:pStyle w:val="1265"/>
        <w:spacing w:line="360" w:lineRule="auto"/>
        <w:ind w:firstLine="1200" w:firstLineChars="500"/>
        <w:jc w:val="both"/>
        <w:rPr>
          <w:color w:val="auto"/>
          <w:sz w:val="24"/>
          <w:szCs w:val="24"/>
        </w:rPr>
      </w:pPr>
      <w:r>
        <w:rPr>
          <w:color w:val="auto"/>
          <w:sz w:val="24"/>
          <w:szCs w:val="24"/>
        </w:rPr>
        <w:t>N——</w:t>
      </w:r>
      <w:r>
        <w:rPr>
          <w:rFonts w:ascii="宋体" w:hAnsi="宋体"/>
          <w:color w:val="auto"/>
          <w:sz w:val="24"/>
          <w:szCs w:val="24"/>
        </w:rPr>
        <w:t>室</w:t>
      </w:r>
      <w:r>
        <w:rPr>
          <w:rFonts w:hint="eastAsia" w:ascii="宋体" w:hAnsi="宋体"/>
          <w:color w:val="auto"/>
          <w:sz w:val="24"/>
          <w:szCs w:val="24"/>
        </w:rPr>
        <w:t>内</w:t>
      </w:r>
      <w:r>
        <w:rPr>
          <w:rFonts w:ascii="宋体" w:hAnsi="宋体"/>
          <w:color w:val="auto"/>
          <w:sz w:val="24"/>
          <w:szCs w:val="24"/>
        </w:rPr>
        <w:t>声源</w:t>
      </w:r>
      <w:r>
        <w:rPr>
          <w:rFonts w:hint="eastAsia" w:ascii="宋体" w:hAnsi="宋体"/>
          <w:color w:val="auto"/>
          <w:sz w:val="24"/>
          <w:szCs w:val="24"/>
        </w:rPr>
        <w:t>总</w:t>
      </w:r>
      <w:r>
        <w:rPr>
          <w:rFonts w:ascii="宋体" w:hAnsi="宋体"/>
          <w:color w:val="auto"/>
          <w:sz w:val="24"/>
          <w:szCs w:val="24"/>
        </w:rPr>
        <w:t>数。</w:t>
      </w:r>
    </w:p>
    <w:p>
      <w:pPr>
        <w:pStyle w:val="1265"/>
        <w:spacing w:line="360" w:lineRule="auto"/>
        <w:ind w:firstLine="480" w:firstLineChars="200"/>
        <w:jc w:val="both"/>
        <w:rPr>
          <w:color w:val="auto"/>
          <w:sz w:val="24"/>
          <w:szCs w:val="24"/>
        </w:rPr>
      </w:pPr>
      <w:r>
        <w:rPr>
          <w:rFonts w:hint="eastAsia" w:ascii="宋体" w:hAnsi="宋体"/>
          <w:color w:val="auto"/>
          <w:sz w:val="24"/>
          <w:szCs w:val="24"/>
        </w:rPr>
        <w:t>在室内近似为扩散声场时，按下面公式计算出靠近室外围护结构处的声压级；</w:t>
      </w:r>
    </w:p>
    <w:p>
      <w:pPr>
        <w:pStyle w:val="1265"/>
        <w:spacing w:line="360" w:lineRule="auto"/>
        <w:ind w:firstLine="0" w:firstLineChars="0"/>
        <w:jc w:val="center"/>
        <w:rPr>
          <w:color w:val="auto"/>
          <w:sz w:val="24"/>
          <w:szCs w:val="24"/>
        </w:rPr>
      </w:pPr>
      <w:r>
        <w:rPr>
          <w:color w:val="auto"/>
          <w:sz w:val="24"/>
          <w:szCs w:val="24"/>
        </w:rPr>
        <w:drawing>
          <wp:inline distT="0" distB="0" distL="114300" distR="114300">
            <wp:extent cx="1901825" cy="244475"/>
            <wp:effectExtent l="0" t="0" r="3175" b="3175"/>
            <wp:docPr id="15" name="图片 15" descr="d:\Users\李西西\AppData\Local\Temp\ksohtml36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Users\李西西\AppData\Local\Temp\ksohtml3660\wps7.jpg"/>
                    <pic:cNvPicPr>
                      <a:picLocks noChangeAspect="1"/>
                    </pic:cNvPicPr>
                  </pic:nvPicPr>
                  <pic:blipFill>
                    <a:blip r:embed="rId50"/>
                    <a:stretch>
                      <a:fillRect/>
                    </a:stretch>
                  </pic:blipFill>
                  <pic:spPr>
                    <a:xfrm>
                      <a:off x="0" y="0"/>
                      <a:ext cx="1901825" cy="244475"/>
                    </a:xfrm>
                    <a:prstGeom prst="rect">
                      <a:avLst/>
                    </a:prstGeom>
                    <a:noFill/>
                    <a:ln>
                      <a:noFill/>
                    </a:ln>
                  </pic:spPr>
                </pic:pic>
              </a:graphicData>
            </a:graphic>
          </wp:inline>
        </w:drawing>
      </w:r>
    </w:p>
    <w:p>
      <w:pPr>
        <w:pStyle w:val="1265"/>
        <w:spacing w:line="360" w:lineRule="auto"/>
        <w:ind w:firstLine="0" w:firstLineChars="0"/>
        <w:jc w:val="both"/>
        <w:rPr>
          <w:color w:val="auto"/>
          <w:sz w:val="24"/>
          <w:szCs w:val="24"/>
        </w:rPr>
      </w:pPr>
      <w:r>
        <w:rPr>
          <w:rFonts w:hint="eastAsia" w:ascii="宋体" w:hAnsi="宋体"/>
          <w:color w:val="auto"/>
          <w:sz w:val="24"/>
          <w:szCs w:val="24"/>
        </w:rPr>
        <w:t>式中：</w:t>
      </w:r>
      <w:r>
        <w:rPr>
          <w:color w:val="auto"/>
          <w:sz w:val="24"/>
          <w:szCs w:val="24"/>
        </w:rPr>
        <w:drawing>
          <wp:inline distT="0" distB="0" distL="114300" distR="114300">
            <wp:extent cx="760730" cy="172085"/>
            <wp:effectExtent l="0" t="0" r="1270" b="18415"/>
            <wp:docPr id="38" name="图片 16" descr="d:\Users\李西西\AppData\Local\Temp\ksohtml36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d:\Users\李西西\AppData\Local\Temp\ksohtml3660\wps8.jpg"/>
                    <pic:cNvPicPr>
                      <a:picLocks noChangeAspect="1"/>
                    </pic:cNvPicPr>
                  </pic:nvPicPr>
                  <pic:blipFill>
                    <a:blip r:embed="rId51"/>
                    <a:stretch>
                      <a:fillRect/>
                    </a:stretch>
                  </pic:blipFill>
                  <pic:spPr>
                    <a:xfrm>
                      <a:off x="0" y="0"/>
                      <a:ext cx="760730" cy="172085"/>
                    </a:xfrm>
                    <a:prstGeom prst="rect">
                      <a:avLst/>
                    </a:prstGeom>
                    <a:noFill/>
                    <a:ln>
                      <a:noFill/>
                    </a:ln>
                  </pic:spPr>
                </pic:pic>
              </a:graphicData>
            </a:graphic>
          </wp:inline>
        </w:drawing>
      </w:r>
      <w:r>
        <w:rPr>
          <w:color w:val="auto"/>
          <w:sz w:val="24"/>
          <w:szCs w:val="24"/>
        </w:rPr>
        <w:t>——</w:t>
      </w:r>
      <w:r>
        <w:rPr>
          <w:rFonts w:hint="eastAsia" w:ascii="宋体" w:hAnsi="宋体"/>
          <w:color w:val="auto"/>
          <w:sz w:val="24"/>
          <w:szCs w:val="24"/>
        </w:rPr>
        <w:t>靠近围护结构处室外</w:t>
      </w:r>
      <w:r>
        <w:rPr>
          <w:rFonts w:hint="eastAsia"/>
          <w:color w:val="auto"/>
          <w:sz w:val="24"/>
          <w:szCs w:val="24"/>
        </w:rPr>
        <w:t xml:space="preserve">N </w:t>
      </w:r>
      <w:r>
        <w:rPr>
          <w:rFonts w:hint="eastAsia" w:ascii="宋体" w:hAnsi="宋体"/>
          <w:color w:val="auto"/>
          <w:sz w:val="24"/>
          <w:szCs w:val="24"/>
        </w:rPr>
        <w:t>个声源</w:t>
      </w:r>
      <w:r>
        <w:rPr>
          <w:rFonts w:hint="eastAsia"/>
          <w:color w:val="auto"/>
          <w:sz w:val="24"/>
          <w:szCs w:val="24"/>
        </w:rPr>
        <w:t>i</w:t>
      </w:r>
      <w:r>
        <w:rPr>
          <w:rFonts w:hint="eastAsia" w:ascii="宋体" w:hAnsi="宋体"/>
          <w:color w:val="auto"/>
          <w:sz w:val="24"/>
          <w:szCs w:val="24"/>
        </w:rPr>
        <w:t>倍频带的叠加声压级，</w:t>
      </w:r>
      <w:r>
        <w:rPr>
          <w:rFonts w:hint="eastAsia"/>
          <w:color w:val="auto"/>
          <w:sz w:val="24"/>
          <w:szCs w:val="24"/>
        </w:rPr>
        <w:t>dB</w:t>
      </w:r>
      <w:r>
        <w:rPr>
          <w:rFonts w:hint="eastAsia" w:ascii="宋体" w:hAnsi="宋体"/>
          <w:color w:val="auto"/>
          <w:sz w:val="24"/>
          <w:szCs w:val="24"/>
        </w:rPr>
        <w:t>；</w:t>
      </w:r>
    </w:p>
    <w:p>
      <w:pPr>
        <w:pStyle w:val="1265"/>
        <w:spacing w:line="360" w:lineRule="auto"/>
        <w:ind w:firstLine="0" w:firstLineChars="0"/>
        <w:jc w:val="both"/>
        <w:rPr>
          <w:color w:val="auto"/>
          <w:sz w:val="24"/>
          <w:szCs w:val="24"/>
        </w:rPr>
      </w:pPr>
      <w:r>
        <w:rPr>
          <w:color w:val="auto"/>
          <w:sz w:val="24"/>
          <w:szCs w:val="24"/>
        </w:rPr>
        <w:drawing>
          <wp:inline distT="0" distB="0" distL="114300" distR="114300">
            <wp:extent cx="1221740" cy="172085"/>
            <wp:effectExtent l="0" t="0" r="16510" b="18415"/>
            <wp:docPr id="17" name="图片 17" descr="d:\Users\李西西\AppData\Local\Temp\ksohtml36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Users\李西西\AppData\Local\Temp\ksohtml3660\wps9.jpg"/>
                    <pic:cNvPicPr>
                      <a:picLocks noChangeAspect="1"/>
                    </pic:cNvPicPr>
                  </pic:nvPicPr>
                  <pic:blipFill>
                    <a:blip r:embed="rId52"/>
                    <a:stretch>
                      <a:fillRect/>
                    </a:stretch>
                  </pic:blipFill>
                  <pic:spPr>
                    <a:xfrm>
                      <a:off x="0" y="0"/>
                      <a:ext cx="1221740" cy="172085"/>
                    </a:xfrm>
                    <a:prstGeom prst="rect">
                      <a:avLst/>
                    </a:prstGeom>
                    <a:noFill/>
                    <a:ln>
                      <a:noFill/>
                    </a:ln>
                  </pic:spPr>
                </pic:pic>
              </a:graphicData>
            </a:graphic>
          </wp:inline>
        </w:drawing>
      </w:r>
      <w:r>
        <w:rPr>
          <w:color w:val="auto"/>
          <w:sz w:val="24"/>
          <w:szCs w:val="24"/>
        </w:rPr>
        <w:t>——</w:t>
      </w:r>
      <w:r>
        <w:rPr>
          <w:rFonts w:hint="eastAsia" w:ascii="宋体" w:hAnsi="宋体"/>
          <w:color w:val="auto"/>
          <w:sz w:val="24"/>
          <w:szCs w:val="24"/>
        </w:rPr>
        <w:t>靠近围护结构处室内</w:t>
      </w:r>
      <w:r>
        <w:rPr>
          <w:rFonts w:hint="eastAsia"/>
          <w:color w:val="auto"/>
          <w:sz w:val="24"/>
          <w:szCs w:val="24"/>
        </w:rPr>
        <w:t xml:space="preserve">N </w:t>
      </w:r>
      <w:r>
        <w:rPr>
          <w:rFonts w:hint="eastAsia" w:ascii="宋体" w:hAnsi="宋体"/>
          <w:color w:val="auto"/>
          <w:sz w:val="24"/>
          <w:szCs w:val="24"/>
        </w:rPr>
        <w:t>个声源</w:t>
      </w:r>
      <w:r>
        <w:rPr>
          <w:rFonts w:hint="eastAsia"/>
          <w:color w:val="auto"/>
          <w:sz w:val="24"/>
          <w:szCs w:val="24"/>
        </w:rPr>
        <w:t>i</w:t>
      </w:r>
      <w:r>
        <w:rPr>
          <w:rFonts w:hint="eastAsia" w:ascii="宋体" w:hAnsi="宋体"/>
          <w:color w:val="auto"/>
          <w:sz w:val="24"/>
          <w:szCs w:val="24"/>
        </w:rPr>
        <w:t>倍频带的叠加声压级，</w:t>
      </w:r>
      <w:r>
        <w:rPr>
          <w:rFonts w:hint="eastAsia"/>
          <w:color w:val="auto"/>
          <w:sz w:val="24"/>
          <w:szCs w:val="24"/>
        </w:rPr>
        <w:t>dB</w:t>
      </w:r>
      <w:r>
        <w:rPr>
          <w:rFonts w:hint="eastAsia" w:ascii="宋体" w:hAnsi="宋体"/>
          <w:color w:val="auto"/>
          <w:sz w:val="24"/>
          <w:szCs w:val="24"/>
        </w:rPr>
        <w:t>；</w:t>
      </w:r>
    </w:p>
    <w:p>
      <w:pPr>
        <w:pStyle w:val="1265"/>
        <w:spacing w:line="360" w:lineRule="auto"/>
        <w:ind w:firstLine="0" w:firstLineChars="0"/>
        <w:jc w:val="both"/>
        <w:rPr>
          <w:color w:val="auto"/>
          <w:sz w:val="24"/>
          <w:szCs w:val="24"/>
        </w:rPr>
      </w:pPr>
      <w:r>
        <w:rPr>
          <w:color w:val="auto"/>
          <w:sz w:val="24"/>
          <w:szCs w:val="24"/>
        </w:rPr>
        <w:drawing>
          <wp:inline distT="0" distB="0" distL="114300" distR="114300">
            <wp:extent cx="968375" cy="172085"/>
            <wp:effectExtent l="0" t="0" r="3175" b="18415"/>
            <wp:docPr id="19" name="图片 18" descr="d:\Users\李西西\AppData\Local\Temp\ksohtml36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d:\Users\李西西\AppData\Local\Temp\ksohtml3660\wps10.jpg"/>
                    <pic:cNvPicPr>
                      <a:picLocks noChangeAspect="1"/>
                    </pic:cNvPicPr>
                  </pic:nvPicPr>
                  <pic:blipFill>
                    <a:blip r:embed="rId53"/>
                    <a:stretch>
                      <a:fillRect/>
                    </a:stretch>
                  </pic:blipFill>
                  <pic:spPr>
                    <a:xfrm>
                      <a:off x="0" y="0"/>
                      <a:ext cx="968375" cy="172085"/>
                    </a:xfrm>
                    <a:prstGeom prst="rect">
                      <a:avLst/>
                    </a:prstGeom>
                    <a:noFill/>
                    <a:ln>
                      <a:noFill/>
                    </a:ln>
                  </pic:spPr>
                </pic:pic>
              </a:graphicData>
            </a:graphic>
          </wp:inline>
        </w:drawing>
      </w:r>
      <w:r>
        <w:rPr>
          <w:color w:val="auto"/>
          <w:sz w:val="24"/>
          <w:szCs w:val="24"/>
        </w:rPr>
        <w:t>——</w:t>
      </w:r>
      <w:r>
        <w:rPr>
          <w:rFonts w:hint="eastAsia" w:ascii="宋体" w:hAnsi="宋体"/>
          <w:color w:val="auto"/>
          <w:sz w:val="24"/>
          <w:szCs w:val="24"/>
        </w:rPr>
        <w:t>围护结构</w:t>
      </w:r>
      <w:r>
        <w:rPr>
          <w:rFonts w:hint="eastAsia"/>
          <w:color w:val="auto"/>
          <w:sz w:val="24"/>
          <w:szCs w:val="24"/>
        </w:rPr>
        <w:t>i</w:t>
      </w:r>
      <w:r>
        <w:rPr>
          <w:rFonts w:hint="eastAsia" w:ascii="宋体" w:hAnsi="宋体"/>
          <w:color w:val="auto"/>
          <w:sz w:val="24"/>
          <w:szCs w:val="24"/>
        </w:rPr>
        <w:t>倍频带的隔声量，</w:t>
      </w:r>
      <w:r>
        <w:rPr>
          <w:rFonts w:hint="eastAsia"/>
          <w:color w:val="auto"/>
          <w:sz w:val="24"/>
          <w:szCs w:val="24"/>
        </w:rPr>
        <w:t>dB</w:t>
      </w:r>
      <w:r>
        <w:rPr>
          <w:rFonts w:hint="eastAsia" w:ascii="宋体" w:hAnsi="宋体"/>
          <w:color w:val="auto"/>
          <w:sz w:val="24"/>
          <w:szCs w:val="24"/>
        </w:rPr>
        <w:t>。</w:t>
      </w:r>
    </w:p>
    <w:p>
      <w:pPr>
        <w:pStyle w:val="1265"/>
        <w:spacing w:line="360" w:lineRule="auto"/>
        <w:ind w:firstLine="480" w:firstLineChars="200"/>
        <w:jc w:val="both"/>
        <w:rPr>
          <w:color w:val="auto"/>
          <w:sz w:val="24"/>
          <w:szCs w:val="24"/>
        </w:rPr>
      </w:pPr>
      <w:r>
        <w:rPr>
          <w:rFonts w:hint="eastAsia" w:ascii="宋体" w:hAnsi="宋体"/>
          <w:color w:val="auto"/>
          <w:sz w:val="24"/>
          <w:szCs w:val="24"/>
        </w:rPr>
        <w:t>然后按下式将室外声源的声压级和透过面积换算成等效的室外声源，计算出中心位置于透声面积（</w:t>
      </w:r>
      <w:r>
        <w:rPr>
          <w:rFonts w:hint="eastAsia"/>
          <w:color w:val="auto"/>
          <w:sz w:val="24"/>
          <w:szCs w:val="24"/>
        </w:rPr>
        <w:t>S</w:t>
      </w:r>
      <w:r>
        <w:rPr>
          <w:rFonts w:hint="eastAsia" w:ascii="宋体" w:hAnsi="宋体"/>
          <w:color w:val="auto"/>
          <w:sz w:val="24"/>
          <w:szCs w:val="24"/>
        </w:rPr>
        <w:t>）处的等效声源的倍频带声功率级。</w:t>
      </w:r>
    </w:p>
    <w:p>
      <w:pPr>
        <w:pStyle w:val="1265"/>
        <w:spacing w:line="360" w:lineRule="auto"/>
        <w:ind w:firstLine="0" w:firstLineChars="0"/>
        <w:jc w:val="center"/>
        <w:rPr>
          <w:color w:val="auto"/>
          <w:sz w:val="24"/>
          <w:szCs w:val="24"/>
        </w:rPr>
      </w:pPr>
      <w:r>
        <w:rPr>
          <w:color w:val="auto"/>
          <w:sz w:val="24"/>
          <w:szCs w:val="24"/>
        </w:rPr>
        <w:drawing>
          <wp:inline distT="0" distB="0" distL="114300" distR="114300">
            <wp:extent cx="1322070" cy="325755"/>
            <wp:effectExtent l="0" t="0" r="11430" b="17145"/>
            <wp:docPr id="34" name="图片 19" descr="d:\Users\李西西\AppData\Local\Temp\ksohtml36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descr="d:\Users\李西西\AppData\Local\Temp\ksohtml3660\wps11.jpg"/>
                    <pic:cNvPicPr>
                      <a:picLocks noChangeAspect="1"/>
                    </pic:cNvPicPr>
                  </pic:nvPicPr>
                  <pic:blipFill>
                    <a:blip r:embed="rId54"/>
                    <a:stretch>
                      <a:fillRect/>
                    </a:stretch>
                  </pic:blipFill>
                  <pic:spPr>
                    <a:xfrm>
                      <a:off x="0" y="0"/>
                      <a:ext cx="1322070" cy="325755"/>
                    </a:xfrm>
                    <a:prstGeom prst="rect">
                      <a:avLst/>
                    </a:prstGeom>
                    <a:noFill/>
                    <a:ln>
                      <a:noFill/>
                    </a:ln>
                  </pic:spPr>
                </pic:pic>
              </a:graphicData>
            </a:graphic>
          </wp:inline>
        </w:drawing>
      </w:r>
    </w:p>
    <w:p>
      <w:pPr>
        <w:pStyle w:val="1265"/>
        <w:spacing w:line="360" w:lineRule="auto"/>
        <w:ind w:firstLine="0" w:firstLineChars="0"/>
        <w:jc w:val="both"/>
        <w:rPr>
          <w:color w:val="auto"/>
          <w:sz w:val="24"/>
          <w:szCs w:val="24"/>
        </w:rPr>
      </w:pPr>
      <w:r>
        <w:rPr>
          <w:rFonts w:hint="eastAsia" w:ascii="宋体" w:hAnsi="宋体"/>
          <w:color w:val="auto"/>
          <w:sz w:val="24"/>
          <w:szCs w:val="24"/>
        </w:rPr>
        <w:t>式中：</w:t>
      </w:r>
      <w:r>
        <w:rPr>
          <w:color w:val="auto"/>
          <w:sz w:val="24"/>
          <w:szCs w:val="24"/>
        </w:rPr>
        <w:drawing>
          <wp:inline distT="0" distB="0" distL="114300" distR="114300">
            <wp:extent cx="470535" cy="172085"/>
            <wp:effectExtent l="0" t="0" r="5715" b="18415"/>
            <wp:docPr id="36" name="图片 20" descr="d:\Users\李西西\AppData\Local\Temp\ksohtml36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d:\Users\李西西\AppData\Local\Temp\ksohtml3660\wps12.jpg"/>
                    <pic:cNvPicPr>
                      <a:picLocks noChangeAspect="1"/>
                    </pic:cNvPicPr>
                  </pic:nvPicPr>
                  <pic:blipFill>
                    <a:blip r:embed="rId55"/>
                    <a:stretch>
                      <a:fillRect/>
                    </a:stretch>
                  </pic:blipFill>
                  <pic:spPr>
                    <a:xfrm>
                      <a:off x="0" y="0"/>
                      <a:ext cx="470535" cy="172085"/>
                    </a:xfrm>
                    <a:prstGeom prst="rect">
                      <a:avLst/>
                    </a:prstGeom>
                    <a:noFill/>
                    <a:ln>
                      <a:noFill/>
                    </a:ln>
                  </pic:spPr>
                </pic:pic>
              </a:graphicData>
            </a:graphic>
          </wp:inline>
        </w:drawing>
      </w:r>
      <w:r>
        <w:rPr>
          <w:color w:val="auto"/>
          <w:sz w:val="24"/>
          <w:szCs w:val="24"/>
        </w:rPr>
        <w:t>——</w:t>
      </w:r>
      <w:r>
        <w:rPr>
          <w:rFonts w:hint="eastAsia" w:ascii="宋体" w:hAnsi="宋体"/>
          <w:color w:val="auto"/>
          <w:sz w:val="24"/>
          <w:szCs w:val="24"/>
        </w:rPr>
        <w:t>中心位置位于透声面积（</w:t>
      </w:r>
      <w:r>
        <w:rPr>
          <w:rFonts w:hint="eastAsia"/>
          <w:color w:val="auto"/>
          <w:sz w:val="24"/>
          <w:szCs w:val="24"/>
        </w:rPr>
        <w:t>S</w:t>
      </w:r>
      <w:r>
        <w:rPr>
          <w:rFonts w:hint="eastAsia" w:ascii="宋体" w:hAnsi="宋体"/>
          <w:color w:val="auto"/>
          <w:sz w:val="24"/>
          <w:szCs w:val="24"/>
        </w:rPr>
        <w:t>）处的等效声源的倍频声带功率计，</w:t>
      </w:r>
      <w:r>
        <w:rPr>
          <w:rFonts w:hint="eastAsia"/>
          <w:color w:val="auto"/>
          <w:sz w:val="24"/>
          <w:szCs w:val="24"/>
        </w:rPr>
        <w:t>dB</w:t>
      </w:r>
      <w:r>
        <w:rPr>
          <w:rFonts w:hint="eastAsia" w:ascii="宋体" w:hAnsi="宋体"/>
          <w:color w:val="auto"/>
          <w:sz w:val="24"/>
          <w:szCs w:val="24"/>
        </w:rPr>
        <w:t>；</w:t>
      </w:r>
    </w:p>
    <w:p>
      <w:pPr>
        <w:pStyle w:val="1265"/>
        <w:spacing w:line="360" w:lineRule="auto"/>
        <w:ind w:firstLine="0" w:firstLineChars="0"/>
        <w:jc w:val="both"/>
        <w:rPr>
          <w:color w:val="auto"/>
          <w:sz w:val="24"/>
          <w:szCs w:val="24"/>
        </w:rPr>
      </w:pPr>
      <w:r>
        <w:rPr>
          <w:color w:val="auto"/>
          <w:sz w:val="24"/>
          <w:szCs w:val="24"/>
        </w:rPr>
        <w:drawing>
          <wp:inline distT="0" distB="0" distL="114300" distR="114300">
            <wp:extent cx="1186180" cy="172085"/>
            <wp:effectExtent l="0" t="0" r="13970" b="18415"/>
            <wp:docPr id="44" name="图片 21" descr="d:\Users\李西西\AppData\Local\Temp\ksohtml36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descr="d:\Users\李西西\AppData\Local\Temp\ksohtml3660\wps13.jpg"/>
                    <pic:cNvPicPr>
                      <a:picLocks noChangeAspect="1"/>
                    </pic:cNvPicPr>
                  </pic:nvPicPr>
                  <pic:blipFill>
                    <a:blip r:embed="rId56"/>
                    <a:stretch>
                      <a:fillRect/>
                    </a:stretch>
                  </pic:blipFill>
                  <pic:spPr>
                    <a:xfrm>
                      <a:off x="0" y="0"/>
                      <a:ext cx="1186180" cy="172085"/>
                    </a:xfrm>
                    <a:prstGeom prst="rect">
                      <a:avLst/>
                    </a:prstGeom>
                    <a:noFill/>
                    <a:ln>
                      <a:noFill/>
                    </a:ln>
                  </pic:spPr>
                </pic:pic>
              </a:graphicData>
            </a:graphic>
          </wp:inline>
        </w:drawing>
      </w:r>
      <w:r>
        <w:rPr>
          <w:color w:val="auto"/>
          <w:sz w:val="24"/>
          <w:szCs w:val="24"/>
        </w:rPr>
        <w:t>——</w:t>
      </w:r>
      <w:r>
        <w:rPr>
          <w:rFonts w:hint="eastAsia" w:ascii="宋体" w:hAnsi="宋体"/>
          <w:color w:val="auto"/>
          <w:sz w:val="24"/>
          <w:szCs w:val="24"/>
        </w:rPr>
        <w:t>靠近围护结构处室外声源的声压级，</w:t>
      </w:r>
      <w:r>
        <w:rPr>
          <w:rFonts w:hint="eastAsia"/>
          <w:color w:val="auto"/>
          <w:sz w:val="24"/>
          <w:szCs w:val="24"/>
        </w:rPr>
        <w:t>dB</w:t>
      </w:r>
      <w:r>
        <w:rPr>
          <w:rFonts w:hint="eastAsia" w:ascii="宋体" w:hAnsi="宋体"/>
          <w:color w:val="auto"/>
          <w:sz w:val="24"/>
          <w:szCs w:val="24"/>
        </w:rPr>
        <w:t>；</w:t>
      </w:r>
    </w:p>
    <w:p>
      <w:pPr>
        <w:pStyle w:val="1265"/>
        <w:spacing w:line="360" w:lineRule="auto"/>
        <w:ind w:firstLine="0" w:firstLineChars="0"/>
        <w:jc w:val="both"/>
        <w:rPr>
          <w:color w:val="auto"/>
          <w:sz w:val="24"/>
          <w:szCs w:val="24"/>
        </w:rPr>
      </w:pPr>
      <w:r>
        <w:rPr>
          <w:rFonts w:hint="eastAsia"/>
          <w:color w:val="auto"/>
          <w:sz w:val="24"/>
          <w:szCs w:val="24"/>
        </w:rPr>
        <w:t>S</w:t>
      </w:r>
      <w:r>
        <w:rPr>
          <w:color w:val="auto"/>
          <w:sz w:val="24"/>
          <w:szCs w:val="24"/>
        </w:rPr>
        <w:t>——</w:t>
      </w:r>
      <w:r>
        <w:rPr>
          <w:rFonts w:hint="eastAsia" w:ascii="宋体" w:hAnsi="宋体"/>
          <w:color w:val="auto"/>
          <w:sz w:val="24"/>
          <w:szCs w:val="24"/>
        </w:rPr>
        <w:t>透声面积，</w:t>
      </w:r>
      <w:r>
        <w:rPr>
          <w:rFonts w:hint="eastAsia"/>
          <w:color w:val="auto"/>
          <w:sz w:val="24"/>
          <w:szCs w:val="24"/>
        </w:rPr>
        <w:t>m</w:t>
      </w:r>
      <w:r>
        <w:rPr>
          <w:rFonts w:hint="eastAsia"/>
          <w:color w:val="auto"/>
          <w:sz w:val="24"/>
          <w:szCs w:val="24"/>
          <w:vertAlign w:val="superscript"/>
        </w:rPr>
        <w:t>2</w:t>
      </w:r>
      <w:r>
        <w:rPr>
          <w:rFonts w:hint="eastAsia" w:ascii="宋体" w:hAnsi="宋体"/>
          <w:color w:val="auto"/>
          <w:sz w:val="24"/>
          <w:szCs w:val="24"/>
        </w:rPr>
        <w:t>。</w:t>
      </w:r>
    </w:p>
    <w:p>
      <w:pPr>
        <w:pStyle w:val="1265"/>
        <w:spacing w:line="360" w:lineRule="auto"/>
        <w:ind w:firstLine="240" w:firstLineChars="100"/>
        <w:jc w:val="both"/>
        <w:rPr>
          <w:color w:val="auto"/>
        </w:rPr>
      </w:pPr>
      <w:r>
        <w:rPr>
          <w:rFonts w:hint="eastAsia" w:ascii="宋体" w:hAnsi="宋体"/>
          <w:color w:val="auto"/>
          <w:sz w:val="24"/>
          <w:szCs w:val="24"/>
        </w:rPr>
        <w:t>然后按室外声源预测方法计处预测点处的</w:t>
      </w:r>
      <w:r>
        <w:rPr>
          <w:rFonts w:hint="eastAsia"/>
          <w:color w:val="auto"/>
          <w:sz w:val="24"/>
          <w:szCs w:val="24"/>
        </w:rPr>
        <w:t xml:space="preserve">A </w:t>
      </w:r>
      <w:r>
        <w:rPr>
          <w:rFonts w:hint="eastAsia" w:ascii="宋体" w:hAnsi="宋体"/>
          <w:color w:val="auto"/>
          <w:sz w:val="24"/>
          <w:szCs w:val="24"/>
        </w:rPr>
        <w:t>声级。</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（2）室外声源在预测点产生的声级</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① 基本公式</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户外声传播衰减包括几何发散（</w:t>
      </w:r>
      <w:r>
        <w:rPr>
          <w:rFonts w:hint="eastAsia" w:cs="Times New Roman"/>
          <w:b w:val="0"/>
          <w:bCs w:val="0"/>
          <w:color w:val="auto"/>
          <w:kern w:val="0"/>
          <w:sz w:val="24"/>
          <w:szCs w:val="20"/>
          <w:lang w:val="en-US" w:eastAsia="zh-CN" w:bidi="ar-SA"/>
        </w:rPr>
        <w:drawing>
          <wp:inline distT="0" distB="0" distL="114300" distR="114300">
            <wp:extent cx="552450" cy="172085"/>
            <wp:effectExtent l="0" t="0" r="0" b="18415"/>
            <wp:docPr id="35" name="图片 22" descr="d:\Users\李西西\AppData\Local\Temp\ksohtml36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d:\Users\李西西\AppData\Local\Temp\ksohtml3660\wps14.jpg"/>
                    <pic:cNvPicPr>
                      <a:picLocks noChangeAspect="1"/>
                    </pic:cNvPicPr>
                  </pic:nvPicPr>
                  <pic:blipFill>
                    <a:blip r:embed="rId57"/>
                    <a:stretch>
                      <a:fillRect/>
                    </a:stretch>
                  </pic:blipFill>
                  <pic:spPr>
                    <a:xfrm>
                      <a:off x="0" y="0"/>
                      <a:ext cx="552450" cy="172085"/>
                    </a:xfrm>
                    <a:prstGeom prst="rect">
                      <a:avLst/>
                    </a:prstGeom>
                    <a:noFill/>
                    <a:ln>
                      <a:noFill/>
                    </a:ln>
                  </pic:spPr>
                </pic:pic>
              </a:graphicData>
            </a:graphic>
          </wp:inline>
        </w:drawing>
      </w:r>
      <w:r>
        <w:rPr>
          <w:rFonts w:hint="eastAsia" w:cs="Times New Roman"/>
          <w:b w:val="0"/>
          <w:bCs w:val="0"/>
          <w:color w:val="auto"/>
          <w:kern w:val="0"/>
          <w:sz w:val="24"/>
          <w:szCs w:val="20"/>
          <w:lang w:val="en-US" w:eastAsia="zh-CN" w:bidi="ar-SA"/>
        </w:rPr>
        <w:t>）、大气吸收（</w:t>
      </w:r>
      <w:r>
        <w:rPr>
          <w:rFonts w:hint="eastAsia" w:cs="Times New Roman"/>
          <w:b w:val="0"/>
          <w:bCs w:val="0"/>
          <w:color w:val="auto"/>
          <w:kern w:val="0"/>
          <w:sz w:val="24"/>
          <w:szCs w:val="20"/>
          <w:lang w:val="en-US" w:eastAsia="zh-CN" w:bidi="ar-SA"/>
        </w:rPr>
        <w:drawing>
          <wp:inline distT="0" distB="0" distL="114300" distR="114300">
            <wp:extent cx="588645" cy="172085"/>
            <wp:effectExtent l="0" t="0" r="1905" b="18415"/>
            <wp:docPr id="40" name="图片 23" descr="d:\Users\李西西\AppData\Local\Temp\ksohtml36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d:\Users\李西西\AppData\Local\Temp\ksohtml3660\wps15.jpg"/>
                    <pic:cNvPicPr>
                      <a:picLocks noChangeAspect="1"/>
                    </pic:cNvPicPr>
                  </pic:nvPicPr>
                  <pic:blipFill>
                    <a:blip r:embed="rId58"/>
                    <a:stretch>
                      <a:fillRect/>
                    </a:stretch>
                  </pic:blipFill>
                  <pic:spPr>
                    <a:xfrm>
                      <a:off x="0" y="0"/>
                      <a:ext cx="588645" cy="172085"/>
                    </a:xfrm>
                    <a:prstGeom prst="rect">
                      <a:avLst/>
                    </a:prstGeom>
                    <a:noFill/>
                    <a:ln>
                      <a:noFill/>
                    </a:ln>
                  </pic:spPr>
                </pic:pic>
              </a:graphicData>
            </a:graphic>
          </wp:inline>
        </w:drawing>
      </w:r>
      <w:r>
        <w:rPr>
          <w:rFonts w:hint="eastAsia" w:cs="Times New Roman"/>
          <w:b w:val="0"/>
          <w:bCs w:val="0"/>
          <w:color w:val="auto"/>
          <w:kern w:val="0"/>
          <w:sz w:val="24"/>
          <w:szCs w:val="20"/>
          <w:lang w:val="en-US" w:eastAsia="zh-CN" w:bidi="ar-SA"/>
        </w:rPr>
        <w:t>）、地面效应（</w:t>
      </w:r>
      <w:r>
        <w:rPr>
          <w:rFonts w:hint="eastAsia" w:cs="Times New Roman"/>
          <w:b w:val="0"/>
          <w:bCs w:val="0"/>
          <w:color w:val="auto"/>
          <w:kern w:val="0"/>
          <w:sz w:val="24"/>
          <w:szCs w:val="20"/>
          <w:lang w:val="en-US" w:eastAsia="zh-CN" w:bidi="ar-SA"/>
        </w:rPr>
        <w:drawing>
          <wp:inline distT="0" distB="0" distL="114300" distR="114300">
            <wp:extent cx="516255" cy="189865"/>
            <wp:effectExtent l="0" t="0" r="17145" b="635"/>
            <wp:docPr id="37" name="图片 24" descr="d:\Users\李西西\AppData\Local\Temp\ksohtml36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d:\Users\李西西\AppData\Local\Temp\ksohtml3660\wps16.jpg"/>
                    <pic:cNvPicPr>
                      <a:picLocks noChangeAspect="1"/>
                    </pic:cNvPicPr>
                  </pic:nvPicPr>
                  <pic:blipFill>
                    <a:blip r:embed="rId59"/>
                    <a:stretch>
                      <a:fillRect/>
                    </a:stretch>
                  </pic:blipFill>
                  <pic:spPr>
                    <a:xfrm>
                      <a:off x="0" y="0"/>
                      <a:ext cx="516255" cy="189865"/>
                    </a:xfrm>
                    <a:prstGeom prst="rect">
                      <a:avLst/>
                    </a:prstGeom>
                    <a:noFill/>
                    <a:ln>
                      <a:noFill/>
                    </a:ln>
                  </pic:spPr>
                </pic:pic>
              </a:graphicData>
            </a:graphic>
          </wp:inline>
        </w:drawing>
      </w:r>
      <w:r>
        <w:rPr>
          <w:rFonts w:hint="eastAsia" w:cs="Times New Roman"/>
          <w:b w:val="0"/>
          <w:bCs w:val="0"/>
          <w:color w:val="auto"/>
          <w:kern w:val="0"/>
          <w:sz w:val="24"/>
          <w:szCs w:val="20"/>
          <w:lang w:val="en-US" w:eastAsia="zh-CN" w:bidi="ar-SA"/>
        </w:rPr>
        <w:t>）、屏障屏蔽（</w:t>
      </w:r>
      <w:r>
        <w:rPr>
          <w:rFonts w:hint="eastAsia" w:cs="Times New Roman"/>
          <w:b w:val="0"/>
          <w:bCs w:val="0"/>
          <w:color w:val="auto"/>
          <w:kern w:val="0"/>
          <w:sz w:val="24"/>
          <w:szCs w:val="20"/>
          <w:lang w:val="en-US" w:eastAsia="zh-CN" w:bidi="ar-SA"/>
        </w:rPr>
        <w:drawing>
          <wp:inline distT="0" distB="0" distL="114300" distR="114300">
            <wp:extent cx="570230" cy="172085"/>
            <wp:effectExtent l="0" t="0" r="1270" b="18415"/>
            <wp:docPr id="39" name="图片 25" descr="d:\Users\李西西\AppData\Local\Temp\ksohtml36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d:\Users\李西西\AppData\Local\Temp\ksohtml3660\wps17.jpg"/>
                    <pic:cNvPicPr>
                      <a:picLocks noChangeAspect="1"/>
                    </pic:cNvPicPr>
                  </pic:nvPicPr>
                  <pic:blipFill>
                    <a:blip r:embed="rId60"/>
                    <a:stretch>
                      <a:fillRect/>
                    </a:stretch>
                  </pic:blipFill>
                  <pic:spPr>
                    <a:xfrm>
                      <a:off x="0" y="0"/>
                      <a:ext cx="570230" cy="172085"/>
                    </a:xfrm>
                    <a:prstGeom prst="rect">
                      <a:avLst/>
                    </a:prstGeom>
                    <a:noFill/>
                    <a:ln>
                      <a:noFill/>
                    </a:ln>
                  </pic:spPr>
                </pic:pic>
              </a:graphicData>
            </a:graphic>
          </wp:inline>
        </w:drawing>
      </w:r>
      <w:r>
        <w:rPr>
          <w:rFonts w:hint="eastAsia" w:cs="Times New Roman"/>
          <w:b w:val="0"/>
          <w:bCs w:val="0"/>
          <w:color w:val="auto"/>
          <w:kern w:val="0"/>
          <w:sz w:val="24"/>
          <w:szCs w:val="20"/>
          <w:lang w:val="en-US" w:eastAsia="zh-CN" w:bidi="ar-SA"/>
        </w:rPr>
        <w:t>）、其他多方面效应（</w:t>
      </w:r>
      <w:r>
        <w:rPr>
          <w:rFonts w:hint="eastAsia" w:cs="Times New Roman"/>
          <w:b w:val="0"/>
          <w:bCs w:val="0"/>
          <w:color w:val="auto"/>
          <w:kern w:val="0"/>
          <w:sz w:val="24"/>
          <w:szCs w:val="20"/>
          <w:lang w:val="en-US" w:eastAsia="zh-CN" w:bidi="ar-SA"/>
        </w:rPr>
        <w:drawing>
          <wp:inline distT="0" distB="0" distL="114300" distR="114300">
            <wp:extent cx="624840" cy="172085"/>
            <wp:effectExtent l="0" t="0" r="3810" b="18415"/>
            <wp:docPr id="45" name="图片 26" descr="d:\Users\李西西\AppData\Local\Temp\ksohtml36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descr="d:\Users\李西西\AppData\Local\Temp\ksohtml3660\wps18.jpg"/>
                    <pic:cNvPicPr>
                      <a:picLocks noChangeAspect="1"/>
                    </pic:cNvPicPr>
                  </pic:nvPicPr>
                  <pic:blipFill>
                    <a:blip r:embed="rId61"/>
                    <a:stretch>
                      <a:fillRect/>
                    </a:stretch>
                  </pic:blipFill>
                  <pic:spPr>
                    <a:xfrm>
                      <a:off x="0" y="0"/>
                      <a:ext cx="624840" cy="172085"/>
                    </a:xfrm>
                    <a:prstGeom prst="rect">
                      <a:avLst/>
                    </a:prstGeom>
                    <a:noFill/>
                    <a:ln>
                      <a:noFill/>
                    </a:ln>
                  </pic:spPr>
                </pic:pic>
              </a:graphicData>
            </a:graphic>
          </wp:inline>
        </w:drawing>
      </w:r>
      <w:r>
        <w:rPr>
          <w:rFonts w:hint="eastAsia" w:cs="Times New Roman"/>
          <w:b w:val="0"/>
          <w:bCs w:val="0"/>
          <w:color w:val="auto"/>
          <w:kern w:val="0"/>
          <w:sz w:val="24"/>
          <w:szCs w:val="20"/>
          <w:lang w:val="en-US" w:eastAsia="zh-CN" w:bidi="ar-SA"/>
        </w:rPr>
        <w:t>）引起的衰减。</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在环境影响评价中，应根据声源声功率级或参考位置处的声压级、户外声传播衰减，计算预测点的声级，按下式计算。</w:t>
      </w:r>
    </w:p>
    <w:p>
      <w:pPr>
        <w:pStyle w:val="1265"/>
        <w:spacing w:line="360" w:lineRule="auto"/>
        <w:ind w:firstLine="0" w:firstLineChars="0"/>
        <w:rPr>
          <w:i/>
          <w:color w:val="auto"/>
          <w:sz w:val="24"/>
          <w:szCs w:val="24"/>
        </w:rPr>
      </w:pPr>
      <w:r>
        <w:rPr>
          <w:color w:val="auto"/>
          <w:sz w:val="24"/>
          <w:szCs w:val="24"/>
        </w:rPr>
        <w:drawing>
          <wp:inline distT="0" distB="0" distL="114300" distR="114300">
            <wp:extent cx="3466465" cy="262255"/>
            <wp:effectExtent l="0" t="0" r="635" b="4445"/>
            <wp:docPr id="41" name="图片 27" descr="d:\Users\李西西\AppData\Local\Temp\ksohtml36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d:\Users\李西西\AppData\Local\Temp\ksohtml3660\wps19.jpg"/>
                    <pic:cNvPicPr>
                      <a:picLocks noChangeAspect="1"/>
                    </pic:cNvPicPr>
                  </pic:nvPicPr>
                  <pic:blipFill>
                    <a:blip r:embed="rId62"/>
                    <a:stretch>
                      <a:fillRect/>
                    </a:stretch>
                  </pic:blipFill>
                  <pic:spPr>
                    <a:xfrm>
                      <a:off x="0" y="0"/>
                      <a:ext cx="3466465" cy="262255"/>
                    </a:xfrm>
                    <a:prstGeom prst="rect">
                      <a:avLst/>
                    </a:prstGeom>
                    <a:noFill/>
                    <a:ln>
                      <a:noFill/>
                    </a:ln>
                  </pic:spPr>
                </pic:pic>
              </a:graphicData>
            </a:graphic>
          </wp:inline>
        </w:drawing>
      </w:r>
      <w:r>
        <w:rPr>
          <w:i/>
          <w:color w:val="auto"/>
          <w:sz w:val="24"/>
          <w:szCs w:val="24"/>
        </w:rPr>
        <w:t xml:space="preserve"> </w:t>
      </w:r>
    </w:p>
    <w:p>
      <w:pPr>
        <w:pStyle w:val="1265"/>
        <w:spacing w:line="360" w:lineRule="auto"/>
        <w:ind w:firstLine="0" w:firstLineChars="0"/>
        <w:rPr>
          <w:color w:val="auto"/>
          <w:sz w:val="24"/>
          <w:szCs w:val="24"/>
        </w:rPr>
      </w:pPr>
      <w:r>
        <w:rPr>
          <w:rFonts w:ascii="宋体" w:hAnsi="宋体"/>
          <w:color w:val="auto"/>
          <w:sz w:val="24"/>
          <w:szCs w:val="24"/>
        </w:rPr>
        <w:t>式中：</w:t>
      </w:r>
      <w:r>
        <w:rPr>
          <w:color w:val="auto"/>
          <w:sz w:val="24"/>
          <w:szCs w:val="24"/>
        </w:rPr>
        <w:drawing>
          <wp:inline distT="0" distB="0" distL="114300" distR="114300">
            <wp:extent cx="652145" cy="172085"/>
            <wp:effectExtent l="0" t="0" r="14605" b="18415"/>
            <wp:docPr id="43" name="图片 28" descr="d:\Users\李西西\AppData\Local\Temp\ksohtml36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descr="d:\Users\李西西\AppData\Local\Temp\ksohtml3660\wps20.jpg"/>
                    <pic:cNvPicPr>
                      <a:picLocks noChangeAspect="1"/>
                    </pic:cNvPicPr>
                  </pic:nvPicPr>
                  <pic:blipFill>
                    <a:blip r:embed="rId63"/>
                    <a:stretch>
                      <a:fillRect/>
                    </a:stretch>
                  </pic:blipFill>
                  <pic:spPr>
                    <a:xfrm>
                      <a:off x="0" y="0"/>
                      <a:ext cx="652145" cy="172085"/>
                    </a:xfrm>
                    <a:prstGeom prst="rect">
                      <a:avLst/>
                    </a:prstGeom>
                    <a:noFill/>
                    <a:ln>
                      <a:noFill/>
                    </a:ln>
                  </pic:spPr>
                </pic:pic>
              </a:graphicData>
            </a:graphic>
          </wp:inline>
        </w:drawing>
      </w:r>
      <w:r>
        <w:rPr>
          <w:color w:val="auto"/>
          <w:sz w:val="24"/>
          <w:szCs w:val="24"/>
        </w:rPr>
        <w:t>——</w:t>
      </w:r>
      <w:r>
        <w:rPr>
          <w:rFonts w:ascii="宋体" w:hAnsi="宋体"/>
          <w:color w:val="auto"/>
          <w:sz w:val="24"/>
          <w:szCs w:val="24"/>
        </w:rPr>
        <w:t>预测点处声压级，</w:t>
      </w:r>
      <w:r>
        <w:rPr>
          <w:color w:val="auto"/>
          <w:sz w:val="24"/>
          <w:szCs w:val="24"/>
        </w:rPr>
        <w:t>dB</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drawing>
          <wp:inline distT="0" distB="0" distL="114300" distR="114300">
            <wp:extent cx="923290" cy="172085"/>
            <wp:effectExtent l="0" t="0" r="10160" b="18415"/>
            <wp:docPr id="49" name="图片 29" descr="d:\Users\李西西\AppData\Local\Temp\ksohtml366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descr="d:\Users\李西西\AppData\Local\Temp\ksohtml3660\wps21.jpg"/>
                    <pic:cNvPicPr>
                      <a:picLocks noChangeAspect="1"/>
                    </pic:cNvPicPr>
                  </pic:nvPicPr>
                  <pic:blipFill>
                    <a:blip r:embed="rId64"/>
                    <a:stretch>
                      <a:fillRect/>
                    </a:stretch>
                  </pic:blipFill>
                  <pic:spPr>
                    <a:xfrm>
                      <a:off x="0" y="0"/>
                      <a:ext cx="923290" cy="172085"/>
                    </a:xfrm>
                    <a:prstGeom prst="rect">
                      <a:avLst/>
                    </a:prstGeom>
                    <a:noFill/>
                    <a:ln>
                      <a:noFill/>
                    </a:ln>
                  </pic:spPr>
                </pic:pic>
              </a:graphicData>
            </a:graphic>
          </wp:inline>
        </w:drawing>
      </w:r>
      <w:r>
        <w:rPr>
          <w:color w:val="auto"/>
          <w:sz w:val="24"/>
          <w:szCs w:val="24"/>
        </w:rPr>
        <w:t>——</w:t>
      </w:r>
      <w:r>
        <w:rPr>
          <w:rFonts w:ascii="宋体" w:hAnsi="宋体"/>
          <w:color w:val="auto"/>
          <w:sz w:val="24"/>
          <w:szCs w:val="24"/>
        </w:rPr>
        <w:t>由点声源产生的声功率级（</w:t>
      </w:r>
      <w:r>
        <w:rPr>
          <w:color w:val="auto"/>
          <w:sz w:val="24"/>
          <w:szCs w:val="24"/>
        </w:rPr>
        <w:t>A</w:t>
      </w:r>
      <w:r>
        <w:rPr>
          <w:rFonts w:ascii="宋体" w:hAnsi="宋体"/>
          <w:color w:val="auto"/>
          <w:sz w:val="24"/>
          <w:szCs w:val="24"/>
        </w:rPr>
        <w:t>计权或倍频带），</w:t>
      </w:r>
      <w:r>
        <w:rPr>
          <w:color w:val="auto"/>
          <w:sz w:val="24"/>
          <w:szCs w:val="24"/>
        </w:rPr>
        <w:t>dB</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drawing>
          <wp:inline distT="0" distB="0" distL="114300" distR="114300">
            <wp:extent cx="932815" cy="172085"/>
            <wp:effectExtent l="0" t="0" r="635" b="18415"/>
            <wp:docPr id="9" name="图片 30" descr="d:\Users\李西西\AppData\Local\Temp\ksohtml366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d:\Users\李西西\AppData\Local\Temp\ksohtml3660\wps22.jpg"/>
                    <pic:cNvPicPr>
                      <a:picLocks noChangeAspect="1"/>
                    </pic:cNvPicPr>
                  </pic:nvPicPr>
                  <pic:blipFill>
                    <a:blip r:embed="rId65"/>
                    <a:stretch>
                      <a:fillRect/>
                    </a:stretch>
                  </pic:blipFill>
                  <pic:spPr>
                    <a:xfrm>
                      <a:off x="0" y="0"/>
                      <a:ext cx="932815" cy="172085"/>
                    </a:xfrm>
                    <a:prstGeom prst="rect">
                      <a:avLst/>
                    </a:prstGeom>
                    <a:noFill/>
                    <a:ln>
                      <a:noFill/>
                    </a:ln>
                  </pic:spPr>
                </pic:pic>
              </a:graphicData>
            </a:graphic>
          </wp:inline>
        </w:drawing>
      </w:r>
      <w:r>
        <w:rPr>
          <w:color w:val="auto"/>
          <w:sz w:val="24"/>
          <w:szCs w:val="24"/>
        </w:rPr>
        <w:t>——</w:t>
      </w:r>
      <w:r>
        <w:rPr>
          <w:rFonts w:ascii="宋体" w:hAnsi="宋体"/>
          <w:color w:val="auto"/>
          <w:sz w:val="24"/>
          <w:szCs w:val="24"/>
        </w:rPr>
        <w:t>指向性校正，它描述点声源的等效连续声压级与产生声功率级</w:t>
      </w:r>
      <w:r>
        <w:rPr>
          <w:color w:val="auto"/>
          <w:sz w:val="24"/>
          <w:szCs w:val="24"/>
        </w:rPr>
        <w:t>Lw</w:t>
      </w:r>
      <w:r>
        <w:rPr>
          <w:rFonts w:ascii="宋体" w:hAnsi="宋体"/>
          <w:color w:val="auto"/>
          <w:sz w:val="24"/>
          <w:szCs w:val="24"/>
        </w:rPr>
        <w:t>的全向点声源在规定方向的声级的偏差程度，</w:t>
      </w:r>
      <w:r>
        <w:rPr>
          <w:color w:val="auto"/>
          <w:sz w:val="24"/>
          <w:szCs w:val="24"/>
        </w:rPr>
        <w:t>dB</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drawing>
          <wp:inline distT="0" distB="0" distL="114300" distR="114300">
            <wp:extent cx="1014095" cy="172085"/>
            <wp:effectExtent l="0" t="0" r="14605" b="18415"/>
            <wp:docPr id="61" name="图片 31" descr="d:\Users\李西西\AppData\Local\Temp\ksohtml366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descr="d:\Users\李西西\AppData\Local\Temp\ksohtml3660\wps23.jpg"/>
                    <pic:cNvPicPr>
                      <a:picLocks noChangeAspect="1"/>
                    </pic:cNvPicPr>
                  </pic:nvPicPr>
                  <pic:blipFill>
                    <a:blip r:embed="rId66"/>
                    <a:stretch>
                      <a:fillRect/>
                    </a:stretch>
                  </pic:blipFill>
                  <pic:spPr>
                    <a:xfrm>
                      <a:off x="0" y="0"/>
                      <a:ext cx="1014095" cy="172085"/>
                    </a:xfrm>
                    <a:prstGeom prst="rect">
                      <a:avLst/>
                    </a:prstGeom>
                    <a:noFill/>
                    <a:ln>
                      <a:noFill/>
                    </a:ln>
                  </pic:spPr>
                </pic:pic>
              </a:graphicData>
            </a:graphic>
          </wp:inline>
        </w:drawing>
      </w:r>
      <w:r>
        <w:rPr>
          <w:color w:val="auto"/>
          <w:sz w:val="24"/>
          <w:szCs w:val="24"/>
        </w:rPr>
        <w:t>——</w:t>
      </w:r>
      <w:r>
        <w:rPr>
          <w:rFonts w:ascii="宋体" w:hAnsi="宋体"/>
          <w:color w:val="auto"/>
          <w:sz w:val="24"/>
          <w:szCs w:val="24"/>
        </w:rPr>
        <w:t>几何发散引起的衰减，</w:t>
      </w:r>
      <w:r>
        <w:rPr>
          <w:color w:val="auto"/>
          <w:sz w:val="24"/>
          <w:szCs w:val="24"/>
        </w:rPr>
        <w:t>dB</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drawing>
          <wp:inline distT="0" distB="0" distL="114300" distR="114300">
            <wp:extent cx="1049655" cy="172085"/>
            <wp:effectExtent l="0" t="0" r="17145" b="18415"/>
            <wp:docPr id="60" name="图片 32" descr="d:\Users\李西西\AppData\Local\Temp\ksohtml366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descr="d:\Users\李西西\AppData\Local\Temp\ksohtml3660\wps24.jpg"/>
                    <pic:cNvPicPr>
                      <a:picLocks noChangeAspect="1"/>
                    </pic:cNvPicPr>
                  </pic:nvPicPr>
                  <pic:blipFill>
                    <a:blip r:embed="rId67"/>
                    <a:stretch>
                      <a:fillRect/>
                    </a:stretch>
                  </pic:blipFill>
                  <pic:spPr>
                    <a:xfrm>
                      <a:off x="0" y="0"/>
                      <a:ext cx="1049655" cy="172085"/>
                    </a:xfrm>
                    <a:prstGeom prst="rect">
                      <a:avLst/>
                    </a:prstGeom>
                    <a:noFill/>
                    <a:ln>
                      <a:noFill/>
                    </a:ln>
                  </pic:spPr>
                </pic:pic>
              </a:graphicData>
            </a:graphic>
          </wp:inline>
        </w:drawing>
      </w:r>
      <w:r>
        <w:rPr>
          <w:color w:val="auto"/>
          <w:sz w:val="24"/>
          <w:szCs w:val="24"/>
        </w:rPr>
        <w:t>——</w:t>
      </w:r>
      <w:r>
        <w:rPr>
          <w:rFonts w:ascii="宋体" w:hAnsi="宋体"/>
          <w:color w:val="auto"/>
          <w:sz w:val="24"/>
          <w:szCs w:val="24"/>
        </w:rPr>
        <w:t>大气吸收引起的衰减，</w:t>
      </w:r>
      <w:r>
        <w:rPr>
          <w:color w:val="auto"/>
          <w:sz w:val="24"/>
          <w:szCs w:val="24"/>
        </w:rPr>
        <w:t>dB</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drawing>
          <wp:inline distT="0" distB="0" distL="114300" distR="114300">
            <wp:extent cx="969010" cy="189865"/>
            <wp:effectExtent l="0" t="0" r="2540" b="635"/>
            <wp:docPr id="50" name="图片 33" descr="d:\Users\李西西\AppData\Local\Temp\ksohtml366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descr="d:\Users\李西西\AppData\Local\Temp\ksohtml3660\wps25.jpg"/>
                    <pic:cNvPicPr>
                      <a:picLocks noChangeAspect="1"/>
                    </pic:cNvPicPr>
                  </pic:nvPicPr>
                  <pic:blipFill>
                    <a:blip r:embed="rId68"/>
                    <a:stretch>
                      <a:fillRect/>
                    </a:stretch>
                  </pic:blipFill>
                  <pic:spPr>
                    <a:xfrm>
                      <a:off x="0" y="0"/>
                      <a:ext cx="969010" cy="189865"/>
                    </a:xfrm>
                    <a:prstGeom prst="rect">
                      <a:avLst/>
                    </a:prstGeom>
                    <a:noFill/>
                    <a:ln>
                      <a:noFill/>
                    </a:ln>
                  </pic:spPr>
                </pic:pic>
              </a:graphicData>
            </a:graphic>
          </wp:inline>
        </w:drawing>
      </w:r>
      <w:r>
        <w:rPr>
          <w:color w:val="auto"/>
          <w:sz w:val="24"/>
          <w:szCs w:val="24"/>
        </w:rPr>
        <w:t>——</w:t>
      </w:r>
      <w:r>
        <w:rPr>
          <w:rFonts w:ascii="宋体" w:hAnsi="宋体"/>
          <w:color w:val="auto"/>
          <w:sz w:val="24"/>
          <w:szCs w:val="24"/>
        </w:rPr>
        <w:t>地面效应引起的衰减，</w:t>
      </w:r>
      <w:r>
        <w:rPr>
          <w:color w:val="auto"/>
          <w:sz w:val="24"/>
          <w:szCs w:val="24"/>
        </w:rPr>
        <w:t>dB</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drawing>
          <wp:inline distT="0" distB="0" distL="114300" distR="114300">
            <wp:extent cx="1031875" cy="172085"/>
            <wp:effectExtent l="0" t="0" r="15875" b="18415"/>
            <wp:docPr id="51" name="图片 34" descr="d:\Users\李西西\AppData\Local\Temp\ksohtml366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descr="d:\Users\李西西\AppData\Local\Temp\ksohtml3660\wps26.jpg"/>
                    <pic:cNvPicPr>
                      <a:picLocks noChangeAspect="1"/>
                    </pic:cNvPicPr>
                  </pic:nvPicPr>
                  <pic:blipFill>
                    <a:blip r:embed="rId69"/>
                    <a:stretch>
                      <a:fillRect/>
                    </a:stretch>
                  </pic:blipFill>
                  <pic:spPr>
                    <a:xfrm>
                      <a:off x="0" y="0"/>
                      <a:ext cx="1031875" cy="172085"/>
                    </a:xfrm>
                    <a:prstGeom prst="rect">
                      <a:avLst/>
                    </a:prstGeom>
                    <a:noFill/>
                    <a:ln>
                      <a:noFill/>
                    </a:ln>
                  </pic:spPr>
                </pic:pic>
              </a:graphicData>
            </a:graphic>
          </wp:inline>
        </w:drawing>
      </w:r>
      <w:r>
        <w:rPr>
          <w:color w:val="auto"/>
          <w:sz w:val="24"/>
          <w:szCs w:val="24"/>
        </w:rPr>
        <w:t>——</w:t>
      </w:r>
      <w:r>
        <w:rPr>
          <w:rFonts w:ascii="宋体" w:hAnsi="宋体"/>
          <w:color w:val="auto"/>
          <w:sz w:val="24"/>
          <w:szCs w:val="24"/>
        </w:rPr>
        <w:t>障碍物屏蔽引起的衰减，</w:t>
      </w:r>
      <w:r>
        <w:rPr>
          <w:color w:val="auto"/>
          <w:sz w:val="24"/>
          <w:szCs w:val="24"/>
        </w:rPr>
        <w:t>dB</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drawing>
          <wp:inline distT="0" distB="0" distL="114300" distR="114300">
            <wp:extent cx="1087120" cy="172085"/>
            <wp:effectExtent l="0" t="0" r="17780" b="18415"/>
            <wp:docPr id="67" name="图片 35" descr="d:\Users\李西西\AppData\Local\Temp\ksohtml366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5" descr="d:\Users\李西西\AppData\Local\Temp\ksohtml3660\wps27.jpg"/>
                    <pic:cNvPicPr>
                      <a:picLocks noChangeAspect="1"/>
                    </pic:cNvPicPr>
                  </pic:nvPicPr>
                  <pic:blipFill>
                    <a:blip r:embed="rId70"/>
                    <a:stretch>
                      <a:fillRect/>
                    </a:stretch>
                  </pic:blipFill>
                  <pic:spPr>
                    <a:xfrm>
                      <a:off x="0" y="0"/>
                      <a:ext cx="1087120" cy="172085"/>
                    </a:xfrm>
                    <a:prstGeom prst="rect">
                      <a:avLst/>
                    </a:prstGeom>
                    <a:noFill/>
                    <a:ln>
                      <a:noFill/>
                    </a:ln>
                  </pic:spPr>
                </pic:pic>
              </a:graphicData>
            </a:graphic>
          </wp:inline>
        </w:drawing>
      </w:r>
      <w:r>
        <w:rPr>
          <w:color w:val="auto"/>
          <w:sz w:val="24"/>
          <w:szCs w:val="24"/>
        </w:rPr>
        <w:t>——</w:t>
      </w:r>
      <w:r>
        <w:rPr>
          <w:rFonts w:ascii="宋体" w:hAnsi="宋体"/>
          <w:color w:val="auto"/>
          <w:sz w:val="24"/>
          <w:szCs w:val="24"/>
        </w:rPr>
        <w:t>其他多方面效应引起的衰减，</w:t>
      </w:r>
      <w:r>
        <w:rPr>
          <w:color w:val="auto"/>
          <w:sz w:val="24"/>
          <w:szCs w:val="24"/>
        </w:rPr>
        <w:t>dB</w:t>
      </w:r>
      <w:r>
        <w:rPr>
          <w:rFonts w:ascii="宋体" w:hAnsi="宋体"/>
          <w:color w:val="auto"/>
          <w:sz w:val="24"/>
          <w:szCs w:val="24"/>
        </w:rPr>
        <w:t>。</w:t>
      </w:r>
    </w:p>
    <w:p>
      <w:pPr>
        <w:pStyle w:val="1265"/>
        <w:spacing w:line="360" w:lineRule="auto"/>
        <w:ind w:firstLine="0" w:firstLineChars="0"/>
        <w:rPr>
          <w:b/>
          <w:bCs/>
          <w:color w:val="auto"/>
          <w:sz w:val="24"/>
          <w:szCs w:val="24"/>
        </w:rPr>
      </w:pPr>
      <w:r>
        <w:rPr>
          <w:rFonts w:hint="eastAsia" w:ascii="宋体" w:hAnsi="宋体"/>
          <w:b/>
          <w:bCs/>
          <w:color w:val="auto"/>
          <w:sz w:val="24"/>
          <w:szCs w:val="24"/>
        </w:rPr>
        <w:t>② 衰减项的计算</w:t>
      </w:r>
    </w:p>
    <w:p>
      <w:pPr>
        <w:pStyle w:val="1265"/>
        <w:spacing w:line="360" w:lineRule="auto"/>
        <w:ind w:firstLine="482" w:firstLineChars="200"/>
        <w:rPr>
          <w:b/>
          <w:bCs/>
          <w:color w:val="auto"/>
          <w:sz w:val="24"/>
          <w:szCs w:val="24"/>
        </w:rPr>
      </w:pPr>
      <w:r>
        <w:rPr>
          <w:rFonts w:ascii="宋体" w:hAnsi="宋体"/>
          <w:b/>
          <w:bCs/>
          <w:color w:val="auto"/>
          <w:sz w:val="24"/>
          <w:szCs w:val="24"/>
        </w:rPr>
        <w:t>本项目所在区域</w:t>
      </w:r>
      <w:r>
        <w:rPr>
          <w:rFonts w:hint="eastAsia" w:ascii="宋体" w:hAnsi="宋体"/>
          <w:b/>
          <w:bCs/>
          <w:color w:val="auto"/>
          <w:sz w:val="24"/>
          <w:szCs w:val="24"/>
        </w:rPr>
        <w:t>为丘陵地形，</w:t>
      </w:r>
      <w:r>
        <w:rPr>
          <w:rFonts w:ascii="宋体" w:hAnsi="宋体"/>
          <w:b/>
          <w:bCs/>
          <w:color w:val="auto"/>
          <w:sz w:val="24"/>
          <w:szCs w:val="24"/>
        </w:rPr>
        <w:t>本次评价</w:t>
      </w:r>
      <w:r>
        <w:rPr>
          <w:rFonts w:hint="eastAsia" w:ascii="宋体" w:hAnsi="宋体"/>
          <w:b/>
          <w:bCs/>
          <w:color w:val="auto"/>
          <w:sz w:val="24"/>
          <w:szCs w:val="24"/>
        </w:rPr>
        <w:t>主要</w:t>
      </w:r>
      <w:r>
        <w:rPr>
          <w:rFonts w:ascii="宋体" w:hAnsi="宋体"/>
          <w:b/>
          <w:bCs/>
          <w:color w:val="auto"/>
          <w:sz w:val="24"/>
          <w:szCs w:val="24"/>
        </w:rPr>
        <w:t>考虑几何发散（</w:t>
      </w:r>
      <w:r>
        <w:rPr>
          <w:b/>
          <w:bCs/>
          <w:color w:val="auto"/>
          <w:sz w:val="24"/>
          <w:szCs w:val="24"/>
        </w:rPr>
        <w:t>A</w:t>
      </w:r>
      <w:r>
        <w:rPr>
          <w:b/>
          <w:bCs/>
          <w:color w:val="auto"/>
          <w:sz w:val="24"/>
          <w:szCs w:val="24"/>
          <w:vertAlign w:val="subscript"/>
        </w:rPr>
        <w:t>div</w:t>
      </w:r>
      <w:r>
        <w:rPr>
          <w:rFonts w:ascii="宋体" w:hAnsi="宋体"/>
          <w:b/>
          <w:bCs/>
          <w:color w:val="auto"/>
          <w:sz w:val="24"/>
          <w:szCs w:val="24"/>
        </w:rPr>
        <w:t>）和声屏障（</w:t>
      </w:r>
      <w:r>
        <w:rPr>
          <w:b/>
          <w:bCs/>
          <w:color w:val="auto"/>
          <w:sz w:val="24"/>
          <w:szCs w:val="24"/>
        </w:rPr>
        <w:t>A</w:t>
      </w:r>
      <w:r>
        <w:rPr>
          <w:b/>
          <w:bCs/>
          <w:color w:val="auto"/>
          <w:sz w:val="24"/>
          <w:szCs w:val="24"/>
          <w:vertAlign w:val="subscript"/>
        </w:rPr>
        <w:t>bar</w:t>
      </w:r>
      <w:r>
        <w:rPr>
          <w:rFonts w:ascii="宋体" w:hAnsi="宋体"/>
          <w:b/>
          <w:bCs/>
          <w:color w:val="auto"/>
          <w:sz w:val="24"/>
          <w:szCs w:val="24"/>
        </w:rPr>
        <w:t>）引起的衰减，不考虑地面效应（</w:t>
      </w:r>
      <w:r>
        <w:rPr>
          <w:b/>
          <w:bCs/>
          <w:color w:val="auto"/>
          <w:sz w:val="24"/>
          <w:szCs w:val="24"/>
        </w:rPr>
        <w:t>A</w:t>
      </w:r>
      <w:r>
        <w:rPr>
          <w:b/>
          <w:bCs/>
          <w:color w:val="auto"/>
          <w:sz w:val="24"/>
          <w:szCs w:val="24"/>
          <w:vertAlign w:val="subscript"/>
        </w:rPr>
        <w:t>gr</w:t>
      </w:r>
      <w:r>
        <w:rPr>
          <w:rFonts w:ascii="宋体" w:hAnsi="宋体"/>
          <w:b/>
          <w:bCs/>
          <w:color w:val="auto"/>
          <w:sz w:val="24"/>
          <w:szCs w:val="24"/>
        </w:rPr>
        <w:t>）、大气吸收（</w:t>
      </w:r>
      <w:r>
        <w:rPr>
          <w:b/>
          <w:bCs/>
          <w:color w:val="auto"/>
          <w:sz w:val="24"/>
          <w:szCs w:val="24"/>
        </w:rPr>
        <w:t>A</w:t>
      </w:r>
      <w:r>
        <w:rPr>
          <w:b/>
          <w:bCs/>
          <w:color w:val="auto"/>
          <w:sz w:val="24"/>
          <w:szCs w:val="24"/>
          <w:vertAlign w:val="subscript"/>
        </w:rPr>
        <w:t>atm</w:t>
      </w:r>
      <w:r>
        <w:rPr>
          <w:rFonts w:ascii="宋体" w:hAnsi="宋体"/>
          <w:b/>
          <w:bCs/>
          <w:color w:val="auto"/>
          <w:sz w:val="24"/>
          <w:szCs w:val="24"/>
        </w:rPr>
        <w:t>）和其他多方面（</w:t>
      </w:r>
      <w:r>
        <w:rPr>
          <w:b/>
          <w:bCs/>
          <w:color w:val="auto"/>
          <w:sz w:val="24"/>
          <w:szCs w:val="24"/>
        </w:rPr>
        <w:t>A</w:t>
      </w:r>
      <w:r>
        <w:rPr>
          <w:b/>
          <w:bCs/>
          <w:color w:val="auto"/>
          <w:sz w:val="24"/>
          <w:szCs w:val="24"/>
          <w:vertAlign w:val="subscript"/>
        </w:rPr>
        <w:t>misc</w:t>
      </w:r>
      <w:r>
        <w:rPr>
          <w:rFonts w:ascii="宋体" w:hAnsi="宋体"/>
          <w:b/>
          <w:bCs/>
          <w:color w:val="auto"/>
          <w:sz w:val="24"/>
          <w:szCs w:val="24"/>
        </w:rPr>
        <w:t>）引起的衰减。</w:t>
      </w:r>
    </w:p>
    <w:p>
      <w:pPr>
        <w:pStyle w:val="1265"/>
        <w:spacing w:line="360" w:lineRule="auto"/>
        <w:ind w:firstLine="480" w:firstLineChars="200"/>
        <w:rPr>
          <w:color w:val="auto"/>
          <w:sz w:val="24"/>
          <w:szCs w:val="24"/>
        </w:rPr>
      </w:pPr>
      <w:r>
        <w:rPr>
          <w:rFonts w:hint="eastAsia"/>
          <w:color w:val="auto"/>
          <w:sz w:val="24"/>
          <w:szCs w:val="24"/>
        </w:rPr>
        <w:t>A</w:t>
      </w:r>
      <w:r>
        <w:rPr>
          <w:rFonts w:hint="eastAsia" w:ascii="宋体" w:hAnsi="宋体"/>
          <w:color w:val="auto"/>
          <w:sz w:val="24"/>
          <w:szCs w:val="24"/>
        </w:rPr>
        <w:t>、</w:t>
      </w:r>
      <w:r>
        <w:rPr>
          <w:rFonts w:ascii="宋体" w:hAnsi="宋体"/>
          <w:color w:val="auto"/>
          <w:sz w:val="24"/>
          <w:szCs w:val="24"/>
        </w:rPr>
        <w:t>几何发散（</w:t>
      </w:r>
      <w:r>
        <w:rPr>
          <w:color w:val="auto"/>
          <w:sz w:val="24"/>
          <w:szCs w:val="24"/>
        </w:rPr>
        <w:t>A</w:t>
      </w:r>
      <w:r>
        <w:rPr>
          <w:color w:val="auto"/>
          <w:sz w:val="24"/>
          <w:szCs w:val="24"/>
          <w:vertAlign w:val="subscript"/>
        </w:rPr>
        <w:t>div</w:t>
      </w:r>
      <w:r>
        <w:rPr>
          <w:rFonts w:ascii="宋体" w:hAnsi="宋体"/>
          <w:color w:val="auto"/>
          <w:sz w:val="24"/>
          <w:szCs w:val="24"/>
        </w:rPr>
        <w:t>）</w:t>
      </w:r>
      <w:r>
        <w:rPr>
          <w:rFonts w:hint="eastAsia" w:ascii="宋体" w:hAnsi="宋体"/>
          <w:color w:val="auto"/>
          <w:sz w:val="24"/>
          <w:szCs w:val="24"/>
        </w:rPr>
        <w:t>衰减</w:t>
      </w:r>
    </w:p>
    <w:p>
      <w:pPr>
        <w:pStyle w:val="1265"/>
        <w:spacing w:line="360" w:lineRule="auto"/>
        <w:ind w:firstLine="480" w:firstLineChars="200"/>
        <w:rPr>
          <w:color w:val="auto"/>
          <w:sz w:val="24"/>
          <w:szCs w:val="24"/>
        </w:rPr>
      </w:pPr>
      <w:r>
        <w:rPr>
          <w:rFonts w:ascii="宋体" w:hAnsi="宋体"/>
          <w:color w:val="auto"/>
          <w:sz w:val="24"/>
          <w:szCs w:val="24"/>
        </w:rPr>
        <w:t>本项目声源为无指向性声源，几何发散衰减（</w:t>
      </w:r>
      <w:r>
        <w:rPr>
          <w:color w:val="auto"/>
          <w:sz w:val="24"/>
          <w:szCs w:val="24"/>
        </w:rPr>
        <w:t>A</w:t>
      </w:r>
      <w:r>
        <w:rPr>
          <w:color w:val="auto"/>
          <w:sz w:val="24"/>
          <w:szCs w:val="24"/>
          <w:vertAlign w:val="subscript"/>
        </w:rPr>
        <w:t>div</w:t>
      </w:r>
      <w:r>
        <w:rPr>
          <w:rFonts w:ascii="宋体" w:hAnsi="宋体"/>
          <w:color w:val="auto"/>
          <w:sz w:val="24"/>
          <w:szCs w:val="24"/>
        </w:rPr>
        <w:t>）按下式计算：</w:t>
      </w:r>
    </w:p>
    <w:p>
      <w:pPr>
        <w:pStyle w:val="1265"/>
        <w:spacing w:line="360" w:lineRule="auto"/>
        <w:ind w:firstLine="0" w:firstLineChars="0"/>
        <w:jc w:val="center"/>
        <w:rPr>
          <w:color w:val="auto"/>
          <w:sz w:val="24"/>
          <w:szCs w:val="24"/>
        </w:rPr>
      </w:pPr>
      <w:r>
        <w:rPr>
          <w:color w:val="auto"/>
          <w:sz w:val="24"/>
          <w:szCs w:val="24"/>
        </w:rPr>
        <w:drawing>
          <wp:inline distT="0" distB="0" distL="114300" distR="114300">
            <wp:extent cx="1203960" cy="244475"/>
            <wp:effectExtent l="0" t="0" r="15240" b="3175"/>
            <wp:docPr id="64" name="图片 36" descr="d:\Users\李西西\AppData\Local\Temp\ksohtml366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descr="d:\Users\李西西\AppData\Local\Temp\ksohtml3660\wps28.jpg"/>
                    <pic:cNvPicPr>
                      <a:picLocks noChangeAspect="1"/>
                    </pic:cNvPicPr>
                  </pic:nvPicPr>
                  <pic:blipFill>
                    <a:blip r:embed="rId71"/>
                    <a:stretch>
                      <a:fillRect/>
                    </a:stretch>
                  </pic:blipFill>
                  <pic:spPr>
                    <a:xfrm>
                      <a:off x="0" y="0"/>
                      <a:ext cx="1203960" cy="244475"/>
                    </a:xfrm>
                    <a:prstGeom prst="rect">
                      <a:avLst/>
                    </a:prstGeom>
                    <a:noFill/>
                    <a:ln>
                      <a:noFill/>
                    </a:ln>
                  </pic:spPr>
                </pic:pic>
              </a:graphicData>
            </a:graphic>
          </wp:inline>
        </w:drawing>
      </w:r>
    </w:p>
    <w:p>
      <w:pPr>
        <w:pStyle w:val="1265"/>
        <w:spacing w:line="360" w:lineRule="auto"/>
        <w:ind w:firstLine="480" w:firstLineChars="200"/>
        <w:rPr>
          <w:color w:val="auto"/>
          <w:sz w:val="24"/>
          <w:szCs w:val="24"/>
        </w:rPr>
      </w:pPr>
      <w:r>
        <w:rPr>
          <w:rFonts w:hint="eastAsia"/>
          <w:color w:val="auto"/>
          <w:sz w:val="24"/>
          <w:szCs w:val="24"/>
        </w:rPr>
        <w:t>B</w:t>
      </w:r>
      <w:r>
        <w:rPr>
          <w:rFonts w:hint="eastAsia" w:ascii="宋体" w:hAnsi="宋体"/>
          <w:color w:val="auto"/>
          <w:sz w:val="24"/>
          <w:szCs w:val="24"/>
        </w:rPr>
        <w:t>、声屏障（</w:t>
      </w:r>
      <w:r>
        <w:rPr>
          <w:rFonts w:hint="eastAsia"/>
          <w:color w:val="auto"/>
          <w:sz w:val="24"/>
          <w:szCs w:val="24"/>
        </w:rPr>
        <w:t>A</w:t>
      </w:r>
      <w:r>
        <w:rPr>
          <w:rFonts w:hint="eastAsia"/>
          <w:color w:val="auto"/>
          <w:sz w:val="24"/>
          <w:szCs w:val="24"/>
          <w:vertAlign w:val="subscript"/>
        </w:rPr>
        <w:t>bar</w:t>
      </w:r>
      <w:r>
        <w:rPr>
          <w:rFonts w:hint="eastAsia" w:ascii="宋体" w:hAnsi="宋体"/>
          <w:color w:val="auto"/>
          <w:sz w:val="24"/>
          <w:szCs w:val="24"/>
        </w:rPr>
        <w:t>）衰减</w:t>
      </w:r>
    </w:p>
    <w:p>
      <w:pPr>
        <w:pStyle w:val="1265"/>
        <w:spacing w:line="360" w:lineRule="auto"/>
        <w:ind w:firstLine="480" w:firstLineChars="200"/>
        <w:rPr>
          <w:color w:val="auto"/>
          <w:sz w:val="24"/>
          <w:szCs w:val="24"/>
        </w:rPr>
      </w:pPr>
      <w:r>
        <w:rPr>
          <w:rFonts w:hint="eastAsia" w:ascii="宋体" w:hAnsi="宋体"/>
          <w:color w:val="auto"/>
          <w:sz w:val="24"/>
          <w:szCs w:val="24"/>
        </w:rPr>
        <w:t>位于声源和预测点之间的实体障碍物，如围墙、建筑物、土坡或地堑等起声屏障作用，从而引起声能量的较大衰减。在环境影响评价中，可将各种形式的屏障简化为具有一定高度的薄屏障。</w:t>
      </w:r>
    </w:p>
    <w:p>
      <w:pPr>
        <w:pStyle w:val="1265"/>
        <w:spacing w:line="360" w:lineRule="auto"/>
        <w:ind w:firstLine="0" w:firstLineChars="0"/>
        <w:rPr>
          <w:color w:val="auto"/>
          <w:sz w:val="24"/>
          <w:szCs w:val="24"/>
        </w:rPr>
      </w:pPr>
      <w:r>
        <w:rPr>
          <w:rFonts w:hint="eastAsia" w:ascii="宋体" w:hAnsi="宋体"/>
          <w:color w:val="auto"/>
          <w:sz w:val="24"/>
          <w:szCs w:val="24"/>
        </w:rPr>
        <w:t>如下图所示，</w:t>
      </w:r>
      <w:r>
        <w:rPr>
          <w:rFonts w:hint="eastAsia"/>
          <w:color w:val="auto"/>
          <w:sz w:val="24"/>
          <w:szCs w:val="24"/>
        </w:rPr>
        <w:t>S</w:t>
      </w:r>
      <w:r>
        <w:rPr>
          <w:rFonts w:hint="eastAsia" w:ascii="宋体" w:hAnsi="宋体"/>
          <w:color w:val="auto"/>
          <w:sz w:val="24"/>
          <w:szCs w:val="24"/>
        </w:rPr>
        <w:t>、</w:t>
      </w:r>
      <w:r>
        <w:rPr>
          <w:rFonts w:hint="eastAsia"/>
          <w:color w:val="auto"/>
          <w:sz w:val="24"/>
          <w:szCs w:val="24"/>
        </w:rPr>
        <w:t>O</w:t>
      </w:r>
      <w:r>
        <w:rPr>
          <w:rFonts w:hint="eastAsia" w:ascii="宋体" w:hAnsi="宋体"/>
          <w:color w:val="auto"/>
          <w:sz w:val="24"/>
          <w:szCs w:val="24"/>
        </w:rPr>
        <w:t>、</w:t>
      </w:r>
      <w:r>
        <w:rPr>
          <w:rFonts w:hint="eastAsia"/>
          <w:color w:val="auto"/>
          <w:sz w:val="24"/>
          <w:szCs w:val="24"/>
        </w:rPr>
        <w:t xml:space="preserve">P </w:t>
      </w:r>
      <w:r>
        <w:rPr>
          <w:rFonts w:hint="eastAsia" w:ascii="宋体" w:hAnsi="宋体"/>
          <w:color w:val="auto"/>
          <w:sz w:val="24"/>
          <w:szCs w:val="24"/>
        </w:rPr>
        <w:t>三点在同一平面内且垂直于地面。</w:t>
      </w:r>
    </w:p>
    <w:p>
      <w:pPr>
        <w:pStyle w:val="1265"/>
        <w:spacing w:line="360" w:lineRule="auto"/>
        <w:ind w:firstLine="0" w:firstLineChars="0"/>
        <w:jc w:val="center"/>
        <w:rPr>
          <w:color w:val="auto"/>
          <w:sz w:val="24"/>
          <w:szCs w:val="24"/>
        </w:rPr>
      </w:pPr>
      <w:r>
        <w:rPr>
          <w:color w:val="auto"/>
          <w:sz w:val="24"/>
          <w:szCs w:val="24"/>
        </w:rPr>
        <w:drawing>
          <wp:inline distT="0" distB="0" distL="114300" distR="114300">
            <wp:extent cx="3006725" cy="1520825"/>
            <wp:effectExtent l="0" t="0" r="3175" b="3175"/>
            <wp:docPr id="72" name="图片 37" descr="d:\Users\李西西\AppData\Local\Temp\ksohtml366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7" descr="d:\Users\李西西\AppData\Local\Temp\ksohtml3660\wps29.jpg"/>
                    <pic:cNvPicPr>
                      <a:picLocks noChangeAspect="1"/>
                    </pic:cNvPicPr>
                  </pic:nvPicPr>
                  <pic:blipFill>
                    <a:blip r:embed="rId72"/>
                    <a:stretch>
                      <a:fillRect/>
                    </a:stretch>
                  </pic:blipFill>
                  <pic:spPr>
                    <a:xfrm>
                      <a:off x="0" y="0"/>
                      <a:ext cx="3006725" cy="1520825"/>
                    </a:xfrm>
                    <a:prstGeom prst="rect">
                      <a:avLst/>
                    </a:prstGeom>
                    <a:noFill/>
                    <a:ln>
                      <a:noFill/>
                    </a:ln>
                  </pic:spPr>
                </pic:pic>
              </a:graphicData>
            </a:graphic>
          </wp:inline>
        </w:drawing>
      </w:r>
      <w:r>
        <w:rPr>
          <w:color w:val="auto"/>
          <w:sz w:val="24"/>
          <w:szCs w:val="24"/>
        </w:rPr>
        <w:t xml:space="preserve"> </w:t>
      </w:r>
    </w:p>
    <w:p>
      <w:pPr>
        <w:pStyle w:val="286"/>
        <w:spacing w:beforeLines="0" w:after="0" w:afterAutospacing="0" w:line="360" w:lineRule="auto"/>
        <w:rPr>
          <w:color w:val="auto"/>
          <w:sz w:val="24"/>
          <w:szCs w:val="24"/>
        </w:rPr>
      </w:pPr>
      <w:r>
        <w:rPr>
          <w:rFonts w:hint="eastAsia" w:ascii="宋体" w:hAnsi="宋体"/>
          <w:color w:val="auto"/>
          <w:sz w:val="24"/>
          <w:szCs w:val="24"/>
        </w:rPr>
        <w:t>图</w:t>
      </w:r>
      <w:r>
        <w:rPr>
          <w:rFonts w:hint="eastAsia"/>
          <w:color w:val="auto"/>
          <w:sz w:val="24"/>
          <w:szCs w:val="24"/>
        </w:rPr>
        <w:t xml:space="preserve"> </w:t>
      </w:r>
      <w:r>
        <w:rPr>
          <w:color w:val="auto"/>
          <w:sz w:val="24"/>
          <w:szCs w:val="24"/>
        </w:rPr>
        <w:t>6.2</w:t>
      </w:r>
      <w:r>
        <w:rPr>
          <w:color w:val="auto"/>
          <w:sz w:val="24"/>
          <w:szCs w:val="24"/>
        </w:rPr>
        <w:noBreakHyphen/>
      </w:r>
      <w:r>
        <w:rPr>
          <w:color w:val="auto"/>
          <w:sz w:val="24"/>
          <w:szCs w:val="24"/>
        </w:rPr>
        <w:t xml:space="preserve">2   </w:t>
      </w:r>
      <w:r>
        <w:rPr>
          <w:rFonts w:hint="eastAsia" w:ascii="宋体" w:hAnsi="宋体"/>
          <w:color w:val="auto"/>
          <w:sz w:val="24"/>
          <w:szCs w:val="24"/>
        </w:rPr>
        <w:t>无限长声屏障示意图</w:t>
      </w:r>
    </w:p>
    <w:p>
      <w:pPr>
        <w:pStyle w:val="1265"/>
        <w:spacing w:line="360" w:lineRule="auto"/>
        <w:ind w:firstLine="480" w:firstLineChars="200"/>
        <w:rPr>
          <w:color w:val="auto"/>
          <w:sz w:val="24"/>
          <w:szCs w:val="24"/>
        </w:rPr>
      </w:pPr>
      <w:r>
        <w:rPr>
          <w:rFonts w:ascii="宋体" w:hAnsi="宋体"/>
          <w:color w:val="auto"/>
          <w:sz w:val="24"/>
          <w:szCs w:val="24"/>
        </w:rPr>
        <w:t>定义</w:t>
      </w:r>
      <w:r>
        <w:rPr>
          <w:color w:val="auto"/>
          <w:sz w:val="24"/>
          <w:szCs w:val="24"/>
        </w:rPr>
        <w:t>δ</w:t>
      </w:r>
      <w:r>
        <w:rPr>
          <w:rFonts w:ascii="宋体" w:hAnsi="宋体"/>
          <w:color w:val="auto"/>
          <w:sz w:val="24"/>
          <w:szCs w:val="24"/>
        </w:rPr>
        <w:t>＝</w:t>
      </w:r>
      <w:r>
        <w:rPr>
          <w:color w:val="auto"/>
          <w:sz w:val="24"/>
          <w:szCs w:val="24"/>
        </w:rPr>
        <w:t>SO</w:t>
      </w:r>
      <w:r>
        <w:rPr>
          <w:rFonts w:ascii="宋体" w:hAnsi="宋体"/>
          <w:color w:val="auto"/>
          <w:sz w:val="24"/>
          <w:szCs w:val="24"/>
        </w:rPr>
        <w:t>＋</w:t>
      </w:r>
      <w:r>
        <w:rPr>
          <w:color w:val="auto"/>
          <w:sz w:val="24"/>
          <w:szCs w:val="24"/>
        </w:rPr>
        <w:t>OP</w:t>
      </w:r>
      <w:r>
        <w:rPr>
          <w:rFonts w:ascii="宋体" w:hAnsi="宋体"/>
          <w:color w:val="auto"/>
          <w:sz w:val="24"/>
          <w:szCs w:val="24"/>
        </w:rPr>
        <w:t>－</w:t>
      </w:r>
      <w:r>
        <w:rPr>
          <w:color w:val="auto"/>
          <w:sz w:val="24"/>
          <w:szCs w:val="24"/>
        </w:rPr>
        <w:t xml:space="preserve">SP </w:t>
      </w:r>
      <w:r>
        <w:rPr>
          <w:rFonts w:ascii="宋体" w:hAnsi="宋体"/>
          <w:color w:val="auto"/>
          <w:sz w:val="24"/>
          <w:szCs w:val="24"/>
        </w:rPr>
        <w:t>为声程差，</w:t>
      </w:r>
      <w:r>
        <w:rPr>
          <w:color w:val="auto"/>
          <w:sz w:val="24"/>
          <w:szCs w:val="24"/>
        </w:rPr>
        <w:t>N</w:t>
      </w:r>
      <w:r>
        <w:rPr>
          <w:rFonts w:ascii="宋体" w:hAnsi="宋体"/>
          <w:color w:val="auto"/>
          <w:sz w:val="24"/>
          <w:szCs w:val="24"/>
        </w:rPr>
        <w:t>＝</w:t>
      </w:r>
      <w:r>
        <w:rPr>
          <w:color w:val="auto"/>
          <w:sz w:val="24"/>
          <w:szCs w:val="24"/>
        </w:rPr>
        <w:t>2δ/λ</w:t>
      </w:r>
      <w:r>
        <w:rPr>
          <w:rFonts w:ascii="宋体" w:hAnsi="宋体"/>
          <w:color w:val="auto"/>
          <w:sz w:val="24"/>
          <w:szCs w:val="24"/>
        </w:rPr>
        <w:t>为菲涅尔数，其中</w:t>
      </w:r>
      <w:r>
        <w:rPr>
          <w:color w:val="auto"/>
          <w:sz w:val="24"/>
          <w:szCs w:val="24"/>
        </w:rPr>
        <w:t>λ</w:t>
      </w:r>
      <w:r>
        <w:rPr>
          <w:rFonts w:ascii="宋体" w:hAnsi="宋体"/>
          <w:color w:val="auto"/>
          <w:sz w:val="24"/>
          <w:szCs w:val="24"/>
        </w:rPr>
        <w:t>为声波波长。</w:t>
      </w:r>
    </w:p>
    <w:p>
      <w:pPr>
        <w:pStyle w:val="1265"/>
        <w:spacing w:line="360" w:lineRule="auto"/>
        <w:ind w:firstLine="480" w:firstLineChars="200"/>
        <w:rPr>
          <w:color w:val="auto"/>
          <w:sz w:val="24"/>
          <w:szCs w:val="24"/>
        </w:rPr>
      </w:pPr>
      <w:r>
        <w:rPr>
          <w:rFonts w:hint="eastAsia" w:ascii="宋体" w:hAnsi="宋体"/>
          <w:color w:val="auto"/>
          <w:sz w:val="24"/>
          <w:szCs w:val="24"/>
        </w:rPr>
        <w:t>在噪声预测中，声屏障插入损失的计算方法需要根据实际情况作简化处理。屏障衰减</w:t>
      </w:r>
      <w:r>
        <w:rPr>
          <w:rFonts w:hint="eastAsia"/>
          <w:color w:val="auto"/>
          <w:sz w:val="24"/>
          <w:szCs w:val="24"/>
        </w:rPr>
        <w:t>Abar</w:t>
      </w:r>
      <w:r>
        <w:rPr>
          <w:rFonts w:hint="eastAsia" w:ascii="宋体" w:hAnsi="宋体"/>
          <w:color w:val="auto"/>
          <w:sz w:val="24"/>
          <w:szCs w:val="24"/>
        </w:rPr>
        <w:t>在单绕射（即薄屏障）情况，衰减最大取</w:t>
      </w:r>
      <w:r>
        <w:rPr>
          <w:rFonts w:hint="eastAsia"/>
          <w:color w:val="auto"/>
          <w:sz w:val="24"/>
          <w:szCs w:val="24"/>
        </w:rPr>
        <w:t>20dB</w:t>
      </w:r>
      <w:r>
        <w:rPr>
          <w:rFonts w:hint="eastAsia" w:ascii="宋体" w:hAnsi="宋体"/>
          <w:color w:val="auto"/>
          <w:sz w:val="24"/>
          <w:szCs w:val="24"/>
        </w:rPr>
        <w:t>；在双绕射（即厚屏障）情况，衰减最大取</w:t>
      </w:r>
      <w:r>
        <w:rPr>
          <w:rFonts w:hint="eastAsia"/>
          <w:color w:val="auto"/>
          <w:sz w:val="24"/>
          <w:szCs w:val="24"/>
        </w:rPr>
        <w:t>25dB</w:t>
      </w:r>
      <w:r>
        <w:rPr>
          <w:rFonts w:hint="eastAsia" w:ascii="宋体" w:hAnsi="宋体"/>
          <w:color w:val="auto"/>
          <w:sz w:val="24"/>
          <w:szCs w:val="24"/>
        </w:rPr>
        <w:t>。</w:t>
      </w:r>
    </w:p>
    <w:p>
      <w:pPr>
        <w:pStyle w:val="1265"/>
        <w:spacing w:line="360" w:lineRule="auto"/>
        <w:ind w:firstLine="0" w:firstLineChars="0"/>
        <w:rPr>
          <w:b/>
          <w:bCs/>
          <w:color w:val="auto"/>
          <w:sz w:val="24"/>
          <w:szCs w:val="24"/>
        </w:rPr>
      </w:pPr>
      <w:r>
        <w:rPr>
          <w:rFonts w:hint="eastAsia" w:ascii="宋体" w:hAnsi="宋体"/>
          <w:b/>
          <w:bCs/>
          <w:color w:val="auto"/>
          <w:sz w:val="24"/>
          <w:szCs w:val="24"/>
        </w:rPr>
        <w:t>（</w:t>
      </w:r>
      <w:r>
        <w:rPr>
          <w:b/>
          <w:bCs/>
          <w:color w:val="auto"/>
          <w:sz w:val="24"/>
          <w:szCs w:val="24"/>
        </w:rPr>
        <w:t>3</w:t>
      </w:r>
      <w:r>
        <w:rPr>
          <w:rFonts w:hint="eastAsia" w:ascii="宋体" w:hAnsi="宋体"/>
          <w:b/>
          <w:bCs/>
          <w:color w:val="auto"/>
          <w:sz w:val="24"/>
          <w:szCs w:val="24"/>
        </w:rPr>
        <w:t>）声源在预测点产生的等效声级贡献值（</w:t>
      </w:r>
      <w:r>
        <w:rPr>
          <w:rFonts w:hint="eastAsia"/>
          <w:b/>
          <w:bCs/>
          <w:color w:val="auto"/>
          <w:sz w:val="24"/>
          <w:szCs w:val="24"/>
        </w:rPr>
        <w:t>Leqg</w:t>
      </w:r>
      <w:r>
        <w:rPr>
          <w:rFonts w:hint="eastAsia" w:ascii="宋体" w:hAnsi="宋体"/>
          <w:b/>
          <w:bCs/>
          <w:color w:val="auto"/>
          <w:sz w:val="24"/>
          <w:szCs w:val="24"/>
        </w:rPr>
        <w:t>）</w:t>
      </w:r>
    </w:p>
    <w:p>
      <w:pPr>
        <w:pStyle w:val="1265"/>
        <w:spacing w:line="360" w:lineRule="auto"/>
        <w:ind w:firstLine="480" w:firstLineChars="200"/>
        <w:rPr>
          <w:color w:val="auto"/>
          <w:sz w:val="24"/>
          <w:szCs w:val="24"/>
        </w:rPr>
      </w:pPr>
      <w:r>
        <w:rPr>
          <w:rFonts w:hint="eastAsia" w:ascii="宋体" w:hAnsi="宋体"/>
          <w:color w:val="auto"/>
          <w:sz w:val="24"/>
          <w:szCs w:val="24"/>
        </w:rPr>
        <w:t>设第</w:t>
      </w:r>
      <w:r>
        <w:rPr>
          <w:rFonts w:hint="eastAsia"/>
          <w:color w:val="auto"/>
          <w:sz w:val="24"/>
          <w:szCs w:val="24"/>
        </w:rPr>
        <w:t>i</w:t>
      </w:r>
      <w:r>
        <w:rPr>
          <w:rFonts w:hint="eastAsia" w:ascii="宋体" w:hAnsi="宋体"/>
          <w:color w:val="auto"/>
          <w:sz w:val="24"/>
          <w:szCs w:val="24"/>
        </w:rPr>
        <w:t>个室外声源在预测点产生的</w:t>
      </w:r>
      <w:r>
        <w:rPr>
          <w:rFonts w:hint="eastAsia"/>
          <w:color w:val="auto"/>
          <w:sz w:val="24"/>
          <w:szCs w:val="24"/>
        </w:rPr>
        <w:t xml:space="preserve">A </w:t>
      </w:r>
      <w:r>
        <w:rPr>
          <w:rFonts w:hint="eastAsia" w:ascii="宋体" w:hAnsi="宋体"/>
          <w:color w:val="auto"/>
          <w:sz w:val="24"/>
          <w:szCs w:val="24"/>
        </w:rPr>
        <w:t>声级为</w:t>
      </w:r>
      <w:r>
        <w:rPr>
          <w:color w:val="auto"/>
          <w:sz w:val="24"/>
          <w:szCs w:val="24"/>
        </w:rPr>
        <w:drawing>
          <wp:inline distT="0" distB="0" distL="114300" distR="114300">
            <wp:extent cx="488950" cy="172085"/>
            <wp:effectExtent l="0" t="0" r="6350" b="18415"/>
            <wp:docPr id="70" name="图片 38" descr="d:\Users\李西西\AppData\Local\Temp\ksohtml366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descr="d:\Users\李西西\AppData\Local\Temp\ksohtml3660\wps30.jpg"/>
                    <pic:cNvPicPr>
                      <a:picLocks noChangeAspect="1"/>
                    </pic:cNvPicPr>
                  </pic:nvPicPr>
                  <pic:blipFill>
                    <a:blip r:embed="rId73"/>
                    <a:stretch>
                      <a:fillRect/>
                    </a:stretch>
                  </pic:blipFill>
                  <pic:spPr>
                    <a:xfrm>
                      <a:off x="0" y="0"/>
                      <a:ext cx="488950" cy="172085"/>
                    </a:xfrm>
                    <a:prstGeom prst="rect">
                      <a:avLst/>
                    </a:prstGeom>
                    <a:noFill/>
                    <a:ln>
                      <a:noFill/>
                    </a:ln>
                  </pic:spPr>
                </pic:pic>
              </a:graphicData>
            </a:graphic>
          </wp:inline>
        </w:drawing>
      </w:r>
      <w:r>
        <w:rPr>
          <w:rFonts w:hint="eastAsia" w:ascii="宋体" w:hAnsi="宋体"/>
          <w:color w:val="auto"/>
          <w:sz w:val="24"/>
          <w:szCs w:val="24"/>
        </w:rPr>
        <w:t>，在</w:t>
      </w:r>
      <w:r>
        <w:rPr>
          <w:rFonts w:hint="eastAsia"/>
          <w:color w:val="auto"/>
          <w:sz w:val="24"/>
          <w:szCs w:val="24"/>
        </w:rPr>
        <w:t>T</w:t>
      </w:r>
      <w:r>
        <w:rPr>
          <w:rFonts w:hint="eastAsia" w:ascii="宋体" w:hAnsi="宋体"/>
          <w:color w:val="auto"/>
          <w:sz w:val="24"/>
          <w:szCs w:val="24"/>
        </w:rPr>
        <w:t>时间内该声源工作时间为</w:t>
      </w:r>
      <w:r>
        <w:rPr>
          <w:color w:val="auto"/>
          <w:sz w:val="24"/>
          <w:szCs w:val="24"/>
        </w:rPr>
        <w:drawing>
          <wp:inline distT="0" distB="0" distL="114300" distR="114300">
            <wp:extent cx="398145" cy="172085"/>
            <wp:effectExtent l="0" t="0" r="1905" b="18415"/>
            <wp:docPr id="63" name="图片 39" descr="d:\Users\李西西\AppData\Local\Temp\ksohtml366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9" descr="d:\Users\李西西\AppData\Local\Temp\ksohtml3660\wps31.jpg"/>
                    <pic:cNvPicPr>
                      <a:picLocks noChangeAspect="1"/>
                    </pic:cNvPicPr>
                  </pic:nvPicPr>
                  <pic:blipFill>
                    <a:blip r:embed="rId74"/>
                    <a:stretch>
                      <a:fillRect/>
                    </a:stretch>
                  </pic:blipFill>
                  <pic:spPr>
                    <a:xfrm>
                      <a:off x="0" y="0"/>
                      <a:ext cx="398145" cy="172085"/>
                    </a:xfrm>
                    <a:prstGeom prst="rect">
                      <a:avLst/>
                    </a:prstGeom>
                    <a:noFill/>
                    <a:ln>
                      <a:noFill/>
                    </a:ln>
                  </pic:spPr>
                </pic:pic>
              </a:graphicData>
            </a:graphic>
          </wp:inline>
        </w:drawing>
      </w:r>
      <w:r>
        <w:rPr>
          <w:rFonts w:hint="eastAsia" w:ascii="宋体" w:hAnsi="宋体"/>
          <w:color w:val="auto"/>
          <w:sz w:val="24"/>
          <w:szCs w:val="24"/>
        </w:rPr>
        <w:t>；第</w:t>
      </w:r>
      <w:r>
        <w:rPr>
          <w:rFonts w:hint="eastAsia"/>
          <w:color w:val="auto"/>
          <w:sz w:val="24"/>
          <w:szCs w:val="24"/>
        </w:rPr>
        <w:t>j</w:t>
      </w:r>
      <w:r>
        <w:rPr>
          <w:rFonts w:hint="eastAsia" w:ascii="宋体" w:hAnsi="宋体"/>
          <w:color w:val="auto"/>
          <w:sz w:val="24"/>
          <w:szCs w:val="24"/>
        </w:rPr>
        <w:t>个等效室外声源在预测点产生的</w:t>
      </w:r>
      <w:r>
        <w:rPr>
          <w:rFonts w:hint="eastAsia"/>
          <w:color w:val="auto"/>
          <w:sz w:val="24"/>
          <w:szCs w:val="24"/>
        </w:rPr>
        <w:t xml:space="preserve">A </w:t>
      </w:r>
      <w:r>
        <w:rPr>
          <w:rFonts w:hint="eastAsia" w:ascii="宋体" w:hAnsi="宋体"/>
          <w:color w:val="auto"/>
          <w:sz w:val="24"/>
          <w:szCs w:val="24"/>
        </w:rPr>
        <w:t>声级为</w:t>
      </w:r>
      <w:r>
        <w:rPr>
          <w:color w:val="auto"/>
          <w:sz w:val="24"/>
          <w:szCs w:val="24"/>
        </w:rPr>
        <w:drawing>
          <wp:inline distT="0" distB="0" distL="114300" distR="114300">
            <wp:extent cx="497840" cy="189865"/>
            <wp:effectExtent l="0" t="0" r="16510" b="635"/>
            <wp:docPr id="66" name="图片 40" descr="d:\Users\李西西\AppData\Local\Temp\ksohtml366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descr="d:\Users\李西西\AppData\Local\Temp\ksohtml3660\wps32.jpg"/>
                    <pic:cNvPicPr>
                      <a:picLocks noChangeAspect="1"/>
                    </pic:cNvPicPr>
                  </pic:nvPicPr>
                  <pic:blipFill>
                    <a:blip r:embed="rId75"/>
                    <a:stretch>
                      <a:fillRect/>
                    </a:stretch>
                  </pic:blipFill>
                  <pic:spPr>
                    <a:xfrm>
                      <a:off x="0" y="0"/>
                      <a:ext cx="497840" cy="189865"/>
                    </a:xfrm>
                    <a:prstGeom prst="rect">
                      <a:avLst/>
                    </a:prstGeom>
                    <a:noFill/>
                    <a:ln>
                      <a:noFill/>
                    </a:ln>
                  </pic:spPr>
                </pic:pic>
              </a:graphicData>
            </a:graphic>
          </wp:inline>
        </w:drawing>
      </w:r>
      <w:r>
        <w:rPr>
          <w:rFonts w:hint="eastAsia" w:ascii="宋体" w:hAnsi="宋体"/>
          <w:color w:val="auto"/>
          <w:sz w:val="24"/>
          <w:szCs w:val="24"/>
        </w:rPr>
        <w:t>，在</w:t>
      </w:r>
      <w:r>
        <w:rPr>
          <w:rFonts w:hint="eastAsia"/>
          <w:color w:val="auto"/>
          <w:sz w:val="24"/>
          <w:szCs w:val="24"/>
        </w:rPr>
        <w:t>T</w:t>
      </w:r>
      <w:r>
        <w:rPr>
          <w:rFonts w:hint="eastAsia" w:ascii="宋体" w:hAnsi="宋体"/>
          <w:color w:val="auto"/>
          <w:sz w:val="24"/>
          <w:szCs w:val="24"/>
        </w:rPr>
        <w:t>时间内该声源工作时间为</w:t>
      </w:r>
      <w:r>
        <w:rPr>
          <w:color w:val="auto"/>
          <w:sz w:val="24"/>
          <w:szCs w:val="24"/>
        </w:rPr>
        <w:drawing>
          <wp:inline distT="0" distB="0" distL="114300" distR="114300">
            <wp:extent cx="398145" cy="189865"/>
            <wp:effectExtent l="0" t="0" r="1905" b="635"/>
            <wp:docPr id="71" name="图片 41" descr="d:\Users\李西西\AppData\Local\Temp\ksohtml36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1" descr="d:\Users\李西西\AppData\Local\Temp\ksohtml3660\wps33.jpg"/>
                    <pic:cNvPicPr>
                      <a:picLocks noChangeAspect="1"/>
                    </pic:cNvPicPr>
                  </pic:nvPicPr>
                  <pic:blipFill>
                    <a:blip r:embed="rId76"/>
                    <a:stretch>
                      <a:fillRect/>
                    </a:stretch>
                  </pic:blipFill>
                  <pic:spPr>
                    <a:xfrm>
                      <a:off x="0" y="0"/>
                      <a:ext cx="398145" cy="189865"/>
                    </a:xfrm>
                    <a:prstGeom prst="rect">
                      <a:avLst/>
                    </a:prstGeom>
                    <a:noFill/>
                    <a:ln>
                      <a:noFill/>
                    </a:ln>
                  </pic:spPr>
                </pic:pic>
              </a:graphicData>
            </a:graphic>
          </wp:inline>
        </w:drawing>
      </w:r>
      <w:r>
        <w:rPr>
          <w:rFonts w:hint="eastAsia" w:ascii="宋体" w:hAnsi="宋体"/>
          <w:color w:val="auto"/>
          <w:sz w:val="24"/>
          <w:szCs w:val="24"/>
        </w:rPr>
        <w:t>，则拟建工程声源对预测点产生的贡献值（</w:t>
      </w:r>
      <w:r>
        <w:rPr>
          <w:rFonts w:hint="eastAsia"/>
          <w:color w:val="auto"/>
          <w:sz w:val="24"/>
          <w:szCs w:val="24"/>
        </w:rPr>
        <w:t>Leqg</w:t>
      </w:r>
      <w:r>
        <w:rPr>
          <w:rFonts w:hint="eastAsia" w:ascii="宋体" w:hAnsi="宋体"/>
          <w:color w:val="auto"/>
          <w:sz w:val="24"/>
          <w:szCs w:val="24"/>
        </w:rPr>
        <w:t>）为：</w:t>
      </w:r>
    </w:p>
    <w:p>
      <w:pPr>
        <w:pStyle w:val="1265"/>
        <w:spacing w:line="360" w:lineRule="auto"/>
        <w:ind w:firstLine="0" w:firstLineChars="0"/>
        <w:jc w:val="center"/>
        <w:rPr>
          <w:color w:val="auto"/>
          <w:sz w:val="24"/>
          <w:szCs w:val="24"/>
        </w:rPr>
      </w:pPr>
      <w:r>
        <w:rPr>
          <w:color w:val="auto"/>
          <w:sz w:val="24"/>
          <w:szCs w:val="24"/>
        </w:rPr>
        <w:drawing>
          <wp:inline distT="0" distB="0" distL="114300" distR="114300">
            <wp:extent cx="3004185" cy="661035"/>
            <wp:effectExtent l="0" t="0" r="5715" b="5715"/>
            <wp:docPr id="68" name="图片 42" descr="d:\Users\李西西\AppData\Local\Temp\ksohtml36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 descr="d:\Users\李西西\AppData\Local\Temp\ksohtml3660\wps34.jpg"/>
                    <pic:cNvPicPr>
                      <a:picLocks noChangeAspect="1"/>
                    </pic:cNvPicPr>
                  </pic:nvPicPr>
                  <pic:blipFill>
                    <a:blip r:embed="rId77"/>
                    <a:stretch>
                      <a:fillRect/>
                    </a:stretch>
                  </pic:blipFill>
                  <pic:spPr>
                    <a:xfrm>
                      <a:off x="0" y="0"/>
                      <a:ext cx="3004185" cy="661035"/>
                    </a:xfrm>
                    <a:prstGeom prst="rect">
                      <a:avLst/>
                    </a:prstGeom>
                    <a:noFill/>
                    <a:ln>
                      <a:noFill/>
                    </a:ln>
                  </pic:spPr>
                </pic:pic>
              </a:graphicData>
            </a:graphic>
          </wp:inline>
        </w:drawing>
      </w:r>
      <w:r>
        <w:rPr>
          <w:color w:val="auto"/>
          <w:sz w:val="24"/>
          <w:szCs w:val="24"/>
        </w:rPr>
        <w:t xml:space="preserve"> </w:t>
      </w:r>
    </w:p>
    <w:p>
      <w:pPr>
        <w:pStyle w:val="1265"/>
        <w:spacing w:line="360" w:lineRule="auto"/>
        <w:ind w:firstLine="0" w:firstLineChars="0"/>
        <w:rPr>
          <w:color w:val="auto"/>
          <w:sz w:val="24"/>
          <w:szCs w:val="24"/>
        </w:rPr>
      </w:pPr>
      <w:r>
        <w:rPr>
          <w:rFonts w:ascii="宋体" w:hAnsi="宋体"/>
          <w:color w:val="auto"/>
          <w:sz w:val="24"/>
          <w:szCs w:val="24"/>
        </w:rPr>
        <w:t>式中：</w:t>
      </w:r>
      <w:r>
        <w:rPr>
          <w:color w:val="auto"/>
          <w:sz w:val="24"/>
          <w:szCs w:val="24"/>
        </w:rPr>
        <w:drawing>
          <wp:inline distT="0" distB="0" distL="114300" distR="114300">
            <wp:extent cx="561340" cy="189865"/>
            <wp:effectExtent l="0" t="0" r="10160" b="635"/>
            <wp:docPr id="73" name="图片 43" descr="d:\Users\李西西\AppData\Local\Temp\ksohtml36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3" descr="d:\Users\李西西\AppData\Local\Temp\ksohtml3660\wps35.jpg"/>
                    <pic:cNvPicPr>
                      <a:picLocks noChangeAspect="1"/>
                    </pic:cNvPicPr>
                  </pic:nvPicPr>
                  <pic:blipFill>
                    <a:blip r:embed="rId78"/>
                    <a:stretch>
                      <a:fillRect/>
                    </a:stretch>
                  </pic:blipFill>
                  <pic:spPr>
                    <a:xfrm>
                      <a:off x="0" y="0"/>
                      <a:ext cx="561340" cy="189865"/>
                    </a:xfrm>
                    <a:prstGeom prst="rect">
                      <a:avLst/>
                    </a:prstGeom>
                    <a:noFill/>
                    <a:ln>
                      <a:noFill/>
                    </a:ln>
                  </pic:spPr>
                </pic:pic>
              </a:graphicData>
            </a:graphic>
          </wp:inline>
        </w:drawing>
      </w:r>
      <w:r>
        <w:rPr>
          <w:color w:val="auto"/>
          <w:sz w:val="24"/>
          <w:szCs w:val="24"/>
        </w:rPr>
        <w:t>——</w:t>
      </w:r>
      <w:r>
        <w:rPr>
          <w:rFonts w:ascii="宋体" w:hAnsi="宋体"/>
          <w:color w:val="auto"/>
          <w:sz w:val="24"/>
          <w:szCs w:val="24"/>
        </w:rPr>
        <w:t>建设项目声源在预测点产生的噪声贡献值，</w:t>
      </w:r>
      <w:r>
        <w:rPr>
          <w:color w:val="auto"/>
          <w:sz w:val="24"/>
          <w:szCs w:val="24"/>
        </w:rPr>
        <w:t>dB</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t>T ——</w:t>
      </w:r>
      <w:r>
        <w:rPr>
          <w:rFonts w:ascii="宋体" w:hAnsi="宋体"/>
          <w:color w:val="auto"/>
          <w:sz w:val="24"/>
          <w:szCs w:val="24"/>
        </w:rPr>
        <w:t>用于计算等效声级的时间，</w:t>
      </w:r>
      <w:r>
        <w:rPr>
          <w:color w:val="auto"/>
          <w:sz w:val="24"/>
          <w:szCs w:val="24"/>
        </w:rPr>
        <w:t>s</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t>N ——</w:t>
      </w:r>
      <w:r>
        <w:rPr>
          <w:rFonts w:ascii="宋体" w:hAnsi="宋体"/>
          <w:color w:val="auto"/>
          <w:sz w:val="24"/>
          <w:szCs w:val="24"/>
        </w:rPr>
        <w:t>室外声源个数；</w:t>
      </w:r>
    </w:p>
    <w:p>
      <w:pPr>
        <w:pStyle w:val="1265"/>
        <w:spacing w:line="360" w:lineRule="auto"/>
        <w:ind w:firstLine="0" w:firstLineChars="0"/>
        <w:rPr>
          <w:color w:val="auto"/>
          <w:sz w:val="24"/>
          <w:szCs w:val="24"/>
        </w:rPr>
      </w:pPr>
      <w:r>
        <w:rPr>
          <w:color w:val="auto"/>
          <w:sz w:val="24"/>
          <w:szCs w:val="24"/>
        </w:rPr>
        <w:drawing>
          <wp:inline distT="0" distB="0" distL="114300" distR="114300">
            <wp:extent cx="859790" cy="172085"/>
            <wp:effectExtent l="0" t="0" r="16510" b="18415"/>
            <wp:docPr id="62" name="图片 44" descr="d:\Users\李西西\AppData\Local\Temp\ksohtml36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4" descr="d:\Users\李西西\AppData\Local\Temp\ksohtml3660\wps36.jpg"/>
                    <pic:cNvPicPr>
                      <a:picLocks noChangeAspect="1"/>
                    </pic:cNvPicPr>
                  </pic:nvPicPr>
                  <pic:blipFill>
                    <a:blip r:embed="rId79"/>
                    <a:stretch>
                      <a:fillRect/>
                    </a:stretch>
                  </pic:blipFill>
                  <pic:spPr>
                    <a:xfrm>
                      <a:off x="0" y="0"/>
                      <a:ext cx="859790" cy="172085"/>
                    </a:xfrm>
                    <a:prstGeom prst="rect">
                      <a:avLst/>
                    </a:prstGeom>
                    <a:noFill/>
                    <a:ln>
                      <a:noFill/>
                    </a:ln>
                  </pic:spPr>
                </pic:pic>
              </a:graphicData>
            </a:graphic>
          </wp:inline>
        </w:drawing>
      </w:r>
      <w:r>
        <w:rPr>
          <w:color w:val="auto"/>
          <w:sz w:val="24"/>
          <w:szCs w:val="24"/>
        </w:rPr>
        <w:t>——</w:t>
      </w:r>
      <w:r>
        <w:rPr>
          <w:rFonts w:ascii="宋体" w:hAnsi="宋体"/>
          <w:color w:val="auto"/>
          <w:sz w:val="24"/>
          <w:szCs w:val="24"/>
        </w:rPr>
        <w:t>在</w:t>
      </w:r>
      <w:r>
        <w:rPr>
          <w:color w:val="auto"/>
          <w:sz w:val="24"/>
          <w:szCs w:val="24"/>
        </w:rPr>
        <w:t xml:space="preserve">T </w:t>
      </w:r>
      <w:r>
        <w:rPr>
          <w:rFonts w:ascii="宋体" w:hAnsi="宋体"/>
          <w:color w:val="auto"/>
          <w:sz w:val="24"/>
          <w:szCs w:val="24"/>
        </w:rPr>
        <w:t>时间内</w:t>
      </w:r>
      <w:r>
        <w:rPr>
          <w:color w:val="auto"/>
          <w:sz w:val="24"/>
          <w:szCs w:val="24"/>
        </w:rPr>
        <w:t>i</w:t>
      </w:r>
      <w:r>
        <w:rPr>
          <w:rFonts w:ascii="宋体" w:hAnsi="宋体"/>
          <w:color w:val="auto"/>
          <w:sz w:val="24"/>
          <w:szCs w:val="24"/>
        </w:rPr>
        <w:t>声源工作时间，</w:t>
      </w:r>
      <w:r>
        <w:rPr>
          <w:color w:val="auto"/>
          <w:sz w:val="24"/>
          <w:szCs w:val="24"/>
        </w:rPr>
        <w:t>s</w:t>
      </w:r>
      <w:r>
        <w:rPr>
          <w:rFonts w:ascii="宋体" w:hAnsi="宋体"/>
          <w:color w:val="auto"/>
          <w:sz w:val="24"/>
          <w:szCs w:val="24"/>
        </w:rPr>
        <w:t>；</w:t>
      </w:r>
    </w:p>
    <w:p>
      <w:pPr>
        <w:pStyle w:val="1265"/>
        <w:spacing w:line="360" w:lineRule="auto"/>
        <w:ind w:firstLine="0" w:firstLineChars="0"/>
        <w:rPr>
          <w:color w:val="auto"/>
          <w:sz w:val="24"/>
          <w:szCs w:val="24"/>
        </w:rPr>
      </w:pPr>
      <w:r>
        <w:rPr>
          <w:color w:val="auto"/>
          <w:sz w:val="24"/>
          <w:szCs w:val="24"/>
        </w:rPr>
        <w:t>M ——</w:t>
      </w:r>
      <w:r>
        <w:rPr>
          <w:rFonts w:ascii="宋体" w:hAnsi="宋体"/>
          <w:color w:val="auto"/>
          <w:sz w:val="24"/>
          <w:szCs w:val="24"/>
        </w:rPr>
        <w:t>等效室外声源个数；</w:t>
      </w:r>
    </w:p>
    <w:p>
      <w:pPr>
        <w:pStyle w:val="1265"/>
        <w:spacing w:line="360" w:lineRule="auto"/>
        <w:ind w:firstLine="0" w:firstLineChars="0"/>
        <w:rPr>
          <w:color w:val="auto"/>
          <w:sz w:val="24"/>
          <w:szCs w:val="24"/>
        </w:rPr>
      </w:pPr>
      <w:r>
        <w:rPr>
          <w:color w:val="auto"/>
          <w:sz w:val="24"/>
          <w:szCs w:val="24"/>
        </w:rPr>
        <w:drawing>
          <wp:inline distT="0" distB="0" distL="114300" distR="114300">
            <wp:extent cx="860425" cy="189865"/>
            <wp:effectExtent l="0" t="0" r="15875" b="635"/>
            <wp:docPr id="69" name="图片 45" descr="d:\Users\李西西\AppData\Local\Temp\ksohtml36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5" descr="d:\Users\李西西\AppData\Local\Temp\ksohtml3660\wps37.jpg"/>
                    <pic:cNvPicPr>
                      <a:picLocks noChangeAspect="1"/>
                    </pic:cNvPicPr>
                  </pic:nvPicPr>
                  <pic:blipFill>
                    <a:blip r:embed="rId80"/>
                    <a:stretch>
                      <a:fillRect/>
                    </a:stretch>
                  </pic:blipFill>
                  <pic:spPr>
                    <a:xfrm>
                      <a:off x="0" y="0"/>
                      <a:ext cx="860425" cy="189865"/>
                    </a:xfrm>
                    <a:prstGeom prst="rect">
                      <a:avLst/>
                    </a:prstGeom>
                    <a:noFill/>
                    <a:ln>
                      <a:noFill/>
                    </a:ln>
                  </pic:spPr>
                </pic:pic>
              </a:graphicData>
            </a:graphic>
          </wp:inline>
        </w:drawing>
      </w:r>
      <w:r>
        <w:rPr>
          <w:color w:val="auto"/>
          <w:sz w:val="24"/>
          <w:szCs w:val="24"/>
        </w:rPr>
        <w:t>——</w:t>
      </w:r>
      <w:r>
        <w:rPr>
          <w:rFonts w:ascii="宋体" w:hAnsi="宋体"/>
          <w:color w:val="auto"/>
          <w:sz w:val="24"/>
          <w:szCs w:val="24"/>
        </w:rPr>
        <w:t>在</w:t>
      </w:r>
      <w:r>
        <w:rPr>
          <w:color w:val="auto"/>
          <w:sz w:val="24"/>
          <w:szCs w:val="24"/>
        </w:rPr>
        <w:t xml:space="preserve">T </w:t>
      </w:r>
      <w:r>
        <w:rPr>
          <w:rFonts w:ascii="宋体" w:hAnsi="宋体"/>
          <w:color w:val="auto"/>
          <w:sz w:val="24"/>
          <w:szCs w:val="24"/>
        </w:rPr>
        <w:t>时间内</w:t>
      </w:r>
      <w:r>
        <w:rPr>
          <w:color w:val="auto"/>
          <w:sz w:val="24"/>
          <w:szCs w:val="24"/>
        </w:rPr>
        <w:t>j</w:t>
      </w:r>
      <w:r>
        <w:rPr>
          <w:rFonts w:ascii="宋体" w:hAnsi="宋体"/>
          <w:color w:val="auto"/>
          <w:sz w:val="24"/>
          <w:szCs w:val="24"/>
        </w:rPr>
        <w:t>声源工作时间，</w:t>
      </w:r>
      <w:r>
        <w:rPr>
          <w:color w:val="auto"/>
          <w:sz w:val="24"/>
          <w:szCs w:val="24"/>
        </w:rPr>
        <w:t>s</w:t>
      </w:r>
      <w:r>
        <w:rPr>
          <w:rFonts w:ascii="宋体" w:hAnsi="宋体"/>
          <w:color w:val="auto"/>
          <w:sz w:val="24"/>
          <w:szCs w:val="24"/>
        </w:rPr>
        <w:t>。</w:t>
      </w:r>
    </w:p>
    <w:p>
      <w:pPr>
        <w:pStyle w:val="1265"/>
        <w:spacing w:line="360" w:lineRule="auto"/>
        <w:ind w:firstLine="0" w:firstLineChars="0"/>
        <w:rPr>
          <w:b/>
          <w:bCs/>
          <w:color w:val="auto"/>
          <w:sz w:val="24"/>
          <w:szCs w:val="24"/>
        </w:rPr>
      </w:pPr>
      <w:r>
        <w:rPr>
          <w:rFonts w:hint="eastAsia" w:ascii="宋体" w:hAnsi="宋体"/>
          <w:b/>
          <w:bCs/>
          <w:color w:val="auto"/>
          <w:sz w:val="24"/>
          <w:szCs w:val="24"/>
        </w:rPr>
        <w:t>（</w:t>
      </w:r>
      <w:r>
        <w:rPr>
          <w:b/>
          <w:bCs/>
          <w:color w:val="auto"/>
          <w:sz w:val="24"/>
          <w:szCs w:val="24"/>
        </w:rPr>
        <w:t>4</w:t>
      </w:r>
      <w:r>
        <w:rPr>
          <w:rFonts w:hint="eastAsia" w:ascii="宋体" w:hAnsi="宋体"/>
          <w:b/>
          <w:bCs/>
          <w:color w:val="auto"/>
          <w:sz w:val="24"/>
          <w:szCs w:val="24"/>
        </w:rPr>
        <w:t>）预测点的预测等效声级（</w:t>
      </w:r>
      <w:r>
        <w:rPr>
          <w:rFonts w:hint="eastAsia"/>
          <w:b/>
          <w:bCs/>
          <w:color w:val="auto"/>
          <w:sz w:val="24"/>
          <w:szCs w:val="24"/>
        </w:rPr>
        <w:t>Leq</w:t>
      </w:r>
      <w:r>
        <w:rPr>
          <w:rFonts w:hint="eastAsia" w:ascii="宋体" w:hAnsi="宋体"/>
          <w:b/>
          <w:bCs/>
          <w:color w:val="auto"/>
          <w:sz w:val="24"/>
          <w:szCs w:val="24"/>
        </w:rPr>
        <w:t>）</w:t>
      </w:r>
    </w:p>
    <w:p>
      <w:pPr>
        <w:pStyle w:val="1265"/>
        <w:spacing w:line="360" w:lineRule="auto"/>
        <w:ind w:firstLine="480" w:firstLineChars="200"/>
        <w:rPr>
          <w:color w:val="auto"/>
          <w:sz w:val="24"/>
          <w:szCs w:val="24"/>
        </w:rPr>
      </w:pPr>
      <w:r>
        <w:rPr>
          <w:rFonts w:hint="eastAsia" w:ascii="宋体" w:hAnsi="宋体"/>
          <w:color w:val="auto"/>
          <w:sz w:val="24"/>
          <w:szCs w:val="24"/>
        </w:rPr>
        <w:t>预测点的贡献值和背景值按能量叠加方法计算得到的声级。</w:t>
      </w:r>
    </w:p>
    <w:p>
      <w:pPr>
        <w:pStyle w:val="1265"/>
        <w:spacing w:line="360" w:lineRule="auto"/>
        <w:ind w:firstLine="480" w:firstLineChars="200"/>
        <w:rPr>
          <w:color w:val="auto"/>
          <w:sz w:val="24"/>
          <w:szCs w:val="24"/>
        </w:rPr>
      </w:pPr>
      <w:r>
        <w:rPr>
          <w:rFonts w:hint="eastAsia" w:ascii="宋体" w:hAnsi="宋体"/>
          <w:color w:val="auto"/>
          <w:sz w:val="24"/>
          <w:szCs w:val="24"/>
        </w:rPr>
        <w:t>噪声预测值（</w:t>
      </w:r>
      <w:r>
        <w:rPr>
          <w:rFonts w:hint="eastAsia"/>
          <w:color w:val="auto"/>
          <w:sz w:val="24"/>
          <w:szCs w:val="24"/>
        </w:rPr>
        <w:t>Leq</w:t>
      </w:r>
      <w:r>
        <w:rPr>
          <w:rFonts w:hint="eastAsia" w:ascii="宋体" w:hAnsi="宋体"/>
          <w:color w:val="auto"/>
          <w:sz w:val="24"/>
          <w:szCs w:val="24"/>
        </w:rPr>
        <w:t>）计算公式为：</w:t>
      </w:r>
    </w:p>
    <w:p>
      <w:pPr>
        <w:pStyle w:val="1265"/>
        <w:spacing w:line="360" w:lineRule="auto"/>
        <w:ind w:firstLine="0" w:firstLineChars="0"/>
        <w:jc w:val="center"/>
        <w:rPr>
          <w:color w:val="auto"/>
          <w:sz w:val="24"/>
          <w:szCs w:val="24"/>
        </w:rPr>
      </w:pPr>
      <w:r>
        <w:rPr>
          <w:color w:val="auto"/>
          <w:sz w:val="24"/>
          <w:szCs w:val="24"/>
        </w:rPr>
        <w:drawing>
          <wp:inline distT="0" distB="0" distL="114300" distR="114300">
            <wp:extent cx="2055495" cy="289560"/>
            <wp:effectExtent l="0" t="0" r="1905" b="15240"/>
            <wp:docPr id="52" name="图片 46" descr="d:\Users\李西西\AppData\Local\Temp\ksohtml36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descr="d:\Users\李西西\AppData\Local\Temp\ksohtml3660\wps38.jpg"/>
                    <pic:cNvPicPr>
                      <a:picLocks noChangeAspect="1"/>
                    </pic:cNvPicPr>
                  </pic:nvPicPr>
                  <pic:blipFill>
                    <a:blip r:embed="rId81"/>
                    <a:stretch>
                      <a:fillRect/>
                    </a:stretch>
                  </pic:blipFill>
                  <pic:spPr>
                    <a:xfrm>
                      <a:off x="0" y="0"/>
                      <a:ext cx="2055495" cy="289560"/>
                    </a:xfrm>
                    <a:prstGeom prst="rect">
                      <a:avLst/>
                    </a:prstGeom>
                    <a:noFill/>
                    <a:ln>
                      <a:noFill/>
                    </a:ln>
                  </pic:spPr>
                </pic:pic>
              </a:graphicData>
            </a:graphic>
          </wp:inline>
        </w:drawing>
      </w:r>
    </w:p>
    <w:p>
      <w:pPr>
        <w:pStyle w:val="1265"/>
        <w:spacing w:line="360" w:lineRule="auto"/>
        <w:ind w:firstLine="0" w:firstLineChars="0"/>
        <w:rPr>
          <w:color w:val="auto"/>
          <w:sz w:val="24"/>
          <w:szCs w:val="24"/>
        </w:rPr>
      </w:pPr>
      <w:r>
        <w:rPr>
          <w:rFonts w:hint="eastAsia" w:ascii="宋体" w:hAnsi="宋体"/>
          <w:color w:val="auto"/>
          <w:sz w:val="24"/>
          <w:szCs w:val="24"/>
        </w:rPr>
        <w:t>式中：</w:t>
      </w:r>
      <w:r>
        <w:rPr>
          <w:color w:val="auto"/>
          <w:sz w:val="24"/>
          <w:szCs w:val="24"/>
        </w:rPr>
        <w:drawing>
          <wp:inline distT="0" distB="0" distL="114300" distR="114300">
            <wp:extent cx="497840" cy="189865"/>
            <wp:effectExtent l="0" t="0" r="16510" b="635"/>
            <wp:docPr id="53" name="图片 47" descr="d:\Users\李西西\AppData\Local\Temp\ksohtml3660\wp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descr="d:\Users\李西西\AppData\Local\Temp\ksohtml3660\wps39.jpg"/>
                    <pic:cNvPicPr>
                      <a:picLocks noChangeAspect="1"/>
                    </pic:cNvPicPr>
                  </pic:nvPicPr>
                  <pic:blipFill>
                    <a:blip r:embed="rId82"/>
                    <a:stretch>
                      <a:fillRect/>
                    </a:stretch>
                  </pic:blipFill>
                  <pic:spPr>
                    <a:xfrm>
                      <a:off x="0" y="0"/>
                      <a:ext cx="497840" cy="189865"/>
                    </a:xfrm>
                    <a:prstGeom prst="rect">
                      <a:avLst/>
                    </a:prstGeom>
                    <a:noFill/>
                    <a:ln>
                      <a:noFill/>
                    </a:ln>
                  </pic:spPr>
                </pic:pic>
              </a:graphicData>
            </a:graphic>
          </wp:inline>
        </w:drawing>
      </w:r>
      <w:r>
        <w:rPr>
          <w:color w:val="auto"/>
          <w:sz w:val="24"/>
          <w:szCs w:val="24"/>
        </w:rPr>
        <w:t>——</w:t>
      </w:r>
      <w:r>
        <w:rPr>
          <w:rFonts w:hint="eastAsia" w:ascii="宋体" w:hAnsi="宋体"/>
          <w:color w:val="auto"/>
          <w:sz w:val="24"/>
          <w:szCs w:val="24"/>
        </w:rPr>
        <w:t>预测点的噪声预测值，</w:t>
      </w:r>
      <w:r>
        <w:rPr>
          <w:color w:val="auto"/>
          <w:sz w:val="24"/>
          <w:szCs w:val="24"/>
        </w:rPr>
        <w:t>dB</w:t>
      </w:r>
      <w:r>
        <w:rPr>
          <w:rFonts w:hint="eastAsia" w:ascii="宋体" w:hAnsi="宋体"/>
          <w:color w:val="auto"/>
          <w:sz w:val="24"/>
          <w:szCs w:val="24"/>
        </w:rPr>
        <w:t>；</w:t>
      </w:r>
      <w:r>
        <w:rPr>
          <w:color w:val="auto"/>
          <w:sz w:val="24"/>
          <w:szCs w:val="24"/>
        </w:rPr>
        <w:t xml:space="preserve"> </w:t>
      </w:r>
    </w:p>
    <w:p>
      <w:pPr>
        <w:pStyle w:val="1265"/>
        <w:spacing w:line="360" w:lineRule="auto"/>
        <w:ind w:firstLine="0" w:firstLineChars="0"/>
        <w:rPr>
          <w:color w:val="auto"/>
          <w:sz w:val="24"/>
          <w:szCs w:val="24"/>
        </w:rPr>
      </w:pPr>
      <w:r>
        <w:rPr>
          <w:color w:val="auto"/>
          <w:sz w:val="24"/>
          <w:szCs w:val="24"/>
        </w:rPr>
        <w:drawing>
          <wp:inline distT="0" distB="0" distL="114300" distR="114300">
            <wp:extent cx="1023620" cy="189865"/>
            <wp:effectExtent l="0" t="0" r="5080" b="635"/>
            <wp:docPr id="59" name="图片 48" descr="d:\Users\李西西\AppData\Local\Temp\ksohtml3660\wp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descr="d:\Users\李西西\AppData\Local\Temp\ksohtml3660\wps40.jpg"/>
                    <pic:cNvPicPr>
                      <a:picLocks noChangeAspect="1"/>
                    </pic:cNvPicPr>
                  </pic:nvPicPr>
                  <pic:blipFill>
                    <a:blip r:embed="rId83"/>
                    <a:stretch>
                      <a:fillRect/>
                    </a:stretch>
                  </pic:blipFill>
                  <pic:spPr>
                    <a:xfrm>
                      <a:off x="0" y="0"/>
                      <a:ext cx="1023620" cy="189865"/>
                    </a:xfrm>
                    <a:prstGeom prst="rect">
                      <a:avLst/>
                    </a:prstGeom>
                    <a:noFill/>
                    <a:ln>
                      <a:noFill/>
                    </a:ln>
                  </pic:spPr>
                </pic:pic>
              </a:graphicData>
            </a:graphic>
          </wp:inline>
        </w:drawing>
      </w:r>
      <w:r>
        <w:rPr>
          <w:color w:val="auto"/>
          <w:sz w:val="24"/>
          <w:szCs w:val="24"/>
        </w:rPr>
        <w:t>——</w:t>
      </w:r>
      <w:r>
        <w:rPr>
          <w:rFonts w:ascii="宋体" w:hAnsi="宋体"/>
          <w:color w:val="auto"/>
          <w:sz w:val="24"/>
          <w:szCs w:val="24"/>
        </w:rPr>
        <w:t>建设项目声源在预测点的等效声级贡献值，</w:t>
      </w:r>
      <w:r>
        <w:rPr>
          <w:color w:val="auto"/>
          <w:sz w:val="24"/>
          <w:szCs w:val="24"/>
        </w:rPr>
        <w:t>dB</w:t>
      </w:r>
      <w:r>
        <w:rPr>
          <w:rFonts w:ascii="宋体" w:hAnsi="宋体"/>
          <w:color w:val="auto"/>
          <w:sz w:val="24"/>
          <w:szCs w:val="24"/>
        </w:rPr>
        <w:t>（</w:t>
      </w:r>
      <w:r>
        <w:rPr>
          <w:color w:val="auto"/>
          <w:sz w:val="24"/>
          <w:szCs w:val="24"/>
        </w:rPr>
        <w:t>A</w:t>
      </w:r>
      <w:r>
        <w:rPr>
          <w:rFonts w:ascii="宋体" w:hAnsi="宋体"/>
          <w:color w:val="auto"/>
          <w:sz w:val="24"/>
          <w:szCs w:val="24"/>
        </w:rPr>
        <w:t>）；</w:t>
      </w:r>
    </w:p>
    <w:p>
      <w:pPr>
        <w:pStyle w:val="1265"/>
        <w:spacing w:line="360" w:lineRule="auto"/>
        <w:ind w:firstLine="0" w:firstLineChars="0"/>
        <w:rPr>
          <w:rFonts w:ascii="宋体" w:hAnsi="宋体"/>
          <w:color w:val="auto"/>
          <w:sz w:val="24"/>
          <w:szCs w:val="24"/>
        </w:rPr>
      </w:pPr>
      <w:r>
        <w:rPr>
          <w:color w:val="auto"/>
          <w:sz w:val="24"/>
          <w:szCs w:val="24"/>
        </w:rPr>
        <w:drawing>
          <wp:inline distT="0" distB="0" distL="114300" distR="114300">
            <wp:extent cx="1014095" cy="189865"/>
            <wp:effectExtent l="0" t="0" r="14605" b="635"/>
            <wp:docPr id="65" name="图片 49" descr="d:\Users\李西西\AppData\Local\Temp\ksohtml3660\wp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descr="d:\Users\李西西\AppData\Local\Temp\ksohtml3660\wps41.jpg"/>
                    <pic:cNvPicPr>
                      <a:picLocks noChangeAspect="1"/>
                    </pic:cNvPicPr>
                  </pic:nvPicPr>
                  <pic:blipFill>
                    <a:blip r:embed="rId84"/>
                    <a:stretch>
                      <a:fillRect/>
                    </a:stretch>
                  </pic:blipFill>
                  <pic:spPr>
                    <a:xfrm>
                      <a:off x="0" y="0"/>
                      <a:ext cx="1014095" cy="189865"/>
                    </a:xfrm>
                    <a:prstGeom prst="rect">
                      <a:avLst/>
                    </a:prstGeom>
                    <a:noFill/>
                    <a:ln>
                      <a:noFill/>
                    </a:ln>
                  </pic:spPr>
                </pic:pic>
              </a:graphicData>
            </a:graphic>
          </wp:inline>
        </w:drawing>
      </w:r>
      <w:r>
        <w:rPr>
          <w:color w:val="auto"/>
          <w:sz w:val="24"/>
          <w:szCs w:val="24"/>
        </w:rPr>
        <w:t>——</w:t>
      </w:r>
      <w:r>
        <w:rPr>
          <w:rFonts w:ascii="宋体" w:hAnsi="宋体"/>
          <w:color w:val="auto"/>
          <w:sz w:val="24"/>
          <w:szCs w:val="24"/>
        </w:rPr>
        <w:t>预测点的背景值，</w:t>
      </w:r>
      <w:r>
        <w:rPr>
          <w:color w:val="auto"/>
          <w:sz w:val="24"/>
          <w:szCs w:val="24"/>
        </w:rPr>
        <w:t>dB</w:t>
      </w:r>
      <w:r>
        <w:rPr>
          <w:rFonts w:ascii="宋体" w:hAnsi="宋体"/>
          <w:color w:val="auto"/>
          <w:sz w:val="24"/>
          <w:szCs w:val="24"/>
        </w:rPr>
        <w:t>（</w:t>
      </w:r>
      <w:r>
        <w:rPr>
          <w:color w:val="auto"/>
          <w:sz w:val="24"/>
          <w:szCs w:val="24"/>
        </w:rPr>
        <w:t>A</w:t>
      </w:r>
      <w:r>
        <w:rPr>
          <w:rFonts w:ascii="宋体" w:hAnsi="宋体"/>
          <w:color w:val="auto"/>
          <w:sz w:val="24"/>
          <w:szCs w:val="24"/>
        </w:rPr>
        <w:t>）。</w:t>
      </w:r>
    </w:p>
    <w:p>
      <w:pPr>
        <w:snapToGrid w:val="0"/>
        <w:spacing w:line="360" w:lineRule="auto"/>
        <w:ind w:firstLine="482" w:firstLineChars="200"/>
        <w:rPr>
          <w:rFonts w:hint="eastAsia" w:cs="Times New Roman"/>
          <w:b/>
          <w:bCs/>
          <w:color w:val="auto"/>
          <w:kern w:val="0"/>
          <w:sz w:val="24"/>
          <w:szCs w:val="20"/>
          <w:lang w:val="en-US" w:eastAsia="zh-CN" w:bidi="ar-SA"/>
        </w:rPr>
      </w:pPr>
      <w:r>
        <w:rPr>
          <w:rFonts w:hint="eastAsia" w:cs="Times New Roman"/>
          <w:b/>
          <w:bCs/>
          <w:color w:val="auto"/>
          <w:kern w:val="0"/>
          <w:sz w:val="24"/>
          <w:szCs w:val="20"/>
          <w:lang w:val="en-US" w:eastAsia="zh-CN" w:bidi="ar-SA"/>
        </w:rPr>
        <w:t>8、预测结果</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本评价采用噪声评价预测软件为EIAproN，版本号2.5.218。按照上述方法通过预测软件计算得到项目营运期对厂界噪声影响结果，见下。</w:t>
      </w:r>
    </w:p>
    <w:p>
      <w:pPr>
        <w:ind w:firstLine="843" w:firstLineChars="400"/>
        <w:jc w:val="center"/>
        <w:rPr>
          <w:rFonts w:hint="eastAsia" w:eastAsia="黑体"/>
          <w:b/>
          <w:bCs/>
          <w:color w:val="auto"/>
          <w:lang w:val="en-US" w:eastAsia="zh-CN"/>
        </w:rPr>
      </w:pPr>
      <w:r>
        <w:rPr>
          <w:rFonts w:hint="eastAsia" w:eastAsia="黑体"/>
          <w:b/>
          <w:bCs/>
          <w:color w:val="auto"/>
          <w:lang w:val="en-US" w:eastAsia="zh-CN"/>
        </w:rPr>
        <w:t>表5.2</w:t>
      </w:r>
      <w:r>
        <w:rPr>
          <w:rFonts w:hint="eastAsia" w:eastAsia="黑体"/>
          <w:b/>
          <w:bCs/>
          <w:color w:val="auto"/>
          <w:lang w:val="en-US" w:eastAsia="zh-CN"/>
        </w:rPr>
        <w:noBreakHyphen/>
      </w:r>
      <w:r>
        <w:rPr>
          <w:rFonts w:hint="eastAsia" w:eastAsia="黑体"/>
          <w:b/>
          <w:bCs/>
          <w:color w:val="auto"/>
          <w:lang w:val="en-US" w:eastAsia="zh-CN"/>
        </w:rPr>
        <w:t>22   项目厂界噪声预测结果</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44"/>
        <w:gridCol w:w="916"/>
        <w:gridCol w:w="472"/>
        <w:gridCol w:w="474"/>
        <w:gridCol w:w="472"/>
        <w:gridCol w:w="474"/>
        <w:gridCol w:w="660"/>
        <w:gridCol w:w="567"/>
        <w:gridCol w:w="1191"/>
        <w:gridCol w:w="1284"/>
        <w:gridCol w:w="660"/>
        <w:gridCol w:w="552"/>
        <w:gridCol w:w="396"/>
        <w:gridCol w:w="4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trPr>
        <w:tc>
          <w:tcPr>
            <w:tcW w:w="137" w:type="pct"/>
            <w:vMerge w:val="restart"/>
            <w:tcBorders>
              <w:top w:val="single" w:color="auto" w:sz="12" w:space="0"/>
              <w:left w:val="nil"/>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517" w:type="pct"/>
            <w:vMerge w:val="restart"/>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厂界</w:t>
            </w:r>
          </w:p>
        </w:tc>
        <w:tc>
          <w:tcPr>
            <w:tcW w:w="534" w:type="pct"/>
            <w:gridSpan w:val="2"/>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噪声背景值*</w:t>
            </w:r>
            <w:r>
              <w:rPr>
                <w:rFonts w:hint="default" w:ascii="Times New Roman" w:hAnsi="Times New Roman" w:eastAsia="宋体" w:cs="Times New Roman"/>
                <w:b/>
                <w:color w:val="auto"/>
                <w:sz w:val="21"/>
                <w:szCs w:val="21"/>
                <w:vertAlign w:val="superscript"/>
              </w:rPr>
              <w:t>1</w:t>
            </w:r>
            <w:r>
              <w:rPr>
                <w:rFonts w:hint="default" w:ascii="Times New Roman" w:hAnsi="Times New Roman" w:eastAsia="宋体" w:cs="Times New Roman"/>
                <w:b/>
                <w:color w:val="auto"/>
                <w:sz w:val="21"/>
                <w:szCs w:val="21"/>
              </w:rPr>
              <w:t>/</w:t>
            </w:r>
          </w:p>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c>
          <w:tcPr>
            <w:tcW w:w="534" w:type="pct"/>
            <w:gridSpan w:val="2"/>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噪声标准*</w:t>
            </w:r>
            <w:r>
              <w:rPr>
                <w:rFonts w:hint="default" w:ascii="Times New Roman" w:hAnsi="Times New Roman" w:eastAsia="宋体" w:cs="Times New Roman"/>
                <w:b/>
                <w:color w:val="auto"/>
                <w:sz w:val="21"/>
                <w:szCs w:val="21"/>
                <w:vertAlign w:val="superscript"/>
              </w:rPr>
              <w:t>2</w:t>
            </w:r>
            <w:r>
              <w:rPr>
                <w:rFonts w:hint="default" w:ascii="Times New Roman" w:hAnsi="Times New Roman" w:eastAsia="宋体" w:cs="Times New Roman"/>
                <w:b/>
                <w:color w:val="auto"/>
                <w:sz w:val="21"/>
                <w:szCs w:val="21"/>
              </w:rPr>
              <w:t>/</w:t>
            </w:r>
          </w:p>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c>
          <w:tcPr>
            <w:tcW w:w="693" w:type="pct"/>
            <w:gridSpan w:val="2"/>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噪声最大贡献值/</w:t>
            </w:r>
          </w:p>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c>
          <w:tcPr>
            <w:tcW w:w="1398" w:type="pct"/>
            <w:gridSpan w:val="2"/>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贡献值坐标</w:t>
            </w:r>
          </w:p>
        </w:tc>
        <w:tc>
          <w:tcPr>
            <w:tcW w:w="685" w:type="pct"/>
            <w:gridSpan w:val="2"/>
            <w:tcBorders>
              <w:top w:val="single" w:color="auto" w:sz="12"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噪声预测值/</w:t>
            </w:r>
          </w:p>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c>
          <w:tcPr>
            <w:tcW w:w="497" w:type="pct"/>
            <w:gridSpan w:val="2"/>
            <w:tcBorders>
              <w:top w:val="single" w:color="auto" w:sz="12" w:space="0"/>
              <w:left w:val="single" w:color="auto" w:sz="4" w:space="0"/>
              <w:bottom w:val="single" w:color="auto" w:sz="4" w:space="0"/>
              <w:right w:val="nil"/>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37" w:type="pct"/>
            <w:vMerge w:val="continue"/>
            <w:tcBorders>
              <w:top w:val="single" w:color="auto" w:sz="12" w:space="0"/>
              <w:left w:val="nil"/>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517" w:type="pct"/>
            <w:vMerge w:val="continue"/>
            <w:tcBorders>
              <w:top w:val="single" w:color="auto" w:sz="12"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rPr>
            </w:pP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2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6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72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1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273" w:type="pct"/>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37" w:type="pct"/>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1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东侧外1m</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val="en-US" w:eastAsia="zh-CN"/>
              </w:rPr>
              <w:t>0</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44.8</w:t>
            </w:r>
          </w:p>
        </w:tc>
        <w:tc>
          <w:tcPr>
            <w:tcW w:w="32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43.25</w:t>
            </w:r>
          </w:p>
        </w:tc>
        <w:tc>
          <w:tcPr>
            <w:tcW w:w="6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106.617702</w:t>
            </w:r>
          </w:p>
        </w:tc>
        <w:tc>
          <w:tcPr>
            <w:tcW w:w="72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31.531398</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52.54</w:t>
            </w:r>
          </w:p>
        </w:tc>
        <w:tc>
          <w:tcPr>
            <w:tcW w:w="31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45.28</w:t>
            </w:r>
          </w:p>
        </w:tc>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73" w:type="pct"/>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37" w:type="pct"/>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1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南侧外1m</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val="en-US" w:eastAsia="zh-CN"/>
              </w:rPr>
              <w:t>0</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40.13</w:t>
            </w:r>
          </w:p>
        </w:tc>
        <w:tc>
          <w:tcPr>
            <w:tcW w:w="32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40.13</w:t>
            </w:r>
          </w:p>
        </w:tc>
        <w:tc>
          <w:tcPr>
            <w:tcW w:w="6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106.615674</w:t>
            </w:r>
          </w:p>
        </w:tc>
        <w:tc>
          <w:tcPr>
            <w:tcW w:w="72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31.527917</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53.22</w:t>
            </w:r>
          </w:p>
        </w:tc>
        <w:tc>
          <w:tcPr>
            <w:tcW w:w="31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43.6</w:t>
            </w:r>
          </w:p>
        </w:tc>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73" w:type="pct"/>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37" w:type="pct"/>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1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西侧外1m</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val="en-US" w:eastAsia="zh-CN"/>
              </w:rPr>
              <w:t>0</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44.68</w:t>
            </w:r>
          </w:p>
        </w:tc>
        <w:tc>
          <w:tcPr>
            <w:tcW w:w="32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44.68</w:t>
            </w:r>
          </w:p>
        </w:tc>
        <w:tc>
          <w:tcPr>
            <w:tcW w:w="6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106.615556</w:t>
            </w:r>
          </w:p>
        </w:tc>
        <w:tc>
          <w:tcPr>
            <w:tcW w:w="72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31.531704</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52.74</w:t>
            </w:r>
          </w:p>
        </w:tc>
        <w:tc>
          <w:tcPr>
            <w:tcW w:w="31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46.23</w:t>
            </w:r>
          </w:p>
        </w:tc>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73" w:type="pct"/>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37" w:type="pct"/>
            <w:tcBorders>
              <w:top w:val="single" w:color="auto" w:sz="4" w:space="0"/>
              <w:left w:val="nil"/>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1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北侧外1m</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266"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val="en-US" w:eastAsia="zh-CN"/>
              </w:rPr>
              <w:t>0</w:t>
            </w:r>
          </w:p>
        </w:tc>
        <w:tc>
          <w:tcPr>
            <w:tcW w:w="26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42.15</w:t>
            </w:r>
          </w:p>
        </w:tc>
        <w:tc>
          <w:tcPr>
            <w:tcW w:w="32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snapToGrid w:val="0"/>
                <w:color w:val="auto"/>
                <w:spacing w:val="-10"/>
                <w:kern w:val="0"/>
                <w:sz w:val="21"/>
                <w:szCs w:val="21"/>
                <w:lang w:val="en-US" w:eastAsia="zh-CN" w:bidi="ar-SA"/>
              </w:rPr>
            </w:pPr>
            <w:r>
              <w:rPr>
                <w:rFonts w:hint="eastAsia" w:ascii="Times New Roman" w:hAnsi="Times New Roman" w:eastAsia="宋体" w:cs="Times New Roman"/>
                <w:color w:val="auto"/>
                <w:sz w:val="21"/>
                <w:szCs w:val="21"/>
                <w:lang w:val="en-US" w:eastAsia="zh-CN"/>
              </w:rPr>
              <w:t>42.15</w:t>
            </w:r>
          </w:p>
        </w:tc>
        <w:tc>
          <w:tcPr>
            <w:tcW w:w="6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106.617959</w:t>
            </w:r>
          </w:p>
        </w:tc>
        <w:tc>
          <w:tcPr>
            <w:tcW w:w="72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489"/>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31.535030</w:t>
            </w:r>
          </w:p>
        </w:tc>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52.43</w:t>
            </w:r>
          </w:p>
        </w:tc>
        <w:tc>
          <w:tcPr>
            <w:tcW w:w="31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45.09</w:t>
            </w:r>
          </w:p>
        </w:tc>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73" w:type="pct"/>
            <w:tcBorders>
              <w:top w:val="single" w:color="auto" w:sz="4" w:space="0"/>
              <w:left w:val="single" w:color="auto" w:sz="4" w:space="0"/>
              <w:bottom w:val="single" w:color="auto" w:sz="4" w:space="0"/>
              <w:right w:val="nil"/>
            </w:tcBorders>
            <w:shd w:val="clear" w:color="auto" w:fill="auto"/>
            <w:noWrap/>
            <w:vAlign w:val="center"/>
          </w:tcPr>
          <w:p>
            <w:pPr>
              <w:pStyle w:val="489"/>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trPr>
        <w:tc>
          <w:tcPr>
            <w:tcW w:w="5000" w:type="pct"/>
            <w:gridSpan w:val="14"/>
            <w:tcBorders>
              <w:top w:val="single" w:color="auto" w:sz="4" w:space="0"/>
              <w:left w:val="nil"/>
              <w:bottom w:val="single" w:color="auto" w:sz="12" w:space="0"/>
              <w:right w:val="nil"/>
            </w:tcBorders>
            <w:shd w:val="clear" w:color="auto" w:fill="auto"/>
            <w:noWrap w:val="0"/>
            <w:vAlign w:val="center"/>
          </w:tcPr>
          <w:p>
            <w:pPr>
              <w:pStyle w:val="489"/>
              <w:suppressLineNumbers w:val="0"/>
              <w:spacing w:before="0" w:beforeAutospacing="0" w:after="0" w:afterAutospacing="0"/>
              <w:ind w:left="0" w:right="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注1：基于最不利考虑，各点位噪声背景值均取本次声环境现状2天监测结果中的最大值</w:t>
            </w:r>
          </w:p>
          <w:p>
            <w:pPr>
              <w:pStyle w:val="489"/>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注2：项目厂界执行GB12348-2008中3类标准限值：昼间≤65dB（A），夜间≤55dB（A）</w:t>
            </w:r>
          </w:p>
        </w:tc>
      </w:tr>
    </w:tbl>
    <w:p>
      <w:pPr>
        <w:autoSpaceDE w:val="0"/>
        <w:autoSpaceDN w:val="0"/>
        <w:adjustRightInd w:val="0"/>
        <w:snapToGrid w:val="0"/>
        <w:ind w:firstLine="0" w:firstLineChars="0"/>
        <w:jc w:val="center"/>
        <w:rPr>
          <w:rFonts w:hAnsi="宋体"/>
          <w:color w:val="auto"/>
        </w:rPr>
      </w:pPr>
      <w:r>
        <w:drawing>
          <wp:inline distT="0" distB="0" distL="114300" distR="114300">
            <wp:extent cx="5538470" cy="4353560"/>
            <wp:effectExtent l="0" t="0" r="5080" b="889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85"/>
                    <a:stretch>
                      <a:fillRect/>
                    </a:stretch>
                  </pic:blipFill>
                  <pic:spPr>
                    <a:xfrm>
                      <a:off x="0" y="0"/>
                      <a:ext cx="5538470" cy="4353560"/>
                    </a:xfrm>
                    <a:prstGeom prst="rect">
                      <a:avLst/>
                    </a:prstGeom>
                    <a:noFill/>
                    <a:ln>
                      <a:noFill/>
                    </a:ln>
                  </pic:spPr>
                </pic:pic>
              </a:graphicData>
            </a:graphic>
          </wp:inline>
        </w:drawing>
      </w:r>
    </w:p>
    <w:p>
      <w:pPr>
        <w:jc w:val="center"/>
        <w:rPr>
          <w:rFonts w:hint="eastAsia" w:eastAsia="黑体"/>
          <w:b/>
          <w:bCs/>
          <w:color w:val="auto"/>
          <w:szCs w:val="21"/>
        </w:rPr>
      </w:pPr>
      <w:r>
        <w:rPr>
          <w:rFonts w:hint="eastAsia" w:eastAsia="黑体"/>
          <w:b/>
          <w:bCs/>
          <w:color w:val="auto"/>
          <w:szCs w:val="21"/>
        </w:rPr>
        <w:t xml:space="preserve">图 </w:t>
      </w:r>
      <w:r>
        <w:rPr>
          <w:rFonts w:hint="eastAsia" w:eastAsia="黑体"/>
          <w:b/>
          <w:bCs/>
          <w:color w:val="auto"/>
          <w:szCs w:val="21"/>
          <w:lang w:val="en-US" w:eastAsia="zh-CN"/>
        </w:rPr>
        <w:t>5</w:t>
      </w:r>
      <w:r>
        <w:rPr>
          <w:rFonts w:hint="eastAsia" w:eastAsia="黑体"/>
          <w:b/>
          <w:bCs/>
          <w:color w:val="auto"/>
          <w:szCs w:val="21"/>
        </w:rPr>
        <w:t>.2</w:t>
      </w:r>
      <w:r>
        <w:rPr>
          <w:rFonts w:hint="eastAsia" w:eastAsia="黑体"/>
          <w:b/>
          <w:bCs/>
          <w:color w:val="auto"/>
          <w:szCs w:val="21"/>
        </w:rPr>
        <w:noBreakHyphen/>
      </w:r>
      <w:r>
        <w:rPr>
          <w:rFonts w:hint="eastAsia" w:eastAsia="黑体"/>
          <w:b/>
          <w:bCs/>
          <w:color w:val="auto"/>
          <w:szCs w:val="21"/>
        </w:rPr>
        <w:t>2   本项目噪声贡献值等声级线图</w:t>
      </w:r>
    </w:p>
    <w:p>
      <w:pPr>
        <w:snapToGrid w:val="0"/>
        <w:spacing w:line="360" w:lineRule="auto"/>
        <w:ind w:firstLine="480" w:firstLineChars="200"/>
        <w:rPr>
          <w:rFonts w:hint="eastAsia" w:cs="Times New Roman"/>
          <w:b w:val="0"/>
          <w:bCs w:val="0"/>
          <w:color w:val="auto"/>
          <w:kern w:val="0"/>
          <w:sz w:val="24"/>
          <w:szCs w:val="20"/>
          <w:lang w:val="en-US" w:eastAsia="zh-CN" w:bidi="ar-SA"/>
        </w:rPr>
      </w:pPr>
      <w:r>
        <w:rPr>
          <w:rFonts w:hint="eastAsia" w:cs="Times New Roman"/>
          <w:b w:val="0"/>
          <w:bCs w:val="0"/>
          <w:color w:val="auto"/>
          <w:kern w:val="0"/>
          <w:sz w:val="24"/>
          <w:szCs w:val="20"/>
          <w:lang w:val="en-US" w:eastAsia="zh-CN" w:bidi="ar-SA"/>
        </w:rPr>
        <w:t>本次评价采用预测值与评价标准直接比较的方法，根据噪声预测结果可以看出，考虑隔声降噪等控制措施等对声源的削减作用，在主要声源同时排放噪声影响情况下，各厂界预测点昼间噪声均能达到《工业企业厂界环境噪声排放标准》（GB12348-2008）中2类标准限值要求。</w:t>
      </w:r>
    </w:p>
    <w:p>
      <w:pPr>
        <w:spacing w:before="120" w:beforeLines="50" w:line="360" w:lineRule="auto"/>
        <w:ind w:firstLine="482"/>
        <w:rPr>
          <w:color w:val="auto"/>
          <w:sz w:val="24"/>
          <w:szCs w:val="28"/>
        </w:rPr>
      </w:pPr>
      <w:r>
        <w:rPr>
          <w:color w:val="auto"/>
          <w:sz w:val="24"/>
          <w:szCs w:val="28"/>
        </w:rPr>
        <w:t>项目正常运行，通过消声、减振、距离衰减，工程设备噪声对项目厂界影响均较小，厂区厂界昼夜噪声值满足《工业企业厂界环境噪声排放标准》(GB12348-2008)厂界外声环境功能类别2的标准要求(夜间≤50分贝，昼间≤60分贝)。总体而言，项目实施后，对周围声环境不会产生明显影响。</w:t>
      </w:r>
    </w:p>
    <w:p>
      <w:pPr>
        <w:pStyle w:val="180"/>
        <w:rPr>
          <w:rFonts w:hint="default" w:ascii="Times New Roman" w:hAnsi="Times New Roman" w:cs="Times New Roman" w:eastAsiaTheme="majorEastAsia"/>
          <w:b/>
          <w:bCs w:val="0"/>
          <w:color w:val="auto"/>
          <w:sz w:val="24"/>
          <w:szCs w:val="24"/>
        </w:rPr>
      </w:pPr>
      <w:bookmarkStart w:id="454" w:name="_Toc182293562"/>
      <w:bookmarkStart w:id="455" w:name="_Toc32567"/>
      <w:bookmarkStart w:id="456" w:name="_Toc78362545"/>
      <w:bookmarkStart w:id="457" w:name="_Toc231092385"/>
      <w:bookmarkStart w:id="458" w:name="_Toc153269295"/>
      <w:bookmarkStart w:id="459" w:name="_Toc230429764"/>
      <w:bookmarkStart w:id="460" w:name="_Toc82857279"/>
      <w:r>
        <w:rPr>
          <w:rFonts w:hint="default" w:ascii="Times New Roman" w:hAnsi="Times New Roman" w:cs="Times New Roman" w:eastAsiaTheme="majorEastAsia"/>
          <w:b/>
          <w:bCs w:val="0"/>
          <w:color w:val="auto"/>
          <w:sz w:val="24"/>
          <w:szCs w:val="24"/>
        </w:rPr>
        <w:t>固体废物环境影响分析</w:t>
      </w:r>
      <w:bookmarkEnd w:id="454"/>
      <w:bookmarkEnd w:id="455"/>
      <w:bookmarkEnd w:id="456"/>
      <w:bookmarkEnd w:id="457"/>
      <w:bookmarkEnd w:id="458"/>
      <w:bookmarkEnd w:id="459"/>
      <w:bookmarkEnd w:id="460"/>
    </w:p>
    <w:p>
      <w:pPr>
        <w:snapToGrid w:val="0"/>
        <w:spacing w:line="360" w:lineRule="auto"/>
        <w:ind w:firstLine="482" w:firstLineChars="200"/>
        <w:rPr>
          <w:rFonts w:hint="default" w:eastAsia="宋体"/>
          <w:b/>
          <w:color w:val="auto"/>
          <w:sz w:val="24"/>
          <w:lang w:val="en-US" w:eastAsia="zh-CN"/>
        </w:rPr>
      </w:pPr>
      <w:bookmarkStart w:id="461" w:name="_Toc369334870"/>
      <w:bookmarkStart w:id="462" w:name="_Toc231092386"/>
      <w:r>
        <w:rPr>
          <w:b/>
          <w:color w:val="auto"/>
          <w:sz w:val="24"/>
        </w:rPr>
        <w:t>1、</w:t>
      </w:r>
      <w:bookmarkEnd w:id="461"/>
      <w:bookmarkEnd w:id="462"/>
      <w:r>
        <w:rPr>
          <w:b/>
          <w:color w:val="auto"/>
          <w:sz w:val="24"/>
        </w:rPr>
        <w:t>废产生及处置情况</w:t>
      </w:r>
    </w:p>
    <w:p>
      <w:pPr>
        <w:pStyle w:val="4"/>
        <w:spacing w:line="360" w:lineRule="auto"/>
        <w:ind w:firstLine="480" w:firstLineChars="200"/>
        <w:jc w:val="both"/>
        <w:rPr>
          <w:rFonts w:ascii="Times New Roman"/>
          <w:color w:val="auto"/>
          <w:szCs w:val="24"/>
        </w:rPr>
      </w:pPr>
      <w:r>
        <w:rPr>
          <w:rFonts w:ascii="Times New Roman"/>
          <w:color w:val="auto"/>
          <w:szCs w:val="24"/>
        </w:rPr>
        <w:t>本项目建成后，固体废弃物产生及处理情况见表</w:t>
      </w:r>
      <w:r>
        <w:rPr>
          <w:rFonts w:hint="eastAsia" w:ascii="Times New Roman"/>
          <w:color w:val="auto"/>
          <w:szCs w:val="24"/>
          <w:lang w:val="en-US" w:eastAsia="zh-CN"/>
        </w:rPr>
        <w:t>5</w:t>
      </w:r>
      <w:r>
        <w:rPr>
          <w:rFonts w:hint="eastAsia" w:ascii="Times New Roman"/>
          <w:color w:val="auto"/>
          <w:szCs w:val="24"/>
        </w:rPr>
        <w:t>.2</w:t>
      </w:r>
      <w:r>
        <w:rPr>
          <w:rFonts w:ascii="Times New Roman"/>
          <w:color w:val="auto"/>
          <w:szCs w:val="24"/>
        </w:rPr>
        <w:t>-</w:t>
      </w:r>
      <w:r>
        <w:rPr>
          <w:rFonts w:hint="eastAsia" w:ascii="Times New Roman"/>
          <w:color w:val="auto"/>
          <w:szCs w:val="24"/>
          <w:lang w:val="en-US" w:eastAsia="zh-CN"/>
        </w:rPr>
        <w:t>23</w:t>
      </w:r>
      <w:r>
        <w:rPr>
          <w:rFonts w:ascii="Times New Roman"/>
          <w:color w:val="auto"/>
          <w:szCs w:val="24"/>
        </w:rPr>
        <w:t>所示。</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5</w:t>
      </w:r>
      <w:r>
        <w:rPr>
          <w:rFonts w:hint="eastAsia" w:eastAsia="黑体"/>
          <w:color w:val="auto"/>
        </w:rPr>
        <w:t>.2</w:t>
      </w:r>
      <w:r>
        <w:rPr>
          <w:rFonts w:eastAsia="黑体"/>
          <w:color w:val="auto"/>
        </w:rPr>
        <w:t>-</w:t>
      </w:r>
      <w:r>
        <w:rPr>
          <w:rFonts w:hint="eastAsia" w:eastAsia="黑体"/>
          <w:color w:val="auto"/>
          <w:lang w:val="en-US" w:eastAsia="zh-CN"/>
        </w:rPr>
        <w:t>23</w:t>
      </w:r>
      <w:r>
        <w:rPr>
          <w:rFonts w:hint="eastAsia" w:eastAsia="黑体"/>
          <w:color w:val="auto"/>
        </w:rPr>
        <w:t xml:space="preserve">  </w:t>
      </w:r>
      <w:r>
        <w:rPr>
          <w:rFonts w:eastAsia="黑体"/>
          <w:color w:val="auto"/>
        </w:rPr>
        <w:t>本项目厂固体废物产生及处置情况</w:t>
      </w:r>
    </w:p>
    <w:tbl>
      <w:tblPr>
        <w:tblStyle w:val="89"/>
        <w:tblW w:w="878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5"/>
        <w:gridCol w:w="333"/>
        <w:gridCol w:w="2050"/>
        <w:gridCol w:w="920"/>
        <w:gridCol w:w="1110"/>
        <w:gridCol w:w="1002"/>
        <w:gridCol w:w="278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585"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类别</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序号</w:t>
            </w:r>
          </w:p>
        </w:tc>
        <w:tc>
          <w:tcPr>
            <w:tcW w:w="205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废弃物名称</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产生量</w:t>
            </w:r>
          </w:p>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（t/a）</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来源</w:t>
            </w:r>
          </w:p>
        </w:tc>
        <w:tc>
          <w:tcPr>
            <w:tcW w:w="1002"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毒性鉴别</w:t>
            </w:r>
          </w:p>
        </w:tc>
        <w:tc>
          <w:tcPr>
            <w:tcW w:w="2788"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处理方法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4" w:hRule="atLeast"/>
          <w:jc w:val="center"/>
        </w:trPr>
        <w:tc>
          <w:tcPr>
            <w:tcW w:w="585" w:type="dxa"/>
            <w:vMerge w:val="restart"/>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w:t>
            </w:r>
          </w:p>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szCs w:val="21"/>
              </w:rPr>
            </w:pPr>
            <w:r>
              <w:rPr>
                <w:rFonts w:hint="default"/>
                <w:color w:val="auto"/>
                <w:kern w:val="0"/>
                <w:szCs w:val="21"/>
              </w:rPr>
              <w:t>废物</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1</w:t>
            </w:r>
          </w:p>
        </w:tc>
        <w:tc>
          <w:tcPr>
            <w:tcW w:w="205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lang w:val="en-US" w:eastAsia="zh-CN"/>
              </w:rPr>
            </w:pPr>
            <w:r>
              <w:rPr>
                <w:rFonts w:hint="eastAsia"/>
                <w:color w:val="auto"/>
                <w:kern w:val="0"/>
                <w:szCs w:val="21"/>
                <w:lang w:val="en-US" w:eastAsia="zh-CN"/>
              </w:rPr>
              <w:t>牛粪</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eastAsia"/>
                <w:color w:val="auto"/>
                <w:kern w:val="0"/>
                <w:szCs w:val="21"/>
                <w:lang w:val="en-US" w:eastAsia="zh-CN"/>
              </w:rPr>
              <w:t>38657.15</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val="en-US" w:eastAsia="zh-CN"/>
              </w:rPr>
              <w:t>牛舍</w:t>
            </w:r>
          </w:p>
        </w:tc>
        <w:tc>
          <w:tcPr>
            <w:tcW w:w="1002"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一般废物</w:t>
            </w:r>
          </w:p>
        </w:tc>
        <w:tc>
          <w:tcPr>
            <w:tcW w:w="2788"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经发酵床处理后，外售做有机肥原料。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w:t>
            </w:r>
          </w:p>
        </w:tc>
        <w:tc>
          <w:tcPr>
            <w:tcW w:w="2050" w:type="dxa"/>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default"/>
                <w:color w:val="auto"/>
                <w:kern w:val="0"/>
                <w:szCs w:val="21"/>
              </w:rPr>
              <w:t>病死牛及分娩废物</w:t>
            </w:r>
          </w:p>
        </w:tc>
        <w:tc>
          <w:tcPr>
            <w:tcW w:w="920"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23.4</w:t>
            </w:r>
          </w:p>
        </w:tc>
        <w:tc>
          <w:tcPr>
            <w:tcW w:w="1110"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牛</w:t>
            </w:r>
            <w:r>
              <w:rPr>
                <w:rFonts w:hint="eastAsia"/>
                <w:color w:val="auto"/>
                <w:kern w:val="0"/>
                <w:szCs w:val="21"/>
              </w:rPr>
              <w:t>舍</w:t>
            </w:r>
          </w:p>
        </w:tc>
        <w:tc>
          <w:tcPr>
            <w:tcW w:w="1002"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lang w:val="en-US" w:eastAsia="zh-CN"/>
              </w:rPr>
            </w:pPr>
            <w:r>
              <w:rPr>
                <w:rFonts w:hint="eastAsia"/>
                <w:color w:val="auto"/>
                <w:kern w:val="0"/>
                <w:szCs w:val="21"/>
              </w:rPr>
              <w:t>一般废物</w:t>
            </w:r>
          </w:p>
        </w:tc>
        <w:tc>
          <w:tcPr>
            <w:tcW w:w="2788"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经高温无害化处理后交由有机肥厂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3</w:t>
            </w:r>
          </w:p>
        </w:tc>
        <w:tc>
          <w:tcPr>
            <w:tcW w:w="205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废包装材料</w:t>
            </w:r>
          </w:p>
        </w:tc>
        <w:tc>
          <w:tcPr>
            <w:tcW w:w="92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1.2</w:t>
            </w:r>
          </w:p>
        </w:tc>
        <w:tc>
          <w:tcPr>
            <w:tcW w:w="111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原辅料</w:t>
            </w:r>
          </w:p>
        </w:tc>
        <w:tc>
          <w:tcPr>
            <w:tcW w:w="1002"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lang w:val="en-US" w:eastAsia="zh-CN"/>
              </w:rPr>
              <w:t>暂存于一般固废间</w:t>
            </w:r>
            <w:r>
              <w:rPr>
                <w:rFonts w:hint="eastAsia"/>
                <w:color w:val="auto"/>
                <w:kern w:val="0"/>
                <w:szCs w:val="21"/>
                <w:lang w:eastAsia="zh-CN"/>
              </w:rPr>
              <w:t>，</w:t>
            </w:r>
            <w:r>
              <w:rPr>
                <w:rFonts w:hint="default"/>
                <w:color w:val="auto"/>
                <w:kern w:val="0"/>
                <w:szCs w:val="21"/>
              </w:rPr>
              <w:t>由厂家回收处置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1"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4</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布袋除尘器收集的粉尘</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1.61</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cs="Times New Roman"/>
                <w:color w:val="auto"/>
                <w:kern w:val="0"/>
                <w:sz w:val="21"/>
                <w:szCs w:val="21"/>
                <w:lang w:val="en-US" w:eastAsia="zh-CN" w:bidi="ar-SA"/>
              </w:rPr>
            </w:pPr>
            <w:r>
              <w:rPr>
                <w:rFonts w:hint="eastAsia"/>
                <w:color w:val="auto"/>
                <w:kern w:val="0"/>
                <w:szCs w:val="21"/>
                <w:lang w:val="en-US" w:eastAsia="zh-CN"/>
              </w:rPr>
              <w:t>布袋除尘器</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default"/>
                <w:color w:val="auto"/>
                <w:kern w:val="0"/>
                <w:szCs w:val="21"/>
                <w:lang w:val="en-US" w:eastAsia="zh-CN"/>
              </w:rPr>
            </w:pPr>
            <w:r>
              <w:rPr>
                <w:rFonts w:hint="eastAsia"/>
                <w:color w:val="auto"/>
                <w:kern w:val="0"/>
                <w:szCs w:val="21"/>
                <w:lang w:val="en-US" w:eastAsia="zh-CN"/>
              </w:rPr>
              <w:t>暂存于一般固废间</w:t>
            </w:r>
            <w:r>
              <w:rPr>
                <w:rFonts w:hint="eastAsia"/>
                <w:color w:val="auto"/>
                <w:kern w:val="0"/>
                <w:szCs w:val="21"/>
                <w:lang w:eastAsia="zh-CN"/>
              </w:rPr>
              <w:t>，</w:t>
            </w:r>
            <w:r>
              <w:rPr>
                <w:rFonts w:hint="eastAsia"/>
                <w:color w:val="auto"/>
                <w:kern w:val="0"/>
                <w:szCs w:val="21"/>
                <w:lang w:val="en-US" w:eastAsia="zh-CN"/>
              </w:rPr>
              <w:t>外售有机肥厂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8" w:hRule="atLeast"/>
          <w:jc w:val="center"/>
        </w:trPr>
        <w:tc>
          <w:tcPr>
            <w:tcW w:w="585"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w:t>
            </w:r>
          </w:p>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szCs w:val="21"/>
              </w:rPr>
              <w:t>废物</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w:t>
            </w:r>
          </w:p>
        </w:tc>
        <w:tc>
          <w:tcPr>
            <w:tcW w:w="205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畜禽医疗垃圾</w:t>
            </w:r>
          </w:p>
        </w:tc>
        <w:tc>
          <w:tcPr>
            <w:tcW w:w="92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0.8</w:t>
            </w:r>
          </w:p>
        </w:tc>
        <w:tc>
          <w:tcPr>
            <w:tcW w:w="111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疫苗注射、健康体检等</w:t>
            </w:r>
          </w:p>
        </w:tc>
        <w:tc>
          <w:tcPr>
            <w:tcW w:w="1002"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危险废物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rPr>
            </w:pPr>
            <w:r>
              <w:rPr>
                <w:rFonts w:hint="default"/>
                <w:color w:val="auto"/>
              </w:rPr>
              <w:t>交有资质单位处理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585" w:type="dxa"/>
            <w:vMerge w:val="restart"/>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生活</w:t>
            </w:r>
          </w:p>
        </w:tc>
        <w:tc>
          <w:tcPr>
            <w:tcW w:w="333"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6</w:t>
            </w:r>
          </w:p>
        </w:tc>
        <w:tc>
          <w:tcPr>
            <w:tcW w:w="205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办公生活垃圾</w:t>
            </w:r>
          </w:p>
        </w:tc>
        <w:tc>
          <w:tcPr>
            <w:tcW w:w="92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eastAsia"/>
                <w:color w:val="auto"/>
                <w:kern w:val="0"/>
                <w:szCs w:val="21"/>
                <w:lang w:val="en-US" w:eastAsia="zh-CN"/>
              </w:rPr>
              <w:t>3.65</w:t>
            </w:r>
          </w:p>
        </w:tc>
        <w:tc>
          <w:tcPr>
            <w:tcW w:w="111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定期交由环卫部门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585" w:type="dxa"/>
            <w:vMerge w:val="continue"/>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7</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eastAsia="zh-CN"/>
              </w:rPr>
              <w:t>预处理池</w:t>
            </w:r>
            <w:r>
              <w:rPr>
                <w:rFonts w:hint="default"/>
                <w:color w:val="auto"/>
                <w:kern w:val="0"/>
                <w:szCs w:val="21"/>
              </w:rPr>
              <w:t>污泥</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eastAsia="宋体"/>
                <w:color w:val="auto"/>
                <w:kern w:val="0"/>
                <w:szCs w:val="21"/>
                <w:lang w:val="en-US" w:eastAsia="zh-CN"/>
              </w:rPr>
            </w:pPr>
            <w:r>
              <w:rPr>
                <w:rFonts w:hint="eastAsia"/>
                <w:color w:val="auto"/>
                <w:kern w:val="0"/>
                <w:szCs w:val="21"/>
                <w:lang w:val="en-US" w:eastAsia="zh-CN"/>
              </w:rPr>
              <w:t>0.1</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定期交由环卫部门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85" w:type="dxa"/>
            <w:vMerge w:val="continue"/>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8</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隔油池浮油</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default"/>
                <w:color w:val="auto"/>
                <w:kern w:val="0"/>
                <w:szCs w:val="21"/>
              </w:rPr>
              <w:t>0.0</w:t>
            </w:r>
            <w:r>
              <w:rPr>
                <w:rFonts w:hint="eastAsia"/>
                <w:color w:val="auto"/>
                <w:kern w:val="0"/>
                <w:szCs w:val="21"/>
                <w:lang w:val="en-US" w:eastAsia="zh-CN"/>
              </w:rPr>
              <w:t>2</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送三方资质单位处理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2968" w:type="dxa"/>
            <w:gridSpan w:val="3"/>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合计</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38687.93</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ascii="Times New Roman" w:hAnsi="Times New Roman" w:eastAsia="宋体" w:cs="Times New Roman"/>
                <w:color w:val="auto"/>
                <w:kern w:val="0"/>
                <w:szCs w:val="21"/>
              </w:rPr>
            </w:pPr>
          </w:p>
        </w:tc>
        <w:tc>
          <w:tcPr>
            <w:tcW w:w="100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2788"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r>
    </w:tbl>
    <w:p>
      <w:pPr>
        <w:pStyle w:val="723"/>
        <w:spacing w:before="120" w:beforeLines="50"/>
        <w:rPr>
          <w:rFonts w:ascii="Times New Roman" w:hAnsi="Times New Roman" w:eastAsia="宋体" w:cs="Times New Roman"/>
          <w:color w:val="auto"/>
          <w:szCs w:val="24"/>
        </w:rPr>
      </w:pPr>
      <w:r>
        <w:rPr>
          <w:rFonts w:ascii="Times New Roman" w:hAnsi="Times New Roman" w:eastAsia="宋体" w:cs="Times New Roman"/>
          <w:color w:val="auto"/>
          <w:szCs w:val="24"/>
        </w:rPr>
        <w:t>经采取以上措施，项目建成后，所产生的固废均得到了综合利用或妥善处置，不会带来二次污染，项目固废排放对周围环境影响不明显。</w:t>
      </w:r>
    </w:p>
    <w:p>
      <w:pPr>
        <w:snapToGrid w:val="0"/>
        <w:spacing w:line="360" w:lineRule="auto"/>
        <w:ind w:firstLine="482" w:firstLineChars="200"/>
        <w:rPr>
          <w:b/>
          <w:color w:val="auto"/>
          <w:sz w:val="24"/>
        </w:rPr>
      </w:pPr>
      <w:r>
        <w:rPr>
          <w:b/>
          <w:color w:val="auto"/>
          <w:sz w:val="24"/>
        </w:rPr>
        <w:t>2、医疗废物暂存</w:t>
      </w:r>
      <w:r>
        <w:rPr>
          <w:rFonts w:hint="eastAsia"/>
          <w:b/>
          <w:color w:val="auto"/>
          <w:sz w:val="24"/>
        </w:rPr>
        <w:t>于</w:t>
      </w:r>
      <w:r>
        <w:rPr>
          <w:rFonts w:hint="eastAsia"/>
          <w:b/>
          <w:color w:val="auto"/>
          <w:sz w:val="24"/>
          <w:lang w:val="en-US" w:eastAsia="zh-CN"/>
        </w:rPr>
        <w:t>医疗废物</w:t>
      </w:r>
      <w:r>
        <w:rPr>
          <w:rFonts w:hint="eastAsia"/>
          <w:b/>
          <w:color w:val="auto"/>
          <w:sz w:val="24"/>
        </w:rPr>
        <w:t>暂存</w:t>
      </w:r>
      <w:r>
        <w:rPr>
          <w:b/>
          <w:color w:val="auto"/>
          <w:sz w:val="24"/>
        </w:rPr>
        <w:t>间管理要求</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为了保证项目医疗废物实现无害化处置，环评要求项目必须严格按照《医疗废物分类目录》、《医疗废物管理条例》、《医疗卫生机构医疗废物管理办法》等相关文件要求，对各类医疗废物进行分类收集、处理。主要要求如下： </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①应当及时收集本单位产生的医疗废物，并按照类别分置于防渗漏、防锐器穿透的专用包装物或者密闭的容器内。医疗废物专用包装物、容器，应当有明显的警示标识和警示说明。 </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②应当建立医疗废物的暂时贮存设施、设备，不得露天存放医疗废物；医疗废物暂时贮存的时间不得超过2天。</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③医疗废物的暂时贮存设施、设备应当定期消毒和清洁。 </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④应当使用防渗漏、防遗撒的专用运送工具，按照本单位确定的内部医疗废物运送时间、路线，将医疗废物收集、运送至暂时贮存地点。 </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⑤应当根据就近集中处置的原则，及时将医疗废物交由医疗废物集中处置单位处置。</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⑥医疗废物暂存间树立明确的标示牌，必须做到密闭和防渗漏，严格防止地下水污染和土壤污染；同时，采取防鼠、防蚊蝇、防蟑螂、防盗以及预防儿童接触等安全措施，并且每天消毒、灭菌，防止病源扩散。 </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 xml:space="preserve">⑦做好医疗废物暂存和运出处理的管理工作，医疗废物暂存间每天专人负责清扫、消毒工作。 </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⑧将医疗废物转运协议报环保局备案。</w:t>
      </w:r>
    </w:p>
    <w:p>
      <w:pPr>
        <w:snapToGrid w:val="0"/>
        <w:spacing w:line="360" w:lineRule="auto"/>
        <w:ind w:firstLine="482" w:firstLineChars="200"/>
        <w:rPr>
          <w:b/>
          <w:color w:val="auto"/>
          <w:sz w:val="24"/>
        </w:rPr>
      </w:pPr>
      <w:r>
        <w:rPr>
          <w:b/>
          <w:color w:val="auto"/>
          <w:sz w:val="24"/>
        </w:rPr>
        <w:t xml:space="preserve">3、医疗废物暂存相关要求 </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本项目</w:t>
      </w:r>
      <w:r>
        <w:rPr>
          <w:rFonts w:hint="eastAsia" w:ascii="Times New Roman" w:hAnsi="Times New Roman" w:eastAsia="宋体" w:cs="Times New Roman"/>
          <w:color w:val="auto"/>
          <w:szCs w:val="24"/>
        </w:rPr>
        <w:t>医疗废物暂存间</w:t>
      </w:r>
      <w:r>
        <w:rPr>
          <w:rFonts w:ascii="Times New Roman" w:hAnsi="Times New Roman" w:eastAsia="宋体" w:cs="Times New Roman"/>
          <w:color w:val="auto"/>
          <w:szCs w:val="24"/>
        </w:rPr>
        <w:t>建筑面积为</w:t>
      </w:r>
      <w:r>
        <w:rPr>
          <w:rFonts w:hint="eastAsia" w:ascii="Times New Roman" w:hAnsi="Times New Roman" w:eastAsia="宋体" w:cs="Times New Roman"/>
          <w:color w:val="auto"/>
          <w:szCs w:val="24"/>
          <w:lang w:val="en-US" w:eastAsia="zh-CN"/>
        </w:rPr>
        <w:t>5</w:t>
      </w:r>
      <w:r>
        <w:rPr>
          <w:rFonts w:ascii="Times New Roman" w:hAnsi="Times New Roman" w:eastAsia="宋体" w:cs="Times New Roman"/>
          <w:color w:val="auto"/>
          <w:szCs w:val="24"/>
        </w:rPr>
        <w:t>m</w:t>
      </w:r>
      <w:r>
        <w:rPr>
          <w:rFonts w:ascii="Times New Roman" w:hAnsi="Times New Roman" w:eastAsia="宋体" w:cs="Times New Roman"/>
          <w:color w:val="auto"/>
          <w:szCs w:val="24"/>
          <w:vertAlign w:val="superscript"/>
        </w:rPr>
        <w:t>2</w:t>
      </w:r>
      <w:r>
        <w:rPr>
          <w:rFonts w:ascii="Times New Roman" w:hAnsi="Times New Roman" w:eastAsia="宋体" w:cs="Times New Roman"/>
          <w:color w:val="auto"/>
          <w:szCs w:val="24"/>
        </w:rPr>
        <w:t>，根据</w:t>
      </w:r>
      <w:r>
        <w:rPr>
          <w:rFonts w:hint="eastAsia" w:ascii="Times New Roman" w:hAnsi="Times New Roman" w:eastAsia="宋体" w:cs="Times New Roman"/>
          <w:color w:val="auto"/>
          <w:szCs w:val="24"/>
        </w:rPr>
        <w:t>医疗废物</w:t>
      </w:r>
      <w:r>
        <w:rPr>
          <w:rFonts w:ascii="Times New Roman" w:hAnsi="Times New Roman" w:eastAsia="宋体" w:cs="Times New Roman"/>
          <w:color w:val="auto"/>
          <w:szCs w:val="24"/>
        </w:rPr>
        <w:t xml:space="preserve">特性，储存到一定时间交由危废单位进行处置。 </w:t>
      </w:r>
    </w:p>
    <w:p>
      <w:pPr>
        <w:pStyle w:val="723"/>
        <w:rPr>
          <w:rFonts w:ascii="Times New Roman" w:hAnsi="Times New Roman" w:eastAsia="宋体" w:cs="Times New Roman"/>
          <w:color w:val="auto"/>
          <w:szCs w:val="24"/>
        </w:rPr>
      </w:pPr>
      <w:r>
        <w:rPr>
          <w:rFonts w:ascii="Times New Roman" w:hAnsi="Times New Roman" w:eastAsia="宋体" w:cs="Times New Roman"/>
          <w:color w:val="auto"/>
          <w:szCs w:val="24"/>
        </w:rPr>
        <w:t>本项目医疗废物暂存必须按照《危险废物贮存污染控制标准》（GB18597-2001）及 2013 年修改单的要求执行。</w:t>
      </w:r>
    </w:p>
    <w:p>
      <w:pPr>
        <w:snapToGrid w:val="0"/>
        <w:spacing w:line="360" w:lineRule="auto"/>
        <w:ind w:firstLine="482" w:firstLineChars="200"/>
        <w:rPr>
          <w:b/>
          <w:color w:val="auto"/>
          <w:sz w:val="24"/>
        </w:rPr>
      </w:pPr>
      <w:r>
        <w:rPr>
          <w:b/>
          <w:color w:val="auto"/>
          <w:sz w:val="24"/>
        </w:rPr>
        <w:fldChar w:fldCharType="begin"/>
      </w:r>
      <w:r>
        <w:rPr>
          <w:b/>
          <w:color w:val="auto"/>
          <w:sz w:val="24"/>
        </w:rPr>
        <w:instrText xml:space="preserve">= 1 \* GB3</w:instrText>
      </w:r>
      <w:r>
        <w:rPr>
          <w:b/>
          <w:color w:val="auto"/>
          <w:sz w:val="24"/>
        </w:rPr>
        <w:fldChar w:fldCharType="separate"/>
      </w:r>
      <w:r>
        <w:rPr>
          <w:b/>
          <w:color w:val="auto"/>
          <w:sz w:val="24"/>
        </w:rPr>
        <w:t>①</w:t>
      </w:r>
      <w:r>
        <w:rPr>
          <w:b/>
          <w:color w:val="auto"/>
          <w:sz w:val="24"/>
        </w:rPr>
        <w:fldChar w:fldCharType="end"/>
      </w:r>
      <w:r>
        <w:rPr>
          <w:b/>
          <w:color w:val="auto"/>
          <w:sz w:val="24"/>
        </w:rPr>
        <w:t>厂内医疗废物管理</w:t>
      </w:r>
    </w:p>
    <w:p>
      <w:pPr>
        <w:pStyle w:val="723"/>
        <w:ind w:firstLine="420"/>
        <w:rPr>
          <w:rFonts w:ascii="Times New Roman" w:hAnsi="Times New Roman" w:eastAsia="宋体" w:cs="Times New Roman"/>
          <w:color w:val="auto"/>
        </w:rPr>
      </w:pPr>
      <w:r>
        <w:rPr>
          <w:rFonts w:ascii="Times New Roman" w:hAnsi="Times New Roman" w:eastAsia="宋体" w:cs="Times New Roman"/>
          <w:color w:val="auto"/>
        </w:rPr>
        <w:t>在采取处理废弃物的同时，加强对废弃物的管理，特别是对医疗废物的管理。为防止废弃物逸散、流失，采取有害废物分类集中堆放、专人负责等措施，可有效地防止废弃物的二次污染。</w:t>
      </w:r>
    </w:p>
    <w:p>
      <w:pPr>
        <w:pStyle w:val="723"/>
        <w:ind w:firstLine="420"/>
        <w:rPr>
          <w:rFonts w:ascii="Times New Roman" w:hAnsi="Times New Roman" w:eastAsia="宋体" w:cs="Times New Roman"/>
          <w:color w:val="auto"/>
        </w:rPr>
      </w:pPr>
      <w:r>
        <w:rPr>
          <w:rFonts w:ascii="Times New Roman" w:hAnsi="Times New Roman" w:eastAsia="宋体" w:cs="Times New Roman"/>
          <w:color w:val="auto"/>
        </w:rPr>
        <w:t>各类废弃物的收集和管理，公司将委派专人负责，各种废弃物的储存容器都有很好的密封性，临时储存场所安全可靠，不会受到风雨侵蚀，从而将有效地防止临时存放过程中的二次污染。</w:t>
      </w:r>
      <w:r>
        <w:rPr>
          <w:rFonts w:ascii="Times New Roman" w:hAnsi="Times New Roman" w:eastAsia="宋体" w:cs="Times New Roman"/>
          <w:color w:val="auto"/>
          <w:szCs w:val="28"/>
        </w:rPr>
        <w:t>一般</w:t>
      </w:r>
      <w:r>
        <w:rPr>
          <w:rFonts w:ascii="Times New Roman" w:hAnsi="Times New Roman" w:eastAsia="宋体" w:cs="Times New Roman"/>
          <w:color w:val="auto"/>
        </w:rPr>
        <w:t>废弃物</w:t>
      </w:r>
      <w:r>
        <w:rPr>
          <w:rFonts w:ascii="Times New Roman" w:hAnsi="Times New Roman" w:eastAsia="宋体" w:cs="Times New Roman"/>
          <w:color w:val="auto"/>
          <w:szCs w:val="28"/>
        </w:rPr>
        <w:t>堆放在固定的区域，而且采用现场分类,以回收有用的垃圾,减少资源浪费。只要通过管理有效地放置，增加外运的次数，公司已建</w:t>
      </w:r>
      <w:r>
        <w:rPr>
          <w:rFonts w:ascii="Times New Roman" w:hAnsi="Times New Roman" w:eastAsia="宋体" w:cs="Times New Roman"/>
          <w:color w:val="auto"/>
        </w:rPr>
        <w:t>医疗废物暂存间</w:t>
      </w:r>
      <w:r>
        <w:rPr>
          <w:rFonts w:ascii="Times New Roman" w:hAnsi="Times New Roman" w:eastAsia="宋体" w:cs="Times New Roman"/>
          <w:color w:val="auto"/>
          <w:szCs w:val="28"/>
        </w:rPr>
        <w:t>能够容纳本项目实施后的</w:t>
      </w:r>
      <w:r>
        <w:rPr>
          <w:rFonts w:ascii="Times New Roman" w:hAnsi="Times New Roman" w:eastAsia="宋体" w:cs="Times New Roman"/>
          <w:color w:val="auto"/>
        </w:rPr>
        <w:t>医疗废物量</w:t>
      </w:r>
      <w:r>
        <w:rPr>
          <w:rFonts w:ascii="Times New Roman" w:hAnsi="Times New Roman" w:eastAsia="宋体" w:cs="Times New Roman"/>
          <w:color w:val="auto"/>
          <w:szCs w:val="28"/>
        </w:rPr>
        <w:t>。</w:t>
      </w:r>
    </w:p>
    <w:p>
      <w:pPr>
        <w:snapToGrid w:val="0"/>
        <w:spacing w:line="360" w:lineRule="auto"/>
        <w:ind w:firstLine="482" w:firstLineChars="200"/>
        <w:rPr>
          <w:b/>
          <w:color w:val="auto"/>
          <w:sz w:val="24"/>
        </w:rPr>
      </w:pPr>
      <w:r>
        <w:rPr>
          <w:b/>
          <w:color w:val="auto"/>
          <w:sz w:val="24"/>
        </w:rPr>
        <w:fldChar w:fldCharType="begin"/>
      </w:r>
      <w:r>
        <w:rPr>
          <w:b/>
          <w:color w:val="auto"/>
          <w:sz w:val="24"/>
        </w:rPr>
        <w:instrText xml:space="preserve">= 2 \* GB3</w:instrText>
      </w:r>
      <w:r>
        <w:rPr>
          <w:b/>
          <w:color w:val="auto"/>
          <w:sz w:val="24"/>
        </w:rPr>
        <w:fldChar w:fldCharType="separate"/>
      </w:r>
      <w:r>
        <w:rPr>
          <w:b/>
          <w:color w:val="auto"/>
          <w:sz w:val="24"/>
        </w:rPr>
        <w:t>②</w:t>
      </w:r>
      <w:r>
        <w:rPr>
          <w:b/>
          <w:color w:val="auto"/>
          <w:sz w:val="24"/>
        </w:rPr>
        <w:fldChar w:fldCharType="end"/>
      </w:r>
      <w:r>
        <w:rPr>
          <w:b/>
          <w:color w:val="auto"/>
          <w:sz w:val="24"/>
        </w:rPr>
        <w:t>医疗废物运输</w:t>
      </w:r>
    </w:p>
    <w:p>
      <w:pPr>
        <w:pStyle w:val="723"/>
        <w:rPr>
          <w:rFonts w:ascii="Times New Roman" w:hAnsi="Times New Roman" w:eastAsia="宋体" w:cs="Times New Roman"/>
          <w:color w:val="auto"/>
        </w:rPr>
      </w:pPr>
      <w:r>
        <w:rPr>
          <w:rFonts w:ascii="Times New Roman" w:hAnsi="Times New Roman" w:eastAsia="宋体" w:cs="Times New Roman"/>
          <w:color w:val="auto"/>
        </w:rPr>
        <w:t>在危险废弃物外运至处置单位时必须严格遵守以下要求：</w:t>
      </w:r>
    </w:p>
    <w:p>
      <w:pPr>
        <w:pStyle w:val="723"/>
        <w:ind w:firstLine="504" w:firstLineChars="210"/>
        <w:rPr>
          <w:rFonts w:ascii="Times New Roman" w:hAnsi="Times New Roman" w:eastAsia="宋体" w:cs="Times New Roman"/>
          <w:color w:val="auto"/>
        </w:rPr>
      </w:pPr>
      <w:r>
        <w:rPr>
          <w:rFonts w:ascii="Times New Roman" w:hAnsi="Times New Roman" w:eastAsia="宋体" w:cs="Times New Roman"/>
          <w:color w:val="auto"/>
        </w:rPr>
        <w:t>①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pPr>
        <w:pStyle w:val="723"/>
        <w:rPr>
          <w:rFonts w:ascii="Times New Roman" w:hAnsi="Times New Roman" w:eastAsia="宋体" w:cs="Times New Roman"/>
          <w:color w:val="auto"/>
        </w:rPr>
      </w:pPr>
      <w:r>
        <w:rPr>
          <w:rFonts w:ascii="Times New Roman" w:hAnsi="Times New Roman" w:eastAsia="宋体" w:cs="Times New Roman"/>
          <w:color w:val="auto"/>
        </w:rPr>
        <w:t>②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pStyle w:val="723"/>
        <w:rPr>
          <w:rFonts w:ascii="Times New Roman" w:hAnsi="Times New Roman" w:eastAsia="宋体" w:cs="Times New Roman"/>
          <w:color w:val="auto"/>
        </w:rPr>
      </w:pPr>
      <w:r>
        <w:rPr>
          <w:rFonts w:ascii="Times New Roman" w:hAnsi="Times New Roman" w:eastAsia="宋体" w:cs="Times New Roman"/>
          <w:color w:val="auto"/>
        </w:rPr>
        <w:t>③处置单位在运输危险废弃物时必须配备押运人员，并随时处于押运人员的监管之下，</w:t>
      </w:r>
      <w:r>
        <w:rPr>
          <w:rStyle w:val="1213"/>
          <w:rFonts w:ascii="Times New Roman" w:hAnsi="Times New Roman" w:eastAsia="宋体" w:cs="Times New Roman"/>
          <w:color w:val="auto"/>
        </w:rPr>
        <w:t>不得超装</w:t>
      </w:r>
      <w:r>
        <w:rPr>
          <w:rFonts w:ascii="Times New Roman" w:hAnsi="Times New Roman" w:eastAsia="宋体" w:cs="Times New Roman"/>
          <w:color w:val="auto"/>
        </w:rPr>
        <w:t>、超载，严格按照所在城市规定的行车时间和行车路线行驶，不得进入危险化学品运输车辆禁止通行的区域。</w:t>
      </w:r>
    </w:p>
    <w:p>
      <w:pPr>
        <w:pStyle w:val="723"/>
        <w:rPr>
          <w:rFonts w:ascii="Times New Roman" w:hAnsi="Times New Roman" w:eastAsia="宋体" w:cs="Times New Roman"/>
          <w:color w:val="auto"/>
        </w:rPr>
      </w:pPr>
      <w:r>
        <w:rPr>
          <w:rFonts w:ascii="Times New Roman" w:hAnsi="Times New Roman" w:eastAsia="宋体" w:cs="Times New Roman"/>
          <w:color w:val="auto"/>
        </w:rPr>
        <w:t>④危险废弃物在运输途中若发生被盗、丢失、流散、泄漏等情况时，公司及押运人员必须立即向当地公安部门报告，并采取一切可能的警示措施。</w:t>
      </w:r>
    </w:p>
    <w:p>
      <w:pPr>
        <w:pStyle w:val="723"/>
        <w:rPr>
          <w:rFonts w:ascii="Times New Roman" w:hAnsi="Times New Roman" w:eastAsia="宋体" w:cs="Times New Roman"/>
          <w:color w:val="auto"/>
        </w:rPr>
      </w:pPr>
      <w:r>
        <w:rPr>
          <w:rFonts w:ascii="Times New Roman" w:hAnsi="Times New Roman" w:eastAsia="宋体" w:cs="Times New Roman"/>
          <w:color w:val="auto"/>
        </w:rPr>
        <w:t>综上分析可知，项目运营期产生的固废均得到了妥善处置，不会带来二次污染，只要企业严格落实固废的收集、暂存、运输及处置措施，项目固废对周围环境影响不明显。</w:t>
      </w:r>
    </w:p>
    <w:p>
      <w:pPr>
        <w:pStyle w:val="180"/>
        <w:rPr>
          <w:rFonts w:hint="default" w:ascii="Times New Roman" w:hAnsi="Times New Roman" w:cs="Times New Roman" w:eastAsiaTheme="majorEastAsia"/>
          <w:b/>
          <w:bCs w:val="0"/>
          <w:color w:val="auto"/>
          <w:sz w:val="24"/>
          <w:szCs w:val="24"/>
        </w:rPr>
      </w:pPr>
      <w:bookmarkStart w:id="463" w:name="_Toc7032"/>
      <w:bookmarkStart w:id="464" w:name="_Toc422563435"/>
      <w:bookmarkStart w:id="465" w:name="_Toc422562171"/>
      <w:bookmarkStart w:id="466" w:name="_Toc453167192"/>
      <w:bookmarkStart w:id="467" w:name="_Toc424995986"/>
      <w:bookmarkStart w:id="468" w:name="_Toc436130181"/>
      <w:bookmarkStart w:id="469" w:name="_Toc484402675"/>
      <w:bookmarkStart w:id="470" w:name="_Toc424983456"/>
      <w:bookmarkStart w:id="471" w:name="_Toc453129295"/>
      <w:bookmarkStart w:id="472" w:name="_Toc436191280"/>
      <w:bookmarkStart w:id="473" w:name="_Toc483623019"/>
      <w:r>
        <w:rPr>
          <w:rFonts w:hint="default" w:ascii="Times New Roman" w:hAnsi="Times New Roman" w:cs="Times New Roman" w:eastAsiaTheme="majorEastAsia"/>
          <w:b/>
          <w:bCs w:val="0"/>
          <w:color w:val="auto"/>
          <w:sz w:val="24"/>
          <w:szCs w:val="24"/>
        </w:rPr>
        <w:t>土壤环境影响分析</w:t>
      </w:r>
      <w:bookmarkEnd w:id="463"/>
    </w:p>
    <w:p>
      <w:pPr>
        <w:spacing w:line="360" w:lineRule="auto"/>
        <w:ind w:firstLine="480" w:firstLineChars="200"/>
        <w:rPr>
          <w:rFonts w:hint="eastAsia"/>
          <w:color w:val="auto"/>
          <w:sz w:val="24"/>
          <w:szCs w:val="32"/>
        </w:rPr>
      </w:pPr>
      <w:r>
        <w:rPr>
          <w:rFonts w:hint="eastAsia"/>
          <w:color w:val="auto"/>
          <w:sz w:val="24"/>
          <w:szCs w:val="32"/>
        </w:rPr>
        <w:t>本项目位于</w:t>
      </w:r>
      <w:r>
        <w:rPr>
          <w:rFonts w:hint="eastAsia" w:ascii="Times New Roman" w:hAnsi="Times New Roman" w:eastAsia="宋体" w:cs="Times New Roman"/>
          <w:color w:val="auto"/>
          <w:sz w:val="24"/>
          <w:szCs w:val="32"/>
          <w:lang w:val="en-US" w:eastAsia="zh-CN"/>
        </w:rPr>
        <w:t>巴中市</w:t>
      </w:r>
      <w:r>
        <w:rPr>
          <w:rFonts w:hint="eastAsia" w:ascii="Times New Roman" w:hAnsi="Times New Roman" w:eastAsia="宋体" w:cs="Times New Roman"/>
          <w:color w:val="auto"/>
          <w:sz w:val="24"/>
          <w:szCs w:val="32"/>
        </w:rPr>
        <w:t>恩阳区群乐镇坳盘村2组</w:t>
      </w:r>
      <w:r>
        <w:rPr>
          <w:rFonts w:hint="eastAsia"/>
          <w:color w:val="auto"/>
          <w:sz w:val="24"/>
          <w:szCs w:val="32"/>
        </w:rPr>
        <w:t>，属于“农林牧渔业”</w:t>
      </w:r>
      <w:r>
        <w:rPr>
          <w:rFonts w:hint="eastAsia"/>
          <w:color w:val="auto"/>
          <w:sz w:val="24"/>
          <w:szCs w:val="32"/>
          <w:lang w:val="en-US" w:eastAsia="zh-CN"/>
        </w:rPr>
        <w:t>中“</w:t>
      </w:r>
      <w:r>
        <w:rPr>
          <w:rFonts w:hint="eastAsia"/>
          <w:color w:val="auto"/>
          <w:sz w:val="24"/>
          <w:szCs w:val="32"/>
        </w:rPr>
        <w:t>年出栏生猪5000头（其他畜禽种类折合猪的养殖规模）及以上的畜禽养殖场或养殖小区</w:t>
      </w:r>
      <w:r>
        <w:rPr>
          <w:rFonts w:hint="eastAsia"/>
          <w:color w:val="auto"/>
          <w:sz w:val="24"/>
          <w:szCs w:val="32"/>
          <w:lang w:val="en-US" w:eastAsia="zh-CN"/>
        </w:rPr>
        <w:t>”</w:t>
      </w:r>
      <w:r>
        <w:rPr>
          <w:rFonts w:hint="eastAsia"/>
          <w:color w:val="auto"/>
          <w:sz w:val="24"/>
          <w:szCs w:val="32"/>
        </w:rPr>
        <w:t>，为Ⅲ类项目。</w:t>
      </w:r>
    </w:p>
    <w:p>
      <w:pPr>
        <w:spacing w:line="360" w:lineRule="auto"/>
        <w:ind w:firstLine="482" w:firstLineChars="200"/>
        <w:rPr>
          <w:b/>
          <w:color w:val="auto"/>
          <w:sz w:val="24"/>
          <w:szCs w:val="32"/>
        </w:rPr>
      </w:pPr>
      <w:r>
        <w:rPr>
          <w:b/>
          <w:color w:val="auto"/>
          <w:sz w:val="24"/>
          <w:szCs w:val="32"/>
        </w:rPr>
        <w:t>1、占地规模</w:t>
      </w:r>
    </w:p>
    <w:p>
      <w:pPr>
        <w:spacing w:line="360" w:lineRule="auto"/>
        <w:ind w:firstLine="480" w:firstLineChars="200"/>
        <w:rPr>
          <w:b/>
          <w:color w:val="auto"/>
          <w:sz w:val="24"/>
          <w:szCs w:val="32"/>
        </w:rPr>
      </w:pPr>
      <w:r>
        <w:rPr>
          <w:color w:val="auto"/>
          <w:sz w:val="24"/>
          <w:szCs w:val="32"/>
        </w:rPr>
        <w:t>本项目占地</w:t>
      </w:r>
      <w:r>
        <w:rPr>
          <w:rFonts w:hint="eastAsia"/>
          <w:color w:val="auto"/>
          <w:sz w:val="24"/>
          <w:szCs w:val="32"/>
          <w:lang w:val="en-US" w:eastAsia="zh-CN"/>
        </w:rPr>
        <w:t>16.46</w:t>
      </w:r>
      <w:r>
        <w:rPr>
          <w:color w:val="auto"/>
          <w:sz w:val="24"/>
          <w:szCs w:val="32"/>
        </w:rPr>
        <w:t>hm</w:t>
      </w:r>
      <w:r>
        <w:rPr>
          <w:color w:val="auto"/>
          <w:sz w:val="24"/>
          <w:szCs w:val="32"/>
          <w:vertAlign w:val="superscript"/>
        </w:rPr>
        <w:t>2</w:t>
      </w:r>
      <w:r>
        <w:rPr>
          <w:color w:val="auto"/>
          <w:sz w:val="24"/>
          <w:szCs w:val="32"/>
        </w:rPr>
        <w:t>，占地规模为</w:t>
      </w:r>
      <w:r>
        <w:rPr>
          <w:rFonts w:hint="eastAsia"/>
          <w:color w:val="auto"/>
          <w:sz w:val="24"/>
          <w:szCs w:val="32"/>
          <w:lang w:val="en-US" w:eastAsia="zh-CN"/>
        </w:rPr>
        <w:t>中</w:t>
      </w:r>
      <w:r>
        <w:rPr>
          <w:color w:val="auto"/>
          <w:sz w:val="24"/>
          <w:szCs w:val="32"/>
        </w:rPr>
        <w:t>型</w:t>
      </w:r>
      <w:r>
        <w:rPr>
          <w:rFonts w:hint="default" w:ascii="Times New Roman" w:hAnsi="Times New Roman" w:cs="Times New Roman"/>
          <w:color w:val="auto"/>
          <w:sz w:val="24"/>
          <w:szCs w:val="32"/>
        </w:rPr>
        <w:t>（</w:t>
      </w:r>
      <w:r>
        <w:rPr>
          <w:rFonts w:hint="eastAsia"/>
          <w:color w:val="auto"/>
          <w:sz w:val="24"/>
          <w:szCs w:val="32"/>
          <w:lang w:val="en-US" w:eastAsia="zh-CN"/>
        </w:rPr>
        <w:t>5-50</w:t>
      </w:r>
      <w:r>
        <w:rPr>
          <w:color w:val="auto"/>
          <w:sz w:val="24"/>
          <w:szCs w:val="32"/>
        </w:rPr>
        <w:t>hm</w:t>
      </w:r>
      <w:r>
        <w:rPr>
          <w:color w:val="auto"/>
          <w:sz w:val="24"/>
          <w:szCs w:val="32"/>
          <w:vertAlign w:val="superscript"/>
        </w:rPr>
        <w:t>2</w:t>
      </w:r>
      <w:r>
        <w:rPr>
          <w:color w:val="auto"/>
          <w:sz w:val="24"/>
          <w:szCs w:val="32"/>
        </w:rPr>
        <w:t>）。</w:t>
      </w:r>
    </w:p>
    <w:p>
      <w:pPr>
        <w:spacing w:line="360" w:lineRule="auto"/>
        <w:ind w:firstLine="482" w:firstLineChars="200"/>
        <w:rPr>
          <w:b/>
          <w:color w:val="auto"/>
          <w:sz w:val="24"/>
          <w:szCs w:val="32"/>
        </w:rPr>
      </w:pPr>
      <w:r>
        <w:rPr>
          <w:b/>
          <w:color w:val="auto"/>
          <w:sz w:val="24"/>
          <w:szCs w:val="32"/>
        </w:rPr>
        <w:t>2、本项目可能影响的土壤环境敏感目标</w:t>
      </w:r>
    </w:p>
    <w:p>
      <w:pPr>
        <w:spacing w:line="360" w:lineRule="auto"/>
        <w:ind w:firstLine="480" w:firstLineChars="200"/>
        <w:rPr>
          <w:b/>
          <w:color w:val="auto"/>
          <w:sz w:val="24"/>
          <w:szCs w:val="32"/>
        </w:rPr>
      </w:pPr>
      <w:r>
        <w:rPr>
          <w:color w:val="auto"/>
          <w:sz w:val="24"/>
          <w:szCs w:val="32"/>
        </w:rPr>
        <w:t>项目敏感程度见表</w:t>
      </w:r>
      <w:r>
        <w:rPr>
          <w:rFonts w:hint="eastAsia"/>
          <w:color w:val="auto"/>
          <w:sz w:val="24"/>
          <w:szCs w:val="32"/>
          <w:lang w:val="en-US" w:eastAsia="zh-CN"/>
        </w:rPr>
        <w:t>5.2</w:t>
      </w:r>
      <w:r>
        <w:rPr>
          <w:color w:val="auto"/>
          <w:sz w:val="24"/>
          <w:szCs w:val="32"/>
        </w:rPr>
        <w:t>-</w:t>
      </w:r>
      <w:r>
        <w:rPr>
          <w:rFonts w:hint="eastAsia"/>
          <w:color w:val="auto"/>
          <w:sz w:val="24"/>
          <w:szCs w:val="32"/>
          <w:lang w:val="en-US" w:eastAsia="zh-CN"/>
        </w:rPr>
        <w:t>24</w:t>
      </w:r>
      <w:r>
        <w:rPr>
          <w:color w:val="auto"/>
          <w:sz w:val="24"/>
          <w:szCs w:val="32"/>
        </w:rPr>
        <w:t>。</w:t>
      </w:r>
    </w:p>
    <w:p>
      <w:pPr>
        <w:spacing w:line="360" w:lineRule="auto"/>
        <w:jc w:val="center"/>
        <w:rPr>
          <w:b/>
          <w:color w:val="auto"/>
          <w:szCs w:val="21"/>
          <w:lang w:val="zh-CN"/>
        </w:rPr>
      </w:pPr>
      <w:r>
        <w:rPr>
          <w:b/>
          <w:color w:val="auto"/>
          <w:szCs w:val="21"/>
          <w:lang w:val="zh-CN"/>
        </w:rPr>
        <w:t>表</w:t>
      </w:r>
      <w:r>
        <w:rPr>
          <w:rFonts w:hint="eastAsia"/>
          <w:b/>
          <w:color w:val="auto"/>
          <w:szCs w:val="21"/>
          <w:lang w:val="en-US" w:eastAsia="zh-CN"/>
        </w:rPr>
        <w:t>5.2</w:t>
      </w:r>
      <w:r>
        <w:rPr>
          <w:b/>
          <w:color w:val="auto"/>
          <w:szCs w:val="21"/>
          <w:lang w:val="zh-CN"/>
        </w:rPr>
        <w:t>-</w:t>
      </w:r>
      <w:r>
        <w:rPr>
          <w:rFonts w:hint="eastAsia"/>
          <w:b/>
          <w:color w:val="auto"/>
          <w:szCs w:val="21"/>
          <w:lang w:val="en-US" w:eastAsia="zh-CN"/>
        </w:rPr>
        <w:t>24</w:t>
      </w:r>
      <w:r>
        <w:rPr>
          <w:b/>
          <w:color w:val="auto"/>
          <w:szCs w:val="21"/>
          <w:lang w:val="zh-CN"/>
        </w:rPr>
        <w:t xml:space="preserve"> 污染影响型敏感程度分级表</w:t>
      </w:r>
    </w:p>
    <w:tbl>
      <w:tblPr>
        <w:tblStyle w:val="90"/>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7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608" w:type="dxa"/>
            <w:tcBorders>
              <w:tl2br w:val="nil"/>
              <w:tr2bl w:val="nil"/>
            </w:tcBorders>
            <w:vAlign w:val="center"/>
          </w:tcPr>
          <w:p>
            <w:pPr>
              <w:keepNext w:val="0"/>
              <w:keepLines w:val="0"/>
              <w:suppressLineNumbers w:val="0"/>
              <w:spacing w:before="0" w:beforeAutospacing="0" w:after="0" w:afterAutospacing="0"/>
              <w:ind w:left="0" w:right="0" w:firstLine="210"/>
              <w:jc w:val="center"/>
              <w:rPr>
                <w:rFonts w:hint="default"/>
                <w:b/>
                <w:color w:val="auto"/>
                <w:szCs w:val="21"/>
              </w:rPr>
            </w:pPr>
            <w:r>
              <w:rPr>
                <w:rFonts w:hint="default"/>
                <w:b/>
                <w:color w:val="auto"/>
                <w:szCs w:val="21"/>
              </w:rPr>
              <w:t>敏感程度</w:t>
            </w:r>
          </w:p>
        </w:tc>
        <w:tc>
          <w:tcPr>
            <w:tcW w:w="7111" w:type="dxa"/>
            <w:tcBorders>
              <w:tl2br w:val="nil"/>
              <w:tr2bl w:val="nil"/>
            </w:tcBorders>
            <w:vAlign w:val="center"/>
          </w:tcPr>
          <w:p>
            <w:pPr>
              <w:keepNext w:val="0"/>
              <w:keepLines w:val="0"/>
              <w:suppressLineNumbers w:val="0"/>
              <w:spacing w:before="0" w:beforeAutospacing="0" w:after="0" w:afterAutospacing="0"/>
              <w:ind w:left="0" w:right="0" w:firstLine="210"/>
              <w:jc w:val="center"/>
              <w:rPr>
                <w:rFonts w:hint="default"/>
                <w:b/>
                <w:color w:val="auto"/>
                <w:szCs w:val="21"/>
              </w:rPr>
            </w:pPr>
            <w:r>
              <w:rPr>
                <w:rFonts w:hint="default"/>
                <w:b/>
                <w:color w:val="auto"/>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608" w:type="dxa"/>
            <w:tcBorders>
              <w:tl2br w:val="nil"/>
              <w:tr2bl w:val="nil"/>
            </w:tcBorders>
            <w:vAlign w:val="center"/>
          </w:tcPr>
          <w:p>
            <w:pPr>
              <w:keepNext w:val="0"/>
              <w:keepLines w:val="0"/>
              <w:suppressLineNumbers w:val="0"/>
              <w:spacing w:before="0" w:beforeAutospacing="0" w:after="0" w:afterAutospacing="0"/>
              <w:ind w:left="0" w:right="0" w:firstLine="211"/>
              <w:jc w:val="center"/>
              <w:rPr>
                <w:rFonts w:hint="default"/>
                <w:color w:val="auto"/>
                <w:szCs w:val="21"/>
              </w:rPr>
            </w:pPr>
            <w:r>
              <w:rPr>
                <w:rFonts w:hint="default"/>
                <w:color w:val="auto"/>
                <w:szCs w:val="21"/>
              </w:rPr>
              <w:t>敏感</w:t>
            </w:r>
          </w:p>
        </w:tc>
        <w:tc>
          <w:tcPr>
            <w:tcW w:w="7111" w:type="dxa"/>
            <w:tcBorders>
              <w:tl2br w:val="nil"/>
              <w:tr2bl w:val="nil"/>
            </w:tcBorders>
            <w:vAlign w:val="center"/>
          </w:tcPr>
          <w:p>
            <w:pPr>
              <w:keepNext w:val="0"/>
              <w:keepLines w:val="0"/>
              <w:suppressLineNumbers w:val="0"/>
              <w:spacing w:before="0" w:beforeAutospacing="0" w:after="0" w:afterAutospacing="0"/>
              <w:ind w:left="0" w:right="0" w:firstLine="211"/>
              <w:rPr>
                <w:rFonts w:hint="default"/>
                <w:color w:val="auto"/>
                <w:szCs w:val="21"/>
              </w:rPr>
            </w:pPr>
            <w:r>
              <w:rPr>
                <w:rFonts w:hint="default"/>
                <w:color w:val="auto"/>
                <w:szCs w:val="21"/>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608" w:type="dxa"/>
            <w:tcBorders>
              <w:tl2br w:val="nil"/>
              <w:tr2bl w:val="nil"/>
            </w:tcBorders>
            <w:vAlign w:val="center"/>
          </w:tcPr>
          <w:p>
            <w:pPr>
              <w:keepNext w:val="0"/>
              <w:keepLines w:val="0"/>
              <w:suppressLineNumbers w:val="0"/>
              <w:spacing w:before="0" w:beforeAutospacing="0" w:after="0" w:afterAutospacing="0"/>
              <w:ind w:left="0" w:right="0" w:firstLine="211"/>
              <w:jc w:val="center"/>
              <w:rPr>
                <w:rFonts w:hint="default"/>
                <w:color w:val="auto"/>
                <w:szCs w:val="21"/>
              </w:rPr>
            </w:pPr>
            <w:r>
              <w:rPr>
                <w:rFonts w:hint="default"/>
                <w:color w:val="auto"/>
                <w:szCs w:val="21"/>
              </w:rPr>
              <w:t>较敏感</w:t>
            </w:r>
          </w:p>
        </w:tc>
        <w:tc>
          <w:tcPr>
            <w:tcW w:w="7111" w:type="dxa"/>
            <w:tcBorders>
              <w:tl2br w:val="nil"/>
              <w:tr2bl w:val="nil"/>
            </w:tcBorders>
            <w:vAlign w:val="center"/>
          </w:tcPr>
          <w:p>
            <w:pPr>
              <w:keepNext w:val="0"/>
              <w:keepLines w:val="0"/>
              <w:suppressLineNumbers w:val="0"/>
              <w:spacing w:before="0" w:beforeAutospacing="0" w:after="0" w:afterAutospacing="0"/>
              <w:ind w:left="0" w:right="0" w:firstLine="211"/>
              <w:rPr>
                <w:rFonts w:hint="default"/>
                <w:color w:val="auto"/>
                <w:szCs w:val="21"/>
              </w:rPr>
            </w:pPr>
            <w:r>
              <w:rPr>
                <w:rFonts w:hint="default"/>
                <w:color w:val="auto"/>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08" w:type="dxa"/>
            <w:tcBorders>
              <w:tl2br w:val="nil"/>
              <w:tr2bl w:val="nil"/>
            </w:tcBorders>
            <w:vAlign w:val="center"/>
          </w:tcPr>
          <w:p>
            <w:pPr>
              <w:keepNext w:val="0"/>
              <w:keepLines w:val="0"/>
              <w:suppressLineNumbers w:val="0"/>
              <w:spacing w:before="0" w:beforeAutospacing="0" w:after="0" w:afterAutospacing="0"/>
              <w:ind w:left="0" w:right="0" w:firstLine="211"/>
              <w:jc w:val="center"/>
              <w:rPr>
                <w:rFonts w:hint="default"/>
                <w:color w:val="auto"/>
                <w:szCs w:val="21"/>
              </w:rPr>
            </w:pPr>
            <w:r>
              <w:rPr>
                <w:rFonts w:hint="default"/>
                <w:color w:val="auto"/>
                <w:szCs w:val="21"/>
              </w:rPr>
              <w:t>不敏感</w:t>
            </w:r>
          </w:p>
        </w:tc>
        <w:tc>
          <w:tcPr>
            <w:tcW w:w="7111" w:type="dxa"/>
            <w:tcBorders>
              <w:tl2br w:val="nil"/>
              <w:tr2bl w:val="nil"/>
            </w:tcBorders>
            <w:vAlign w:val="center"/>
          </w:tcPr>
          <w:p>
            <w:pPr>
              <w:keepNext w:val="0"/>
              <w:keepLines w:val="0"/>
              <w:suppressLineNumbers w:val="0"/>
              <w:spacing w:before="0" w:beforeAutospacing="0" w:after="0" w:afterAutospacing="0"/>
              <w:ind w:left="0" w:right="0" w:firstLine="211"/>
              <w:rPr>
                <w:rFonts w:hint="default"/>
                <w:color w:val="auto"/>
                <w:szCs w:val="21"/>
              </w:rPr>
            </w:pPr>
            <w:r>
              <w:rPr>
                <w:rFonts w:hint="default"/>
                <w:color w:val="auto"/>
                <w:szCs w:val="21"/>
              </w:rPr>
              <w:t>其他情况</w:t>
            </w:r>
          </w:p>
        </w:tc>
      </w:tr>
    </w:tbl>
    <w:p>
      <w:pPr>
        <w:pStyle w:val="4"/>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ascii="Times New Roman" w:hAnsi="Times New Roman" w:eastAsia="宋体" w:cs="Times New Roman"/>
          <w:color w:val="auto"/>
          <w:kern w:val="2"/>
          <w:sz w:val="24"/>
          <w:szCs w:val="32"/>
          <w:lang w:val="en-US" w:eastAsia="zh-CN" w:bidi="ar-SA"/>
        </w:rPr>
      </w:pPr>
      <w:r>
        <w:rPr>
          <w:rFonts w:hint="eastAsia" w:ascii="Times New Roman" w:hAnsi="Times New Roman" w:eastAsia="宋体" w:cs="Times New Roman"/>
          <w:color w:val="auto"/>
          <w:kern w:val="2"/>
          <w:sz w:val="24"/>
          <w:szCs w:val="32"/>
          <w:lang w:val="en-US" w:eastAsia="zh-CN" w:bidi="ar-SA"/>
        </w:rPr>
        <w:t>据现场调查，本项目周边存在耕地</w:t>
      </w:r>
      <w:r>
        <w:rPr>
          <w:rFonts w:hint="eastAsia" w:cs="Times New Roman"/>
          <w:color w:val="auto"/>
          <w:kern w:val="2"/>
          <w:sz w:val="24"/>
          <w:szCs w:val="32"/>
          <w:lang w:val="en-US" w:eastAsia="zh-CN" w:bidi="ar-SA"/>
        </w:rPr>
        <w:t>及居民</w:t>
      </w:r>
      <w:r>
        <w:rPr>
          <w:rFonts w:hint="eastAsia" w:ascii="Times New Roman" w:hAnsi="Times New Roman" w:eastAsia="宋体" w:cs="Times New Roman"/>
          <w:color w:val="auto"/>
          <w:kern w:val="2"/>
          <w:sz w:val="24"/>
          <w:szCs w:val="32"/>
          <w:lang w:val="en-US" w:eastAsia="zh-CN" w:bidi="ar-SA"/>
        </w:rPr>
        <w:t>，因此，确定区内土壤环境敏感程度为“敏感”。</w:t>
      </w:r>
    </w:p>
    <w:p>
      <w:pPr>
        <w:spacing w:line="360" w:lineRule="auto"/>
        <w:ind w:firstLine="482" w:firstLineChars="200"/>
        <w:rPr>
          <w:b/>
          <w:color w:val="auto"/>
          <w:sz w:val="24"/>
          <w:szCs w:val="32"/>
        </w:rPr>
      </w:pPr>
      <w:r>
        <w:rPr>
          <w:b/>
          <w:color w:val="auto"/>
          <w:sz w:val="24"/>
          <w:szCs w:val="32"/>
        </w:rPr>
        <w:t>3、评价工作等级确定</w:t>
      </w:r>
    </w:p>
    <w:p>
      <w:pPr>
        <w:spacing w:line="360" w:lineRule="auto"/>
        <w:ind w:firstLine="480" w:firstLineChars="200"/>
        <w:rPr>
          <w:color w:val="auto"/>
          <w:sz w:val="24"/>
          <w:szCs w:val="32"/>
        </w:rPr>
      </w:pPr>
      <w:r>
        <w:rPr>
          <w:color w:val="auto"/>
          <w:sz w:val="24"/>
          <w:szCs w:val="32"/>
        </w:rPr>
        <w:t>根据《环境影响评价技术导则  土壤环境》（HJ964-2018），土壤环境影响评价工作等级划分为表如下。</w:t>
      </w:r>
    </w:p>
    <w:p>
      <w:pPr>
        <w:jc w:val="center"/>
        <w:rPr>
          <w:b/>
          <w:color w:val="auto"/>
          <w:szCs w:val="21"/>
          <w:lang w:val="zh-CN"/>
        </w:rPr>
      </w:pPr>
      <w:r>
        <w:rPr>
          <w:b/>
          <w:color w:val="auto"/>
          <w:szCs w:val="21"/>
          <w:lang w:val="zh-CN"/>
        </w:rPr>
        <w:t>表</w:t>
      </w:r>
      <w:r>
        <w:rPr>
          <w:rFonts w:hint="eastAsia"/>
          <w:b/>
          <w:color w:val="auto"/>
          <w:szCs w:val="21"/>
          <w:lang w:val="en-US" w:eastAsia="zh-CN"/>
        </w:rPr>
        <w:t>5.2</w:t>
      </w:r>
      <w:r>
        <w:rPr>
          <w:b/>
          <w:color w:val="auto"/>
          <w:szCs w:val="21"/>
          <w:lang w:val="zh-CN"/>
        </w:rPr>
        <w:t>-</w:t>
      </w:r>
      <w:r>
        <w:rPr>
          <w:rFonts w:hint="eastAsia"/>
          <w:b/>
          <w:color w:val="auto"/>
          <w:szCs w:val="21"/>
          <w:lang w:val="en-US" w:eastAsia="zh-CN"/>
        </w:rPr>
        <w:t>25</w:t>
      </w:r>
      <w:r>
        <w:rPr>
          <w:b/>
          <w:color w:val="auto"/>
          <w:szCs w:val="21"/>
          <w:lang w:val="zh-CN"/>
        </w:rPr>
        <w:t xml:space="preserve">  污染影响</w:t>
      </w:r>
      <w:r>
        <w:rPr>
          <w:b/>
          <w:color w:val="auto"/>
          <w:szCs w:val="21"/>
          <w:highlight w:val="none"/>
          <w:lang w:val="zh-CN"/>
        </w:rPr>
        <w:t>型</w:t>
      </w:r>
      <w:r>
        <w:rPr>
          <w:b/>
          <w:color w:val="auto"/>
          <w:szCs w:val="21"/>
          <w:lang w:val="zh-CN"/>
        </w:rPr>
        <w:t>评价工作等级划分表</w:t>
      </w:r>
    </w:p>
    <w:tbl>
      <w:tblPr>
        <w:tblStyle w:val="90"/>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737"/>
        <w:gridCol w:w="738"/>
        <w:gridCol w:w="738"/>
        <w:gridCol w:w="738"/>
        <w:gridCol w:w="738"/>
        <w:gridCol w:w="738"/>
        <w:gridCol w:w="738"/>
        <w:gridCol w:w="738"/>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vMerge w:val="restart"/>
            <w:tcBorders>
              <w:tl2br w:val="nil"/>
              <w:tr2bl w:val="nil"/>
            </w:tcBorders>
            <w:vAlign w:val="center"/>
          </w:tcPr>
          <w:p>
            <w:pPr>
              <w:keepNext w:val="0"/>
              <w:keepLines w:val="0"/>
              <w:suppressLineNumbers w:val="0"/>
              <w:spacing w:before="0" w:beforeAutospacing="0" w:after="0" w:afterAutospacing="0"/>
              <w:ind w:left="0" w:right="0"/>
              <w:jc w:val="right"/>
              <w:rPr>
                <w:rFonts w:hint="default"/>
                <w:b/>
                <w:color w:val="auto"/>
                <w:szCs w:val="21"/>
              </w:rPr>
            </w:pPr>
            <w:r>
              <w:rPr>
                <w:rFonts w:hint="default"/>
                <w:b/>
                <w:color w:val="auto"/>
                <w:szCs w:val="21"/>
              </w:rPr>
              <w:t>占地规模</w:t>
            </w:r>
          </w:p>
          <w:p>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91440</wp:posOffset>
                      </wp:positionV>
                      <wp:extent cx="1447800" cy="314325"/>
                      <wp:effectExtent l="1270" t="4445" r="17780" b="5080"/>
                      <wp:wrapNone/>
                      <wp:docPr id="24" name="直接连接符 24"/>
                      <wp:cNvGraphicFramePr/>
                      <a:graphic xmlns:a="http://schemas.openxmlformats.org/drawingml/2006/main">
                        <a:graphicData uri="http://schemas.microsoft.com/office/word/2010/wordprocessingShape">
                          <wps:wsp>
                            <wps:cNvCnPr/>
                            <wps:spPr>
                              <a:xfrm flipH="1" flipV="1">
                                <a:off x="0" y="0"/>
                                <a:ext cx="1447800" cy="314325"/>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25pt;margin-top:7.2pt;height:24.75pt;width:114pt;z-index:251660288;mso-width-relative:page;mso-height-relative:page;" filled="f" stroked="t" coordsize="21600,21600" o:gfxdata="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9dJO9gAAAAJAQAADwAAAAAAAAABACAAAAAiAAAA&#10;ZHJzL2Rvd25yZXYueG1sUEsBAhQAFAAAAAgAh07iQNPAnGwHAgAA7gMAAA4AAAAAAAAAAQAgAAAA&#10;JwEAAGRycy9lMm9Eb2MueG1sUEsFBgAAAAAGAAYAWQEAAKAFAAAAAA==&#10;">
                      <v:fill on="f" focussize="0,0"/>
                      <v:stroke weight="0.5pt" color="#000000 [3204]" miterlimit="8" joinstyle="miter"/>
                      <v:imagedata o:title=""/>
                      <o:lock v:ext="edit" aspectratio="f"/>
                    </v:line>
                  </w:pict>
                </mc:Fallback>
              </mc:AlternateContent>
            </w:r>
            <w:r>
              <w:rPr>
                <w:rFonts w:hint="default"/>
                <w:b/>
                <w:color w:val="auto"/>
                <w:szCs w:val="21"/>
              </w:rPr>
              <w:t>评价工作等级</w:t>
            </w:r>
          </w:p>
          <w:p>
            <w:pPr>
              <w:keepNext w:val="0"/>
              <w:keepLines w:val="0"/>
              <w:suppressLineNumbers w:val="0"/>
              <w:spacing w:before="0" w:beforeAutospacing="0" w:after="0" w:afterAutospacing="0"/>
              <w:ind w:left="0" w:right="0"/>
              <w:jc w:val="left"/>
              <w:rPr>
                <w:rFonts w:hint="default"/>
                <w:b/>
                <w:color w:val="auto"/>
                <w:szCs w:val="21"/>
              </w:rPr>
            </w:pPr>
            <w:r>
              <w:rPr>
                <w:rFonts w:hint="default"/>
                <w:b/>
                <w:color w:val="auto"/>
                <w:szCs w:val="21"/>
              </w:rPr>
              <w:t>敏感程度</w:t>
            </w:r>
          </w:p>
        </w:tc>
        <w:tc>
          <w:tcPr>
            <w:tcW w:w="2213"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fldChar w:fldCharType="begin"/>
            </w:r>
            <w:r>
              <w:rPr>
                <w:rFonts w:hint="default"/>
                <w:color w:val="auto"/>
                <w:szCs w:val="21"/>
              </w:rPr>
              <w:instrText xml:space="preserve"> = 1 \* ROMAN </w:instrText>
            </w:r>
            <w:r>
              <w:rPr>
                <w:rFonts w:hint="default"/>
                <w:color w:val="auto"/>
                <w:szCs w:val="21"/>
              </w:rPr>
              <w:fldChar w:fldCharType="separate"/>
            </w:r>
            <w:r>
              <w:rPr>
                <w:rFonts w:hint="default"/>
                <w:color w:val="auto"/>
                <w:szCs w:val="21"/>
              </w:rPr>
              <w:t>I</w:t>
            </w:r>
            <w:r>
              <w:rPr>
                <w:rFonts w:hint="default"/>
                <w:color w:val="auto"/>
                <w:szCs w:val="21"/>
              </w:rPr>
              <w:fldChar w:fldCharType="end"/>
            </w:r>
            <w:r>
              <w:rPr>
                <w:rFonts w:hint="default"/>
                <w:color w:val="auto"/>
                <w:szCs w:val="21"/>
              </w:rPr>
              <w:t>类</w:t>
            </w:r>
          </w:p>
        </w:tc>
        <w:tc>
          <w:tcPr>
            <w:tcW w:w="2214"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fldChar w:fldCharType="begin"/>
            </w:r>
            <w:r>
              <w:rPr>
                <w:rFonts w:hint="default"/>
                <w:color w:val="auto"/>
                <w:szCs w:val="21"/>
              </w:rPr>
              <w:instrText xml:space="preserve"> = 2 \* ROMAN </w:instrText>
            </w:r>
            <w:r>
              <w:rPr>
                <w:rFonts w:hint="default"/>
                <w:color w:val="auto"/>
                <w:szCs w:val="21"/>
              </w:rPr>
              <w:fldChar w:fldCharType="separate"/>
            </w:r>
            <w:r>
              <w:rPr>
                <w:rFonts w:hint="default"/>
                <w:color w:val="auto"/>
                <w:szCs w:val="21"/>
              </w:rPr>
              <w:t>II</w:t>
            </w:r>
            <w:r>
              <w:rPr>
                <w:rFonts w:hint="default"/>
                <w:color w:val="auto"/>
                <w:szCs w:val="21"/>
              </w:rPr>
              <w:fldChar w:fldCharType="end"/>
            </w:r>
            <w:r>
              <w:rPr>
                <w:rFonts w:hint="default"/>
                <w:color w:val="auto"/>
                <w:szCs w:val="21"/>
              </w:rPr>
              <w:t>类</w:t>
            </w:r>
          </w:p>
        </w:tc>
        <w:tc>
          <w:tcPr>
            <w:tcW w:w="2214"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fldChar w:fldCharType="begin"/>
            </w:r>
            <w:r>
              <w:rPr>
                <w:rFonts w:hint="default"/>
                <w:b/>
                <w:color w:val="auto"/>
                <w:szCs w:val="21"/>
              </w:rPr>
              <w:instrText xml:space="preserve"> = 3 \* ROMAN </w:instrText>
            </w:r>
            <w:r>
              <w:rPr>
                <w:rFonts w:hint="default"/>
                <w:b/>
                <w:color w:val="auto"/>
                <w:szCs w:val="21"/>
              </w:rPr>
              <w:fldChar w:fldCharType="separate"/>
            </w:r>
            <w:r>
              <w:rPr>
                <w:rFonts w:hint="default"/>
                <w:b/>
                <w:color w:val="auto"/>
                <w:szCs w:val="21"/>
              </w:rPr>
              <w:t>III</w:t>
            </w:r>
            <w:r>
              <w:rPr>
                <w:rFonts w:hint="default"/>
                <w:b/>
                <w:color w:val="auto"/>
                <w:szCs w:val="21"/>
              </w:rPr>
              <w:fldChar w:fldCharType="end"/>
            </w:r>
            <w:r>
              <w:rPr>
                <w:rFonts w:hint="default"/>
                <w:b/>
                <w:color w:val="auto"/>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73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中</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小</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中</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小</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中</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敏感</w:t>
            </w:r>
          </w:p>
        </w:tc>
        <w:tc>
          <w:tcPr>
            <w:tcW w:w="73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一级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一级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一级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较敏感</w:t>
            </w:r>
          </w:p>
        </w:tc>
        <w:tc>
          <w:tcPr>
            <w:tcW w:w="73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一级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一级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不敏感</w:t>
            </w:r>
          </w:p>
        </w:tc>
        <w:tc>
          <w:tcPr>
            <w:tcW w:w="73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一级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二级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三级</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c>
          <w:tcPr>
            <w:tcW w:w="7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8" w:type="dxa"/>
            <w:gridSpan w:val="10"/>
            <w:tcBorders>
              <w:tl2br w:val="nil"/>
              <w:tr2bl w:val="nil"/>
            </w:tcBorders>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注：“—”表示可不开展土地环境影响评价工作。</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color w:val="auto"/>
          <w:sz w:val="24"/>
          <w:szCs w:val="24"/>
        </w:rPr>
        <w:t>本项目为</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3 \* ROMAN</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III</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类建设项目，占地规模为</w:t>
      </w:r>
      <w:r>
        <w:rPr>
          <w:rFonts w:hint="eastAsia" w:cs="Times New Roman"/>
          <w:color w:val="auto"/>
          <w:sz w:val="24"/>
          <w:szCs w:val="24"/>
          <w:lang w:val="en-US" w:eastAsia="zh-CN"/>
        </w:rPr>
        <w:t>中</w:t>
      </w:r>
      <w:r>
        <w:rPr>
          <w:rFonts w:hint="default" w:ascii="Times New Roman" w:hAnsi="Times New Roman" w:eastAsia="宋体" w:cs="Times New Roman"/>
          <w:color w:val="auto"/>
          <w:sz w:val="24"/>
          <w:szCs w:val="24"/>
        </w:rPr>
        <w:t>型，环境敏感程度为“敏感”，依据表</w:t>
      </w:r>
      <w:r>
        <w:rPr>
          <w:rFonts w:hint="eastAsia" w:cs="Times New Roman"/>
          <w:color w:val="auto"/>
          <w:sz w:val="24"/>
          <w:szCs w:val="24"/>
          <w:lang w:val="en-US" w:eastAsia="zh-CN"/>
        </w:rPr>
        <w:t>5.2</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rPr>
        <w:t>，本项目土壤评价等级为三级。</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b/>
          <w:bCs/>
          <w:snapToGrid w:val="0"/>
          <w:color w:val="auto"/>
          <w:sz w:val="24"/>
          <w:lang w:eastAsia="zh-CN"/>
        </w:rPr>
      </w:pPr>
      <w:r>
        <w:rPr>
          <w:rFonts w:hint="eastAsia"/>
          <w:b/>
          <w:bCs/>
          <w:snapToGrid w:val="0"/>
          <w:color w:val="auto"/>
          <w:sz w:val="24"/>
          <w:lang w:val="en-US" w:eastAsia="zh-CN"/>
        </w:rPr>
        <w:t>4、</w:t>
      </w:r>
      <w:r>
        <w:rPr>
          <w:rFonts w:hint="eastAsia"/>
          <w:b/>
          <w:bCs/>
          <w:snapToGrid w:val="0"/>
          <w:color w:val="auto"/>
          <w:sz w:val="24"/>
          <w:lang w:eastAsia="zh-CN"/>
        </w:rPr>
        <w:t>影响分析</w:t>
      </w:r>
    </w:p>
    <w:p>
      <w:pPr>
        <w:pStyle w:val="723"/>
        <w:rPr>
          <w:rFonts w:ascii="Times New Roman" w:hAnsi="Times New Roman" w:eastAsia="宋体" w:cs="Times New Roman"/>
          <w:color w:val="auto"/>
        </w:rPr>
      </w:pPr>
      <w:r>
        <w:rPr>
          <w:rFonts w:ascii="Times New Roman" w:hAnsi="Times New Roman" w:eastAsia="宋体" w:cs="Times New Roman"/>
          <w:color w:val="auto"/>
        </w:rPr>
        <w:t>自然环境中各种物质之间都存在着物质和能量的交换与循环，经常处于一种相对平衡的状态。如果污染物进入土壤中就会使物质组成发生变化，并破坏土壤物质原有的平衡，造成土壤污染。但另一方面，当各种物质进入土壤后，土壤随即显示出来的自净能力，也就是通过在土壤环境中发生物理、物理化学、化学和生物化学等一系列反应过程，促使污染物质逐渐分解或消失。土壤的自净能力主要来自于土壤颗粒物层对污染物有过滤、吸附等作用，土壤微生物有强大生物降解能力，土壤本身对酸碱度的改变具有相当缓冲能力以及大量的土壤胶体表面能降低反应的活化能，成为很多污染物转化反应的良好催化剂。此外，土壤空气中的氧可作为氧化剂，土壤水分可作为溶剂，这些也都是土壤的自净因素。</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bCs/>
          <w:snapToGrid w:val="0"/>
          <w:color w:val="auto"/>
          <w:sz w:val="24"/>
          <w:lang w:val="en-US" w:eastAsia="zh-CN"/>
        </w:rPr>
      </w:pPr>
      <w:r>
        <w:rPr>
          <w:rFonts w:hint="eastAsia" w:ascii="Times New Roman" w:hAnsi="Times New Roman" w:eastAsia="宋体" w:cs="Times New Roman"/>
          <w:b/>
          <w:bCs/>
          <w:snapToGrid w:val="0"/>
          <w:color w:val="auto"/>
          <w:sz w:val="24"/>
          <w:lang w:val="en-US" w:eastAsia="zh-CN"/>
        </w:rPr>
        <w:t>5、防治措施</w:t>
      </w:r>
    </w:p>
    <w:p>
      <w:pPr>
        <w:pStyle w:val="723"/>
        <w:rPr>
          <w:rFonts w:ascii="Times New Roman" w:hAnsi="Times New Roman" w:eastAsia="宋体" w:cs="Times New Roman"/>
          <w:color w:val="auto"/>
        </w:rPr>
      </w:pPr>
      <w:r>
        <w:rPr>
          <w:rFonts w:ascii="Times New Roman" w:hAnsi="Times New Roman" w:eastAsia="宋体" w:cs="Times New Roman"/>
          <w:color w:val="auto"/>
        </w:rPr>
        <w:t xml:space="preserve">为防止通过其它途径影响周围土壤环境，本环评要求：拟建工程计划采取如下措施： </w:t>
      </w:r>
    </w:p>
    <w:p>
      <w:pPr>
        <w:pStyle w:val="723"/>
        <w:rPr>
          <w:rFonts w:ascii="Times New Roman" w:hAnsi="Times New Roman" w:eastAsia="宋体" w:cs="Times New Roman"/>
          <w:color w:val="auto"/>
        </w:rPr>
      </w:pPr>
      <w:r>
        <w:rPr>
          <w:rFonts w:ascii="Times New Roman" w:hAnsi="Times New Roman" w:eastAsia="宋体" w:cs="Times New Roman"/>
          <w:color w:val="auto"/>
        </w:rPr>
        <w:t>①管道、阀门采用优质产品并派专人负责随时观察地上管道、阀门，如出现渗漏问题及时解决；对工艺要求必须地下走管的管道、阀门设专用防渗管沟，管沟上设活动观察顶盖，以便出现渗漏问题及时观察、解决。</w:t>
      </w:r>
    </w:p>
    <w:p>
      <w:pPr>
        <w:pStyle w:val="723"/>
        <w:rPr>
          <w:rFonts w:ascii="Times New Roman" w:hAnsi="Times New Roman" w:eastAsia="宋体" w:cs="Times New Roman"/>
          <w:color w:val="auto"/>
        </w:rPr>
      </w:pPr>
      <w:r>
        <w:rPr>
          <w:rFonts w:ascii="Times New Roman" w:hAnsi="Times New Roman" w:eastAsia="宋体" w:cs="Times New Roman"/>
          <w:color w:val="auto"/>
        </w:rPr>
        <w:t xml:space="preserve">②在当地环境和农业行政管理部门的监督与指导下，加强对厂区周围土壤环境的定期监测，建立土壤环境质量动态监测系统，及时反馈污染控制信息。 </w:t>
      </w:r>
    </w:p>
    <w:p>
      <w:pPr>
        <w:pStyle w:val="723"/>
        <w:rPr>
          <w:rFonts w:ascii="Times New Roman" w:hAnsi="Times New Roman" w:eastAsia="宋体" w:cs="Times New Roman"/>
          <w:color w:val="auto"/>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3 \* GB3</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③</w:t>
      </w:r>
      <w:r>
        <w:rPr>
          <w:rFonts w:ascii="Times New Roman" w:hAnsi="Times New Roman" w:eastAsia="宋体" w:cs="Times New Roman"/>
          <w:color w:val="auto"/>
        </w:rPr>
        <w:fldChar w:fldCharType="end"/>
      </w:r>
      <w:r>
        <w:rPr>
          <w:rFonts w:ascii="Times New Roman" w:hAnsi="Times New Roman" w:eastAsia="宋体" w:cs="Times New Roman"/>
          <w:color w:val="auto"/>
        </w:rPr>
        <w:t xml:space="preserve">严格固体废物运输管理，避免在运输过程中的洒落。一旦发生洒落事件，及时清理收集。 </w:t>
      </w:r>
    </w:p>
    <w:p>
      <w:pPr>
        <w:pStyle w:val="723"/>
        <w:rPr>
          <w:rFonts w:hint="eastAsia" w:ascii="Times New Roman" w:hAnsi="Times New Roman" w:eastAsia="宋体" w:cs="Times New Roman"/>
          <w:color w:val="auto"/>
          <w:lang w:val="en-US" w:eastAsia="zh-CN"/>
        </w:rPr>
      </w:pPr>
      <w:r>
        <w:rPr>
          <w:rFonts w:ascii="Times New Roman" w:hAnsi="Times New Roman" w:cs="Times New Roman" w:eastAsiaTheme="minorEastAsia"/>
          <w:color w:val="auto"/>
        </w:rPr>
        <w:t>综上，评价认为，</w:t>
      </w:r>
      <w:r>
        <w:rPr>
          <w:rFonts w:ascii="Times New Roman" w:hAnsi="Times New Roman" w:eastAsia="宋体" w:cs="Times New Roman"/>
          <w:color w:val="auto"/>
        </w:rPr>
        <w:t>经采取上述措施后，项目对区域土壤环境影响不明显</w:t>
      </w:r>
      <w:r>
        <w:rPr>
          <w:rFonts w:hint="eastAsia" w:ascii="Times New Roman" w:hAnsi="Times New Roman" w:eastAsia="宋体" w:cs="Times New Roman"/>
          <w:color w:val="auto"/>
          <w:lang w:eastAsia="zh-CN"/>
        </w:rPr>
        <w:t>。</w:t>
      </w:r>
    </w:p>
    <w:p>
      <w:pPr>
        <w:pStyle w:val="180"/>
        <w:rPr>
          <w:rFonts w:hint="default" w:ascii="Times New Roman" w:hAnsi="Times New Roman" w:cs="Times New Roman" w:eastAsiaTheme="majorEastAsia"/>
          <w:b/>
          <w:bCs w:val="0"/>
          <w:color w:val="auto"/>
          <w:sz w:val="24"/>
          <w:szCs w:val="24"/>
        </w:rPr>
      </w:pPr>
      <w:bookmarkStart w:id="474" w:name="_Toc1499"/>
      <w:r>
        <w:rPr>
          <w:rFonts w:hint="eastAsia" w:ascii="Times New Roman" w:hAnsi="Times New Roman" w:cs="Times New Roman" w:eastAsiaTheme="majorEastAsia"/>
          <w:b/>
          <w:bCs w:val="0"/>
          <w:color w:val="auto"/>
          <w:sz w:val="24"/>
          <w:szCs w:val="24"/>
        </w:rPr>
        <w:t>环境风险</w:t>
      </w:r>
      <w:bookmarkEnd w:id="474"/>
    </w:p>
    <w:p>
      <w:pPr>
        <w:spacing w:line="360" w:lineRule="auto"/>
        <w:ind w:firstLine="482" w:firstLineChars="200"/>
        <w:outlineLvl w:val="4"/>
        <w:rPr>
          <w:rFonts w:hint="eastAsia" w:ascii="Times New Roman" w:hAnsi="Times New Roman" w:cs="Times New Roman"/>
          <w:b/>
          <w:color w:val="auto"/>
          <w:sz w:val="24"/>
          <w:lang w:eastAsia="zh-CN"/>
        </w:rPr>
      </w:pPr>
      <w:r>
        <w:rPr>
          <w:rFonts w:hint="eastAsia" w:ascii="Times New Roman" w:hAnsi="Times New Roman" w:cs="Times New Roman"/>
          <w:b/>
          <w:color w:val="auto"/>
          <w:sz w:val="24"/>
          <w:lang w:val="en-US" w:eastAsia="zh-CN"/>
        </w:rPr>
        <w:t>1、</w:t>
      </w:r>
      <w:r>
        <w:rPr>
          <w:rFonts w:hint="eastAsia" w:ascii="Times New Roman" w:hAnsi="Times New Roman" w:cs="Times New Roman"/>
          <w:b/>
          <w:color w:val="auto"/>
          <w:sz w:val="24"/>
          <w:lang w:eastAsia="zh-CN"/>
        </w:rPr>
        <w:t>风险调查</w:t>
      </w:r>
    </w:p>
    <w:p>
      <w:pPr>
        <w:tabs>
          <w:tab w:val="left" w:pos="1220"/>
        </w:tabs>
        <w:spacing w:line="360" w:lineRule="auto"/>
        <w:ind w:firstLine="520" w:firstLineChars="210"/>
        <w:rPr>
          <w:rFonts w:ascii="Times New Roman" w:hAnsi="Times New Roman" w:cs="Times New Roman"/>
          <w:color w:val="auto"/>
          <w:spacing w:val="4"/>
          <w:sz w:val="24"/>
        </w:rPr>
      </w:pPr>
      <w:r>
        <w:rPr>
          <w:rFonts w:ascii="Times New Roman" w:hAnsi="Times New Roman" w:cs="Times New Roman"/>
          <w:color w:val="auto"/>
          <w:spacing w:val="4"/>
          <w:sz w:val="24"/>
        </w:rPr>
        <w:t>（1）生产物质风险调查</w:t>
      </w:r>
    </w:p>
    <w:p>
      <w:pPr>
        <w:tabs>
          <w:tab w:val="left" w:pos="1220"/>
        </w:tabs>
        <w:spacing w:line="360" w:lineRule="auto"/>
        <w:ind w:firstLine="504" w:firstLineChars="210"/>
        <w:rPr>
          <w:rFonts w:ascii="Times New Roman" w:hAnsi="Times New Roman" w:cs="Times New Roman" w:eastAsiaTheme="minorEastAsia"/>
          <w:color w:val="auto"/>
          <w:kern w:val="0"/>
          <w:sz w:val="24"/>
          <w:szCs w:val="20"/>
          <w:lang w:val="en-US" w:eastAsia="zh-CN" w:bidi="ar-SA"/>
        </w:rPr>
      </w:pPr>
      <w:r>
        <w:rPr>
          <w:rFonts w:ascii="Times New Roman" w:hAnsi="Times New Roman" w:cs="Times New Roman" w:eastAsiaTheme="minorEastAsia"/>
          <w:color w:val="auto"/>
          <w:kern w:val="0"/>
          <w:sz w:val="24"/>
          <w:szCs w:val="20"/>
          <w:lang w:val="en-US" w:eastAsia="zh-CN" w:bidi="ar-SA"/>
        </w:rPr>
        <w:t>拟建项目运营期主要原材料为饲料、消毒剂、植物除臭剂、兽药及防疫药品等，并产生污废水、</w:t>
      </w:r>
      <w:r>
        <w:rPr>
          <w:rFonts w:hint="eastAsia" w:ascii="Times New Roman" w:hAnsi="Times New Roman" w:cs="Times New Roman" w:eastAsiaTheme="minorEastAsia"/>
          <w:color w:val="auto"/>
          <w:kern w:val="0"/>
          <w:sz w:val="24"/>
          <w:szCs w:val="20"/>
          <w:lang w:val="en-US" w:eastAsia="zh-CN" w:bidi="ar-SA"/>
        </w:rPr>
        <w:t>病死牛及分娩废物</w:t>
      </w:r>
      <w:r>
        <w:rPr>
          <w:rFonts w:ascii="Times New Roman" w:hAnsi="Times New Roman" w:cs="Times New Roman" w:eastAsiaTheme="minorEastAsia"/>
          <w:color w:val="auto"/>
          <w:kern w:val="0"/>
          <w:sz w:val="24"/>
          <w:szCs w:val="20"/>
          <w:lang w:val="en-US" w:eastAsia="zh-CN" w:bidi="ar-SA"/>
        </w:rPr>
        <w:t>、粪渣等。根据《危险化学品名录》（2015 年版）、《剧毒化学品目录》（2012 年版）、《危险化学品重大危险源辨识》（GB18218-2018）及《危险货物品名表》（GB12268-2012），拟建项目运营期涉及的液态化学品植物除臭剂、消毒剂、兽药及防疫药品等。</w:t>
      </w:r>
    </w:p>
    <w:p>
      <w:pPr>
        <w:tabs>
          <w:tab w:val="left" w:pos="1220"/>
        </w:tabs>
        <w:spacing w:line="360" w:lineRule="auto"/>
        <w:ind w:firstLine="504" w:firstLineChars="210"/>
        <w:rPr>
          <w:rFonts w:ascii="Times New Roman" w:hAnsi="Times New Roman" w:cs="Times New Roman" w:eastAsiaTheme="minorEastAsia"/>
          <w:color w:val="auto"/>
          <w:kern w:val="0"/>
          <w:sz w:val="24"/>
          <w:szCs w:val="20"/>
          <w:lang w:val="en-US" w:eastAsia="zh-CN" w:bidi="ar-SA"/>
        </w:rPr>
      </w:pPr>
      <w:r>
        <w:rPr>
          <w:rFonts w:ascii="Times New Roman" w:hAnsi="Times New Roman" w:cs="Times New Roman" w:eastAsiaTheme="minorEastAsia"/>
          <w:color w:val="auto"/>
          <w:kern w:val="0"/>
          <w:sz w:val="24"/>
          <w:szCs w:val="20"/>
          <w:lang w:val="en-US" w:eastAsia="zh-CN" w:bidi="ar-SA"/>
        </w:rPr>
        <w:t>（2）生产系统风险调查</w:t>
      </w:r>
    </w:p>
    <w:p>
      <w:pPr>
        <w:tabs>
          <w:tab w:val="left" w:pos="1220"/>
        </w:tabs>
        <w:spacing w:line="360" w:lineRule="auto"/>
        <w:ind w:firstLine="504" w:firstLineChars="210"/>
        <w:rPr>
          <w:rFonts w:ascii="Times New Roman" w:hAnsi="Times New Roman" w:cs="Times New Roman" w:eastAsiaTheme="minorEastAsia"/>
          <w:color w:val="auto"/>
          <w:kern w:val="0"/>
          <w:sz w:val="24"/>
          <w:szCs w:val="20"/>
          <w:lang w:val="en-US" w:eastAsia="zh-CN" w:bidi="ar-SA"/>
        </w:rPr>
      </w:pPr>
      <w:r>
        <w:rPr>
          <w:rFonts w:ascii="Times New Roman" w:hAnsi="Times New Roman" w:cs="Times New Roman" w:eastAsiaTheme="minorEastAsia"/>
          <w:color w:val="auto"/>
          <w:kern w:val="0"/>
          <w:sz w:val="24"/>
          <w:szCs w:val="20"/>
          <w:lang w:val="en-US" w:eastAsia="zh-CN" w:bidi="ar-SA"/>
        </w:rPr>
        <w:t>生产设施风险识别范围：主体工程、贮运系统、公用工程系统、工程环保设施及辅助生产设施等。具体营运过程中危害风险见下表。</w:t>
      </w:r>
    </w:p>
    <w:p>
      <w:pPr>
        <w:jc w:val="center"/>
        <w:rPr>
          <w:rFonts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表5.2-2</w:t>
      </w:r>
      <w:r>
        <w:rPr>
          <w:rFonts w:hint="eastAsia" w:cs="Times New Roman"/>
          <w:b/>
          <w:color w:val="auto"/>
          <w:szCs w:val="21"/>
          <w:lang w:val="en-US" w:eastAsia="zh-CN"/>
        </w:rPr>
        <w:t xml:space="preserve">6  </w:t>
      </w:r>
      <w:r>
        <w:rPr>
          <w:rFonts w:ascii="Times New Roman" w:hAnsi="Times New Roman" w:eastAsia="宋体" w:cs="Times New Roman"/>
          <w:b/>
          <w:color w:val="auto"/>
          <w:szCs w:val="21"/>
          <w:lang w:val="en-US" w:eastAsia="zh-CN"/>
        </w:rPr>
        <w:t>风险识别一览表</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520"/>
        <w:gridCol w:w="1151"/>
        <w:gridCol w:w="2292"/>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93"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default" w:ascii="Times New Roman" w:hAnsi="宋体" w:eastAsia="宋体" w:cs="Times New Roman"/>
                <w:b/>
                <w:bCs/>
                <w:color w:val="auto"/>
              </w:rPr>
            </w:pPr>
            <w:r>
              <w:rPr>
                <w:rFonts w:hint="default" w:ascii="Times New Roman" w:hAnsi="宋体" w:eastAsia="宋体" w:cs="Times New Roman"/>
                <w:b/>
                <w:bCs/>
                <w:color w:val="auto"/>
              </w:rPr>
              <w:t>序号</w:t>
            </w:r>
          </w:p>
        </w:tc>
        <w:tc>
          <w:tcPr>
            <w:tcW w:w="2520" w:type="dxa"/>
            <w:tcBorders>
              <w:top w:val="single" w:color="auto" w:sz="4" w:space="0"/>
              <w:left w:val="nil"/>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default" w:ascii="Times New Roman" w:hAnsi="宋体" w:eastAsia="宋体" w:cs="Times New Roman"/>
                <w:b/>
                <w:bCs/>
                <w:color w:val="auto"/>
              </w:rPr>
            </w:pPr>
            <w:r>
              <w:rPr>
                <w:rFonts w:hint="default" w:ascii="Times New Roman" w:hAnsi="宋体" w:eastAsia="宋体" w:cs="Times New Roman"/>
                <w:b/>
                <w:bCs/>
                <w:color w:val="auto"/>
              </w:rPr>
              <w:t>名称</w:t>
            </w:r>
          </w:p>
        </w:tc>
        <w:tc>
          <w:tcPr>
            <w:tcW w:w="1151" w:type="dxa"/>
            <w:tcBorders>
              <w:top w:val="single" w:color="auto" w:sz="4" w:space="0"/>
              <w:left w:val="nil"/>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default" w:ascii="Times New Roman" w:hAnsi="宋体" w:eastAsia="宋体" w:cs="Times New Roman"/>
                <w:b/>
                <w:bCs/>
                <w:color w:val="auto"/>
              </w:rPr>
            </w:pPr>
            <w:r>
              <w:rPr>
                <w:rFonts w:hint="default" w:ascii="Times New Roman" w:hAnsi="宋体" w:eastAsia="宋体" w:cs="Times New Roman"/>
                <w:b/>
                <w:bCs/>
                <w:color w:val="auto"/>
              </w:rPr>
              <w:t>设备种类</w:t>
            </w:r>
          </w:p>
        </w:tc>
        <w:tc>
          <w:tcPr>
            <w:tcW w:w="2292" w:type="dxa"/>
            <w:tcBorders>
              <w:top w:val="single" w:color="auto" w:sz="4" w:space="0"/>
              <w:left w:val="nil"/>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default" w:ascii="Times New Roman" w:hAnsi="宋体" w:eastAsia="宋体" w:cs="Times New Roman"/>
                <w:b/>
                <w:bCs/>
                <w:color w:val="auto"/>
              </w:rPr>
            </w:pPr>
            <w:r>
              <w:rPr>
                <w:rFonts w:hint="default" w:ascii="Times New Roman" w:hAnsi="宋体" w:eastAsia="宋体" w:cs="Times New Roman"/>
                <w:b/>
                <w:bCs/>
                <w:color w:val="auto"/>
              </w:rPr>
              <w:t>危险因素</w:t>
            </w:r>
          </w:p>
        </w:tc>
        <w:tc>
          <w:tcPr>
            <w:tcW w:w="2292" w:type="dxa"/>
            <w:tcBorders>
              <w:top w:val="single" w:color="auto" w:sz="4" w:space="0"/>
              <w:left w:val="nil"/>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default" w:ascii="Times New Roman" w:hAnsi="宋体" w:eastAsia="宋体" w:cs="Times New Roman"/>
                <w:b/>
                <w:bCs/>
                <w:color w:val="auto"/>
              </w:rPr>
            </w:pPr>
            <w:r>
              <w:rPr>
                <w:rFonts w:hint="default" w:ascii="Times New Roman" w:hAnsi="宋体" w:eastAsia="宋体" w:cs="Times New Roman"/>
                <w:b/>
                <w:bCs/>
                <w:color w:val="auto"/>
              </w:rPr>
              <w:t>风险类型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93" w:type="dxa"/>
            <w:tcBorders>
              <w:top w:val="single" w:color="auto" w:sz="4" w:space="0"/>
              <w:left w:val="single" w:color="auto" w:sz="4" w:space="0"/>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lang w:val="en-US" w:eastAsia="zh-CN"/>
              </w:rPr>
              <w:t>1</w:t>
            </w:r>
          </w:p>
        </w:tc>
        <w:tc>
          <w:tcPr>
            <w:tcW w:w="2520" w:type="dxa"/>
            <w:tcBorders>
              <w:top w:val="single" w:color="auto" w:sz="4" w:space="0"/>
              <w:left w:val="nil"/>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柴油储存间</w:t>
            </w:r>
          </w:p>
        </w:tc>
        <w:tc>
          <w:tcPr>
            <w:tcW w:w="1151" w:type="dxa"/>
            <w:tcBorders>
              <w:top w:val="single" w:color="auto" w:sz="4" w:space="0"/>
              <w:left w:val="nil"/>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存放容积</w:t>
            </w:r>
          </w:p>
        </w:tc>
        <w:tc>
          <w:tcPr>
            <w:tcW w:w="2292" w:type="dxa"/>
            <w:tcBorders>
              <w:top w:val="single" w:color="auto" w:sz="4" w:space="0"/>
              <w:left w:val="nil"/>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泄漏</w:t>
            </w:r>
          </w:p>
        </w:tc>
        <w:tc>
          <w:tcPr>
            <w:tcW w:w="2292" w:type="dxa"/>
            <w:tcBorders>
              <w:top w:val="single" w:color="auto" w:sz="4" w:space="0"/>
              <w:left w:val="nil"/>
              <w:bottom w:val="single" w:color="auto" w:sz="4" w:space="0"/>
              <w:right w:val="single" w:color="auto" w:sz="4" w:space="0"/>
            </w:tcBorders>
            <w:tcMar>
              <w:top w:w="108" w:type="dxa"/>
              <w:left w:w="108" w:type="dxa"/>
              <w:bottom w:w="108" w:type="dxa"/>
              <w:right w:w="108" w:type="dxa"/>
            </w:tcMar>
            <w:vAlign w:val="top"/>
          </w:tcPr>
          <w:p>
            <w:pPr>
              <w:pStyle w:val="46"/>
              <w:keepNext w:val="0"/>
              <w:keepLines w:val="0"/>
              <w:suppressLineNumbers w:val="0"/>
              <w:spacing w:before="0" w:beforeAutospacing="0" w:after="0" w:afterAutospacing="0"/>
              <w:ind w:left="-63" w:leftChars="-30" w:right="-63" w:rightChars="-3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环境风险</w:t>
            </w:r>
          </w:p>
        </w:tc>
      </w:tr>
    </w:tbl>
    <w:p>
      <w:pPr>
        <w:tabs>
          <w:tab w:val="left" w:pos="1220"/>
        </w:tabs>
        <w:spacing w:line="360" w:lineRule="auto"/>
        <w:ind w:firstLine="520" w:firstLineChars="210"/>
        <w:rPr>
          <w:rFonts w:ascii="Times New Roman" w:hAnsi="Times New Roman" w:cs="Times New Roman"/>
          <w:color w:val="auto"/>
          <w:spacing w:val="4"/>
          <w:sz w:val="24"/>
        </w:rPr>
      </w:pPr>
      <w:r>
        <w:rPr>
          <w:rFonts w:ascii="Times New Roman" w:hAnsi="Times New Roman" w:cs="Times New Roman"/>
          <w:color w:val="auto"/>
          <w:spacing w:val="4"/>
          <w:sz w:val="24"/>
        </w:rPr>
        <w:t>（3）重大风险源调查</w:t>
      </w:r>
    </w:p>
    <w:p>
      <w:pPr>
        <w:tabs>
          <w:tab w:val="left" w:pos="1220"/>
        </w:tabs>
        <w:spacing w:line="360" w:lineRule="auto"/>
        <w:ind w:firstLine="520" w:firstLineChars="210"/>
        <w:rPr>
          <w:rFonts w:ascii="Times New Roman" w:hAnsi="Times New Roman" w:cs="Times New Roman"/>
          <w:color w:val="auto"/>
          <w:spacing w:val="4"/>
          <w:sz w:val="24"/>
        </w:rPr>
      </w:pPr>
      <w:r>
        <w:rPr>
          <w:rFonts w:ascii="Times New Roman" w:hAnsi="Times New Roman" w:cs="Times New Roman"/>
          <w:color w:val="auto"/>
          <w:spacing w:val="4"/>
          <w:sz w:val="24"/>
        </w:rPr>
        <w:t>根据《建设项目环境风险评价技术导则》（HT169-2018）和《危险化学品重大危险源辨识》（GB18218-2018），“长期或短期生产、加工、运输、使用或贮存危险物质，且危险物质的效量等于或超过临界量的功能单元”定为重点风险源。拟建项目生产过程中所涉及的各种物料具体见下表。</w:t>
      </w:r>
    </w:p>
    <w:p>
      <w:pPr>
        <w:jc w:val="center"/>
        <w:rPr>
          <w:rFonts w:hint="eastAsia" w:ascii="黑体" w:hAnsi="Times New Roman" w:eastAsia="黑体" w:cs="Times New Roman"/>
          <w:color w:val="auto"/>
          <w:lang w:val="en-US" w:eastAsia="zh-CN"/>
        </w:rPr>
      </w:pPr>
      <w:r>
        <w:rPr>
          <w:rFonts w:hint="eastAsia" w:ascii="Times New Roman" w:hAnsi="Times New Roman" w:eastAsia="宋体" w:cs="Times New Roman"/>
          <w:b/>
          <w:color w:val="auto"/>
          <w:szCs w:val="21"/>
          <w:lang w:val="en-US" w:eastAsia="zh-CN"/>
        </w:rPr>
        <w:t>表5.2-2</w:t>
      </w:r>
      <w:r>
        <w:rPr>
          <w:rFonts w:hint="eastAsia" w:cs="Times New Roman"/>
          <w:b/>
          <w:color w:val="auto"/>
          <w:szCs w:val="21"/>
          <w:lang w:val="en-US" w:eastAsia="zh-CN"/>
        </w:rPr>
        <w:t xml:space="preserve">7 </w:t>
      </w:r>
      <w:r>
        <w:rPr>
          <w:rFonts w:hint="eastAsia" w:ascii="Times New Roman" w:hAnsi="Times New Roman" w:eastAsia="宋体" w:cs="Times New Roman"/>
          <w:b/>
          <w:color w:val="auto"/>
          <w:szCs w:val="21"/>
          <w:lang w:val="en-US" w:eastAsia="zh-CN"/>
        </w:rPr>
        <w:t xml:space="preserve"> 项目重大风险源识别表</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703"/>
        <w:gridCol w:w="1560"/>
        <w:gridCol w:w="1701"/>
        <w:gridCol w:w="127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序号</w:t>
            </w:r>
          </w:p>
        </w:tc>
        <w:tc>
          <w:tcPr>
            <w:tcW w:w="170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装置及单元</w:t>
            </w:r>
          </w:p>
        </w:tc>
        <w:tc>
          <w:tcPr>
            <w:tcW w:w="15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危险物料</w:t>
            </w:r>
          </w:p>
        </w:tc>
        <w:tc>
          <w:tcPr>
            <w:tcW w:w="170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项目储存量（t）</w:t>
            </w:r>
          </w:p>
        </w:tc>
        <w:tc>
          <w:tcPr>
            <w:tcW w:w="127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临界量（t）</w:t>
            </w:r>
          </w:p>
        </w:tc>
        <w:tc>
          <w:tcPr>
            <w:tcW w:w="189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是否重大危险源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auto"/>
                <w:lang w:eastAsia="zh-CN"/>
              </w:rPr>
            </w:pPr>
            <w:r>
              <w:rPr>
                <w:rFonts w:hint="eastAsia" w:cs="Times New Roman"/>
                <w:b w:val="0"/>
                <w:bCs w:val="0"/>
                <w:color w:val="auto"/>
                <w:lang w:val="en-US" w:eastAsia="zh-CN"/>
              </w:rPr>
              <w:t>1</w:t>
            </w:r>
          </w:p>
        </w:tc>
        <w:tc>
          <w:tcPr>
            <w:tcW w:w="170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rPr>
            </w:pPr>
            <w:r>
              <w:rPr>
                <w:rFonts w:hint="default" w:ascii="Times New Roman" w:hAnsi="Times New Roman" w:cs="Times New Roman"/>
                <w:b w:val="0"/>
                <w:bCs w:val="0"/>
                <w:color w:val="auto"/>
              </w:rPr>
              <w:t>柴油储存间</w:t>
            </w:r>
          </w:p>
        </w:tc>
        <w:tc>
          <w:tcPr>
            <w:tcW w:w="15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rPr>
            </w:pPr>
            <w:r>
              <w:rPr>
                <w:rFonts w:hint="default" w:ascii="Times New Roman" w:hAnsi="Times New Roman" w:cs="Times New Roman"/>
                <w:b w:val="0"/>
                <w:bCs w:val="0"/>
                <w:color w:val="auto"/>
              </w:rPr>
              <w:t>柴油</w:t>
            </w:r>
          </w:p>
        </w:tc>
        <w:tc>
          <w:tcPr>
            <w:tcW w:w="170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rPr>
              <w:t>0.</w:t>
            </w:r>
            <w:r>
              <w:rPr>
                <w:rFonts w:hint="eastAsia" w:cs="Times New Roman"/>
                <w:b w:val="0"/>
                <w:bCs w:val="0"/>
                <w:color w:val="auto"/>
                <w:lang w:val="en-US" w:eastAsia="zh-CN"/>
              </w:rPr>
              <w:t>2</w:t>
            </w:r>
          </w:p>
        </w:tc>
        <w:tc>
          <w:tcPr>
            <w:tcW w:w="127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rPr>
            </w:pPr>
            <w:r>
              <w:rPr>
                <w:rFonts w:hint="default" w:ascii="Times New Roman" w:hAnsi="Times New Roman" w:cs="Times New Roman"/>
                <w:b w:val="0"/>
                <w:bCs w:val="0"/>
                <w:color w:val="auto"/>
              </w:rPr>
              <w:t>2500</w:t>
            </w:r>
          </w:p>
        </w:tc>
        <w:tc>
          <w:tcPr>
            <w:tcW w:w="189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rPr>
            </w:pPr>
            <w:r>
              <w:rPr>
                <w:rFonts w:hint="default" w:ascii="Times New Roman" w:hAnsi="Times New Roman" w:cs="Times New Roman"/>
                <w:b w:val="0"/>
                <w:bCs w:val="0"/>
                <w:color w:val="auto"/>
              </w:rPr>
              <w:t>非重大危险源</w:t>
            </w:r>
          </w:p>
        </w:tc>
      </w:tr>
    </w:tbl>
    <w:p>
      <w:pPr>
        <w:tabs>
          <w:tab w:val="left" w:pos="1220"/>
        </w:tabs>
        <w:spacing w:line="360" w:lineRule="auto"/>
        <w:ind w:firstLine="520" w:firstLineChars="210"/>
        <w:rPr>
          <w:rFonts w:ascii="Times New Roman" w:hAnsi="Times New Roman" w:cs="Times New Roman"/>
          <w:color w:val="auto"/>
          <w:spacing w:val="4"/>
          <w:sz w:val="24"/>
        </w:rPr>
      </w:pPr>
      <w:r>
        <w:rPr>
          <w:rFonts w:ascii="Times New Roman" w:hAnsi="Times New Roman" w:cs="Times New Roman"/>
          <w:color w:val="auto"/>
          <w:spacing w:val="4"/>
          <w:sz w:val="24"/>
        </w:rPr>
        <w:t>根据分析，本项目不存在重大风险源。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（4）风险转移途径调查</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项目环境风险转移途径识别见下表。</w:t>
      </w:r>
    </w:p>
    <w:p>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表5.2-2</w:t>
      </w:r>
      <w:r>
        <w:rPr>
          <w:rFonts w:hint="eastAsia" w:cs="Times New Roman"/>
          <w:b/>
          <w:color w:val="auto"/>
          <w:szCs w:val="21"/>
          <w:lang w:val="en-US" w:eastAsia="zh-CN"/>
        </w:rPr>
        <w:t xml:space="preserve">8 </w:t>
      </w:r>
      <w:r>
        <w:rPr>
          <w:rFonts w:hint="eastAsia" w:ascii="Times New Roman" w:hAnsi="Times New Roman" w:eastAsia="宋体" w:cs="Times New Roman"/>
          <w:b/>
          <w:color w:val="auto"/>
          <w:szCs w:val="21"/>
          <w:lang w:val="en-US" w:eastAsia="zh-CN"/>
        </w:rPr>
        <w:t xml:space="preserve"> 项目环境风险转移途径识别表</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2233"/>
        <w:gridCol w:w="1790"/>
        <w:gridCol w:w="179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8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时段</w:t>
            </w:r>
          </w:p>
        </w:tc>
        <w:tc>
          <w:tcPr>
            <w:tcW w:w="7159"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8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b/>
                <w:color w:val="auto"/>
              </w:rPr>
            </w:pPr>
          </w:p>
        </w:tc>
        <w:tc>
          <w:tcPr>
            <w:tcW w:w="223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环境空气</w:t>
            </w:r>
          </w:p>
        </w:tc>
        <w:tc>
          <w:tcPr>
            <w:tcW w:w="179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地表水</w:t>
            </w:r>
          </w:p>
        </w:tc>
        <w:tc>
          <w:tcPr>
            <w:tcW w:w="179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 xml:space="preserve">地下水 </w:t>
            </w:r>
          </w:p>
        </w:tc>
        <w:tc>
          <w:tcPr>
            <w:tcW w:w="134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运营期</w:t>
            </w:r>
          </w:p>
        </w:tc>
        <w:tc>
          <w:tcPr>
            <w:tcW w:w="223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179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179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134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bl>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根据《建设项目环境风险评价技术导则》（HJ</w:t>
      </w:r>
      <w:r>
        <w:rPr>
          <w:rFonts w:hint="eastAsia" w:cs="Times New Roman"/>
          <w:color w:val="auto"/>
          <w:sz w:val="24"/>
          <w:lang w:val="en-US" w:eastAsia="zh-CN"/>
        </w:rPr>
        <w:t xml:space="preserve"> </w:t>
      </w:r>
      <w:r>
        <w:rPr>
          <w:rFonts w:ascii="Times New Roman" w:hAnsi="Times New Roman" w:cs="Times New Roman"/>
          <w:color w:val="auto"/>
          <w:sz w:val="24"/>
        </w:rPr>
        <w:t>169－2018）附录 C，Q 按下式进行计算：</w:t>
      </w:r>
    </w:p>
    <w:p>
      <w:pPr>
        <w:spacing w:line="360" w:lineRule="auto"/>
        <w:ind w:firstLine="420" w:firstLineChars="200"/>
        <w:jc w:val="center"/>
        <w:rPr>
          <w:rFonts w:ascii="Times New Roman" w:hAnsi="Times New Roman" w:cs="Times New Roman"/>
          <w:color w:val="auto"/>
          <w:sz w:val="24"/>
        </w:rPr>
      </w:pPr>
      <w:r>
        <w:rPr>
          <w:rFonts w:ascii="Times New Roman" w:hAnsi="Times New Roman" w:cs="Times New Roman"/>
          <w:color w:val="auto"/>
        </w:rPr>
        <w:drawing>
          <wp:inline distT="0" distB="0" distL="0" distR="0">
            <wp:extent cx="1638935" cy="439420"/>
            <wp:effectExtent l="0" t="0" r="18415" b="17780"/>
            <wp:docPr id="4" name="图片 4" descr="C:\Users\ADMINI~1\AppData\Local\Temp\ksohtml790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7904\wps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638935" cy="439420"/>
                    </a:xfrm>
                    <a:prstGeom prst="rect">
                      <a:avLst/>
                    </a:prstGeom>
                    <a:noFill/>
                    <a:ln>
                      <a:noFill/>
                    </a:ln>
                  </pic:spPr>
                </pic:pic>
              </a:graphicData>
            </a:graphic>
          </wp:inline>
        </w:drawing>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式中：q</w:t>
      </w:r>
      <w:r>
        <w:rPr>
          <w:rFonts w:ascii="Times New Roman" w:hAnsi="Times New Roman" w:cs="Times New Roman"/>
          <w:color w:val="auto"/>
          <w:sz w:val="24"/>
          <w:vertAlign w:val="subscript"/>
        </w:rPr>
        <w:t>1</w:t>
      </w:r>
      <w:r>
        <w:rPr>
          <w:rFonts w:ascii="Times New Roman" w:hAnsi="Times New Roman" w:cs="Times New Roman"/>
          <w:color w:val="auto"/>
          <w:sz w:val="24"/>
        </w:rPr>
        <w:t>，q</w:t>
      </w:r>
      <w:r>
        <w:rPr>
          <w:rFonts w:ascii="Times New Roman" w:hAnsi="Times New Roman" w:cs="Times New Roman"/>
          <w:color w:val="auto"/>
          <w:sz w:val="24"/>
          <w:vertAlign w:val="subscript"/>
        </w:rPr>
        <w:t>2</w:t>
      </w:r>
      <w:r>
        <w:rPr>
          <w:rFonts w:ascii="Times New Roman" w:hAnsi="Times New Roman" w:cs="Times New Roman"/>
          <w:color w:val="auto"/>
          <w:sz w:val="24"/>
        </w:rPr>
        <w:t xml:space="preserve"> ……q</w:t>
      </w:r>
      <w:r>
        <w:rPr>
          <w:rFonts w:ascii="Times New Roman" w:hAnsi="Times New Roman" w:cs="Times New Roman"/>
          <w:color w:val="auto"/>
          <w:sz w:val="24"/>
          <w:vertAlign w:val="subscript"/>
        </w:rPr>
        <w:t>n</w:t>
      </w:r>
      <w:r>
        <w:rPr>
          <w:rFonts w:ascii="Times New Roman" w:hAnsi="Times New Roman" w:cs="Times New Roman"/>
          <w:color w:val="auto"/>
          <w:sz w:val="24"/>
        </w:rPr>
        <w:t>—每种危险物质的最大存在量，t；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 xml:space="preserve">     Q</w:t>
      </w:r>
      <w:r>
        <w:rPr>
          <w:rFonts w:ascii="Times New Roman" w:hAnsi="Times New Roman" w:cs="Times New Roman"/>
          <w:color w:val="auto"/>
          <w:sz w:val="24"/>
          <w:vertAlign w:val="subscript"/>
        </w:rPr>
        <w:t>1</w:t>
      </w:r>
      <w:r>
        <w:rPr>
          <w:rFonts w:ascii="Times New Roman" w:hAnsi="Times New Roman" w:cs="Times New Roman"/>
          <w:color w:val="auto"/>
          <w:sz w:val="24"/>
        </w:rPr>
        <w:t>，Q</w:t>
      </w:r>
      <w:r>
        <w:rPr>
          <w:rFonts w:ascii="Times New Roman" w:hAnsi="Times New Roman" w:cs="Times New Roman"/>
          <w:color w:val="auto"/>
          <w:sz w:val="24"/>
          <w:vertAlign w:val="subscript"/>
        </w:rPr>
        <w:t>2</w:t>
      </w:r>
      <w:r>
        <w:rPr>
          <w:rFonts w:ascii="Times New Roman" w:hAnsi="Times New Roman" w:cs="Times New Roman"/>
          <w:color w:val="auto"/>
          <w:sz w:val="24"/>
        </w:rPr>
        <w:t xml:space="preserve"> …Q</w:t>
      </w:r>
      <w:r>
        <w:rPr>
          <w:rFonts w:ascii="Times New Roman" w:hAnsi="Times New Roman" w:cs="Times New Roman"/>
          <w:color w:val="auto"/>
          <w:sz w:val="24"/>
          <w:vertAlign w:val="subscript"/>
        </w:rPr>
        <w:t>n</w:t>
      </w:r>
      <w:r>
        <w:rPr>
          <w:rFonts w:ascii="Times New Roman" w:hAnsi="Times New Roman" w:cs="Times New Roman"/>
          <w:color w:val="auto"/>
          <w:sz w:val="24"/>
        </w:rPr>
        <w:t xml:space="preserve"> —每种危险物质的临界量，t。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当 Q＜1 时，该项目环境风险潜势为 I。</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当 Q≥1 时，将 Q 值划分为：（1）1≤Q＜10；（2）10≤Q＜100；（3）Q≥100。</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Q 的确定见下表。</w:t>
      </w:r>
    </w:p>
    <w:p>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表5.2-</w:t>
      </w:r>
      <w:r>
        <w:rPr>
          <w:rFonts w:hint="eastAsia" w:cs="Times New Roman"/>
          <w:b/>
          <w:color w:val="auto"/>
          <w:szCs w:val="21"/>
          <w:lang w:val="en-US" w:eastAsia="zh-CN"/>
        </w:rPr>
        <w:t>29</w:t>
      </w:r>
      <w:r>
        <w:rPr>
          <w:rFonts w:hint="eastAsia" w:ascii="Times New Roman" w:hAnsi="Times New Roman" w:eastAsia="宋体" w:cs="Times New Roman"/>
          <w:b/>
          <w:color w:val="auto"/>
          <w:szCs w:val="21"/>
          <w:lang w:val="en-US" w:eastAsia="zh-CN"/>
        </w:rPr>
        <w:t xml:space="preserve"> 建设项目Q值确定表</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523"/>
        <w:gridCol w:w="2124"/>
        <w:gridCol w:w="1413"/>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2"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序号</w:t>
            </w:r>
          </w:p>
        </w:tc>
        <w:tc>
          <w:tcPr>
            <w:tcW w:w="2523"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危险物质名称</w:t>
            </w:r>
          </w:p>
        </w:tc>
        <w:tc>
          <w:tcPr>
            <w:tcW w:w="2124"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最大存在总量q</w:t>
            </w:r>
            <w:r>
              <w:rPr>
                <w:rFonts w:hint="default" w:ascii="Times New Roman" w:hAnsi="Times New Roman" w:cs="Times New Roman"/>
                <w:b/>
                <w:color w:val="auto"/>
                <w:vertAlign w:val="subscript"/>
              </w:rPr>
              <w:t>n</w:t>
            </w:r>
            <w:r>
              <w:rPr>
                <w:rFonts w:hint="default" w:ascii="Times New Roman" w:hAnsi="Times New Roman" w:cs="Times New Roman"/>
                <w:b/>
                <w:color w:val="auto"/>
              </w:rPr>
              <w:t xml:space="preserve"> /t</w:t>
            </w:r>
          </w:p>
        </w:tc>
        <w:tc>
          <w:tcPr>
            <w:tcW w:w="1413"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临界量Q</w:t>
            </w:r>
            <w:r>
              <w:rPr>
                <w:rFonts w:hint="default" w:ascii="Times New Roman" w:hAnsi="Times New Roman" w:cs="Times New Roman"/>
                <w:b/>
                <w:color w:val="auto"/>
                <w:vertAlign w:val="subscript"/>
              </w:rPr>
              <w:t>n</w:t>
            </w:r>
            <w:r>
              <w:rPr>
                <w:rFonts w:hint="default" w:ascii="Times New Roman" w:hAnsi="Times New Roman" w:cs="Times New Roman"/>
                <w:b/>
                <w:color w:val="auto"/>
              </w:rPr>
              <w:t xml:space="preserve"> /t</w:t>
            </w:r>
          </w:p>
        </w:tc>
        <w:tc>
          <w:tcPr>
            <w:tcW w:w="1916"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2"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2</w:t>
            </w:r>
          </w:p>
        </w:tc>
        <w:tc>
          <w:tcPr>
            <w:tcW w:w="2523"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柴油</w:t>
            </w:r>
          </w:p>
        </w:tc>
        <w:tc>
          <w:tcPr>
            <w:tcW w:w="2124"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0.</w:t>
            </w:r>
            <w:r>
              <w:rPr>
                <w:rFonts w:hint="default" w:ascii="Times New Roman" w:hAnsi="Times New Roman" w:cs="Times New Roman"/>
                <w:color w:val="auto"/>
                <w:lang w:val="en-US" w:eastAsia="zh-CN"/>
              </w:rPr>
              <w:t>2</w:t>
            </w:r>
          </w:p>
        </w:tc>
        <w:tc>
          <w:tcPr>
            <w:tcW w:w="1413"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2500</w:t>
            </w:r>
          </w:p>
        </w:tc>
        <w:tc>
          <w:tcPr>
            <w:tcW w:w="1916"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0.00008</w:t>
            </w:r>
          </w:p>
        </w:tc>
      </w:tr>
    </w:tbl>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经计算，本项目Q＜1（0.</w:t>
      </w:r>
      <w:r>
        <w:rPr>
          <w:rFonts w:hint="eastAsia" w:cs="Times New Roman"/>
          <w:color w:val="auto"/>
          <w:sz w:val="24"/>
          <w:lang w:val="en-US" w:eastAsia="zh-CN"/>
        </w:rPr>
        <w:t>00008</w:t>
      </w:r>
      <w:r>
        <w:rPr>
          <w:rFonts w:ascii="Times New Roman" w:hAnsi="Times New Roman" w:cs="Times New Roman"/>
          <w:color w:val="auto"/>
          <w:sz w:val="24"/>
        </w:rPr>
        <w:t>）。</w:t>
      </w:r>
    </w:p>
    <w:p>
      <w:pPr>
        <w:tabs>
          <w:tab w:val="left" w:pos="1220"/>
        </w:tabs>
        <w:spacing w:line="360" w:lineRule="auto"/>
        <w:ind w:firstLine="520" w:firstLineChars="210"/>
        <w:rPr>
          <w:rFonts w:ascii="Times New Roman" w:hAnsi="Times New Roman" w:cs="Times New Roman"/>
          <w:color w:val="auto"/>
          <w:spacing w:val="4"/>
          <w:sz w:val="24"/>
        </w:rPr>
      </w:pPr>
      <w:r>
        <w:rPr>
          <w:rFonts w:ascii="Times New Roman" w:hAnsi="Times New Roman" w:cs="Times New Roman"/>
          <w:color w:val="auto"/>
          <w:spacing w:val="4"/>
          <w:sz w:val="24"/>
        </w:rPr>
        <w:t>根据《建设项目环境风险评价技术导则》（HJ</w:t>
      </w:r>
      <w:r>
        <w:rPr>
          <w:rFonts w:hint="eastAsia" w:cs="Times New Roman"/>
          <w:color w:val="auto"/>
          <w:spacing w:val="4"/>
          <w:sz w:val="24"/>
          <w:lang w:val="en-US" w:eastAsia="zh-CN"/>
        </w:rPr>
        <w:t xml:space="preserve"> </w:t>
      </w:r>
      <w:r>
        <w:rPr>
          <w:rFonts w:ascii="Times New Roman" w:hAnsi="Times New Roman" w:cs="Times New Roman"/>
          <w:color w:val="auto"/>
          <w:spacing w:val="4"/>
          <w:sz w:val="24"/>
        </w:rPr>
        <w:t>169－2018）附录C划分依据，本项目Q＜1（</w:t>
      </w:r>
      <w:r>
        <w:rPr>
          <w:rFonts w:ascii="Times New Roman" w:hAnsi="Times New Roman" w:cs="Times New Roman"/>
          <w:color w:val="auto"/>
          <w:sz w:val="24"/>
        </w:rPr>
        <w:t>0.</w:t>
      </w:r>
      <w:r>
        <w:rPr>
          <w:rFonts w:hint="eastAsia" w:cs="Times New Roman"/>
          <w:color w:val="auto"/>
          <w:sz w:val="24"/>
          <w:lang w:val="en-US" w:eastAsia="zh-CN"/>
        </w:rPr>
        <w:t>00008</w:t>
      </w:r>
      <w:r>
        <w:rPr>
          <w:rFonts w:ascii="Times New Roman" w:hAnsi="Times New Roman" w:cs="Times New Roman"/>
          <w:color w:val="auto"/>
          <w:spacing w:val="4"/>
          <w:sz w:val="24"/>
        </w:rPr>
        <w:t>），该项目环境风险潜势为I。</w:t>
      </w:r>
    </w:p>
    <w:p>
      <w:pPr>
        <w:spacing w:line="360" w:lineRule="auto"/>
        <w:ind w:firstLine="482" w:firstLineChars="200"/>
        <w:outlineLvl w:val="4"/>
        <w:rPr>
          <w:rFonts w:hint="eastAsia" w:ascii="Times New Roman" w:hAnsi="Times New Roman" w:cs="Times New Roman"/>
          <w:b/>
          <w:color w:val="auto"/>
          <w:sz w:val="24"/>
          <w:lang w:eastAsia="zh-CN"/>
        </w:rPr>
      </w:pPr>
      <w:r>
        <w:rPr>
          <w:rFonts w:hint="eastAsia" w:cs="Times New Roman"/>
          <w:b/>
          <w:color w:val="auto"/>
          <w:sz w:val="24"/>
          <w:lang w:val="en-US" w:eastAsia="zh-CN"/>
        </w:rPr>
        <w:t>4</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eastAsia="zh-CN"/>
        </w:rPr>
        <w:t>评价等级</w:t>
      </w:r>
    </w:p>
    <w:p>
      <w:pPr>
        <w:tabs>
          <w:tab w:val="left" w:pos="1220"/>
        </w:tabs>
        <w:spacing w:line="360" w:lineRule="auto"/>
        <w:ind w:firstLine="520" w:firstLineChars="210"/>
        <w:rPr>
          <w:rFonts w:ascii="Times New Roman" w:hAnsi="Times New Roman" w:cs="Times New Roman"/>
          <w:color w:val="auto"/>
          <w:spacing w:val="4"/>
          <w:sz w:val="24"/>
        </w:rPr>
      </w:pPr>
      <w:r>
        <w:rPr>
          <w:rFonts w:ascii="Times New Roman" w:hAnsi="Times New Roman" w:cs="Times New Roman"/>
          <w:color w:val="auto"/>
          <w:spacing w:val="4"/>
          <w:sz w:val="24"/>
        </w:rPr>
        <w:t>根据《建设项目环境风险评价技术导则》（HJ 169-2018），环境风险评价工作等级需先根据建设项目涉及的物质及工艺系统危险性和所在地的环境敏感性确定环境风险潜势，再根据环境风险潜势来进行判定。</w:t>
      </w:r>
    </w:p>
    <w:p>
      <w:pPr>
        <w:tabs>
          <w:tab w:val="left" w:pos="1220"/>
        </w:tabs>
        <w:spacing w:line="360" w:lineRule="auto"/>
        <w:ind w:firstLine="520" w:firstLineChars="210"/>
        <w:rPr>
          <w:rFonts w:ascii="Times New Roman" w:hAnsi="Times New Roman" w:cs="Times New Roman"/>
          <w:color w:val="auto"/>
          <w:spacing w:val="4"/>
          <w:sz w:val="24"/>
        </w:rPr>
      </w:pPr>
      <w:r>
        <w:rPr>
          <w:rFonts w:ascii="Times New Roman" w:hAnsi="Times New Roman" w:cs="Times New Roman"/>
          <w:color w:val="auto"/>
          <w:spacing w:val="4"/>
          <w:sz w:val="24"/>
        </w:rPr>
        <w:t>由下表可知，拟建项目环境风险评价工作等级可仅开展简单分析。</w:t>
      </w:r>
    </w:p>
    <w:p>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表5.2-</w:t>
      </w:r>
      <w:r>
        <w:rPr>
          <w:rFonts w:hint="eastAsia" w:cs="Times New Roman"/>
          <w:b/>
          <w:color w:val="auto"/>
          <w:szCs w:val="21"/>
          <w:lang w:val="en-US" w:eastAsia="zh-CN"/>
        </w:rPr>
        <w:t>30</w:t>
      </w:r>
      <w:r>
        <w:rPr>
          <w:rFonts w:hint="eastAsia" w:ascii="Times New Roman" w:hAnsi="Times New Roman" w:eastAsia="宋体" w:cs="Times New Roman"/>
          <w:b/>
          <w:color w:val="auto"/>
          <w:szCs w:val="21"/>
          <w:lang w:val="en-US" w:eastAsia="zh-CN"/>
        </w:rPr>
        <w:t xml:space="preserve"> 环境风险评价工作等级划分</w:t>
      </w:r>
    </w:p>
    <w:tbl>
      <w:tblPr>
        <w:tblStyle w:val="90"/>
        <w:tblW w:w="894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89"/>
        <w:gridCol w:w="1789"/>
        <w:gridCol w:w="1790"/>
        <w:gridCol w:w="1790"/>
        <w:gridCol w:w="179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789"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环境风险潜势</w:t>
            </w:r>
          </w:p>
        </w:tc>
        <w:tc>
          <w:tcPr>
            <w:tcW w:w="1789"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Ⅳ、Ⅳ</w:t>
            </w:r>
            <w:r>
              <w:rPr>
                <w:rFonts w:hint="default" w:ascii="Times New Roman" w:hAnsi="Times New Roman" w:cs="Times New Roman"/>
                <w:color w:val="auto"/>
                <w:spacing w:val="4"/>
                <w:vertAlign w:val="superscript"/>
              </w:rPr>
              <w:t>+</w:t>
            </w:r>
          </w:p>
        </w:tc>
        <w:tc>
          <w:tcPr>
            <w:tcW w:w="1790"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Ⅲ</w:t>
            </w:r>
          </w:p>
        </w:tc>
        <w:tc>
          <w:tcPr>
            <w:tcW w:w="1790"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Ⅱ</w:t>
            </w:r>
          </w:p>
        </w:tc>
        <w:tc>
          <w:tcPr>
            <w:tcW w:w="1790"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789"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评价工作等级</w:t>
            </w:r>
          </w:p>
        </w:tc>
        <w:tc>
          <w:tcPr>
            <w:tcW w:w="1789"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一</w:t>
            </w:r>
          </w:p>
        </w:tc>
        <w:tc>
          <w:tcPr>
            <w:tcW w:w="1790"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二</w:t>
            </w:r>
          </w:p>
        </w:tc>
        <w:tc>
          <w:tcPr>
            <w:tcW w:w="1790"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三</w:t>
            </w:r>
          </w:p>
        </w:tc>
        <w:tc>
          <w:tcPr>
            <w:tcW w:w="1790" w:type="dxa"/>
            <w:vAlign w:val="center"/>
          </w:tcPr>
          <w:p>
            <w:pPr>
              <w:keepNext w:val="0"/>
              <w:keepLines w:val="0"/>
              <w:suppressLineNumbers w:val="0"/>
              <w:tabs>
                <w:tab w:val="left" w:pos="1220"/>
              </w:tabs>
              <w:spacing w:before="0" w:beforeAutospacing="0" w:after="0" w:afterAutospacing="0" w:line="240" w:lineRule="auto"/>
              <w:ind w:left="0" w:right="0"/>
              <w:jc w:val="center"/>
              <w:rPr>
                <w:rFonts w:hint="default" w:ascii="Times New Roman" w:hAnsi="Times New Roman" w:cs="Times New Roman"/>
                <w:color w:val="auto"/>
                <w:spacing w:val="4"/>
              </w:rPr>
            </w:pPr>
            <w:r>
              <w:rPr>
                <w:rFonts w:hint="default" w:ascii="Times New Roman" w:hAnsi="Times New Roman" w:cs="Times New Roman"/>
                <w:color w:val="auto"/>
                <w:spacing w:val="4"/>
              </w:rPr>
              <w:t>简单分析</w:t>
            </w:r>
            <w:r>
              <w:rPr>
                <w:rFonts w:hint="default" w:ascii="Times New Roman" w:hAnsi="Times New Roman" w:cs="Times New Roman"/>
                <w:color w:val="auto"/>
                <w:spacing w:val="4"/>
                <w:vertAlign w:val="superscript"/>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8948" w:type="dxa"/>
            <w:gridSpan w:val="5"/>
            <w:vAlign w:val="center"/>
          </w:tcPr>
          <w:p>
            <w:pPr>
              <w:keepNext w:val="0"/>
              <w:keepLines w:val="0"/>
              <w:suppressLineNumbers w:val="0"/>
              <w:tabs>
                <w:tab w:val="left" w:pos="1220"/>
              </w:tabs>
              <w:spacing w:before="0" w:beforeAutospacing="0" w:after="0" w:afterAutospacing="0" w:line="240" w:lineRule="auto"/>
              <w:ind w:left="0" w:right="0"/>
              <w:jc w:val="left"/>
              <w:rPr>
                <w:rFonts w:hint="default" w:ascii="Times New Roman" w:hAnsi="Times New Roman" w:cs="Times New Roman"/>
                <w:color w:val="auto"/>
                <w:spacing w:val="4"/>
              </w:rPr>
            </w:pPr>
            <w:r>
              <w:rPr>
                <w:rFonts w:hint="default" w:ascii="Times New Roman" w:hAnsi="Times New Roman" w:cs="Times New Roman"/>
                <w:color w:val="auto"/>
                <w:spacing w:val="4"/>
                <w:vertAlign w:val="superscript"/>
              </w:rPr>
              <w:t>a</w:t>
            </w:r>
            <w:r>
              <w:rPr>
                <w:rFonts w:hint="default" w:ascii="Times New Roman" w:hAnsi="Times New Roman" w:cs="Times New Roman"/>
                <w:color w:val="auto"/>
                <w:spacing w:val="4"/>
              </w:rPr>
              <w:t>是相对于详细评价工作内容而言，在描述危险物质、环境影响途径、环境危害后果、风险防范措施等方面给出定性的说明。</w:t>
            </w:r>
          </w:p>
        </w:tc>
      </w:tr>
    </w:tbl>
    <w:p>
      <w:pPr>
        <w:spacing w:line="360" w:lineRule="auto"/>
        <w:ind w:firstLine="482" w:firstLineChars="200"/>
        <w:outlineLvl w:val="4"/>
        <w:rPr>
          <w:rFonts w:hint="eastAsia" w:ascii="Times New Roman" w:hAnsi="Times New Roman" w:cs="Times New Roman"/>
          <w:b/>
          <w:color w:val="auto"/>
          <w:sz w:val="24"/>
          <w:lang w:eastAsia="zh-CN"/>
        </w:rPr>
      </w:pPr>
      <w:r>
        <w:rPr>
          <w:rFonts w:hint="eastAsia" w:cs="Times New Roman"/>
          <w:b/>
          <w:color w:val="auto"/>
          <w:sz w:val="24"/>
          <w:lang w:val="en-US" w:eastAsia="zh-CN"/>
        </w:rPr>
        <w:t>5</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eastAsia="zh-CN"/>
        </w:rPr>
        <w:t>环境敏感目标概况</w:t>
      </w:r>
    </w:p>
    <w:p>
      <w:pPr>
        <w:tabs>
          <w:tab w:val="left" w:pos="1220"/>
        </w:tabs>
        <w:spacing w:line="360" w:lineRule="auto"/>
        <w:ind w:firstLine="520" w:firstLineChars="210"/>
        <w:jc w:val="both"/>
        <w:rPr>
          <w:rFonts w:ascii="Times New Roman" w:hAnsi="Times New Roman" w:cs="Times New Roman"/>
          <w:color w:val="auto"/>
          <w:spacing w:val="4"/>
          <w:sz w:val="24"/>
        </w:rPr>
      </w:pPr>
      <w:r>
        <w:rPr>
          <w:rFonts w:ascii="Times New Roman" w:hAnsi="Times New Roman" w:cs="Times New Roman"/>
          <w:color w:val="auto"/>
          <w:spacing w:val="4"/>
          <w:sz w:val="24"/>
        </w:rPr>
        <w:t>地表水环境：本项目距离</w:t>
      </w:r>
      <w:r>
        <w:rPr>
          <w:rFonts w:hint="eastAsia" w:cs="Times New Roman" w:eastAsiaTheme="minorEastAsia"/>
          <w:color w:val="auto"/>
          <w:spacing w:val="0"/>
          <w:sz w:val="24"/>
          <w:szCs w:val="24"/>
          <w:highlight w:val="none"/>
          <w:lang w:val="en-US" w:eastAsia="zh-CN" w:bidi="zh-CN"/>
        </w:rPr>
        <w:t>思凤溪河0.15km</w:t>
      </w:r>
      <w:r>
        <w:rPr>
          <w:rFonts w:ascii="Times New Roman" w:hAnsi="Times New Roman" w:cs="Times New Roman"/>
          <w:color w:val="auto"/>
          <w:spacing w:val="4"/>
          <w:sz w:val="24"/>
        </w:rPr>
        <w:t>。</w:t>
      </w:r>
      <w:r>
        <w:rPr>
          <w:rFonts w:hint="eastAsia" w:cs="Times New Roman" w:eastAsiaTheme="minorEastAsia"/>
          <w:color w:val="auto"/>
          <w:spacing w:val="0"/>
          <w:sz w:val="24"/>
          <w:szCs w:val="24"/>
          <w:highlight w:val="none"/>
          <w:lang w:val="en-US" w:eastAsia="zh-CN" w:bidi="zh-CN"/>
        </w:rPr>
        <w:t>思凤溪河</w:t>
      </w:r>
      <w:r>
        <w:rPr>
          <w:rFonts w:ascii="Times New Roman" w:hAnsi="Times New Roman" w:cs="Times New Roman"/>
          <w:color w:val="auto"/>
          <w:spacing w:val="4"/>
          <w:sz w:val="24"/>
        </w:rPr>
        <w:t>属《地表水环境质量标准》（GB3838-2002）中的Ⅲ类水域。</w:t>
      </w:r>
    </w:p>
    <w:p>
      <w:pPr>
        <w:jc w:val="center"/>
        <w:rPr>
          <w:rFonts w:ascii="Times New Roman" w:hAnsi="Times New Roman" w:eastAsia="宋体" w:cs="Times New Roman"/>
          <w:b/>
          <w:color w:val="auto"/>
          <w:szCs w:val="21"/>
          <w:lang w:val="en-US" w:eastAsia="zh-CN"/>
        </w:rPr>
      </w:pPr>
      <w:r>
        <w:rPr>
          <w:rFonts w:ascii="Times New Roman" w:hAnsi="Times New Roman" w:eastAsia="宋体" w:cs="Times New Roman"/>
          <w:b/>
          <w:color w:val="auto"/>
          <w:szCs w:val="21"/>
          <w:lang w:val="zh-CN"/>
        </w:rPr>
        <w:t>表</w:t>
      </w:r>
      <w:r>
        <w:rPr>
          <w:rFonts w:hint="eastAsia" w:ascii="Times New Roman" w:hAnsi="Times New Roman" w:eastAsia="宋体" w:cs="Times New Roman"/>
          <w:b/>
          <w:color w:val="auto"/>
          <w:szCs w:val="21"/>
          <w:lang w:val="en-US" w:eastAsia="zh-CN"/>
        </w:rPr>
        <w:t>5</w:t>
      </w:r>
      <w:r>
        <w:rPr>
          <w:rFonts w:hint="eastAsia" w:ascii="Times New Roman" w:hAnsi="Times New Roman" w:eastAsia="宋体" w:cs="Times New Roman"/>
          <w:b/>
          <w:color w:val="auto"/>
          <w:szCs w:val="21"/>
          <w:lang w:val="zh-CN"/>
        </w:rPr>
        <w:t>.2</w:t>
      </w:r>
      <w:r>
        <w:rPr>
          <w:rFonts w:ascii="Times New Roman" w:hAnsi="Times New Roman" w:eastAsia="宋体" w:cs="Times New Roman"/>
          <w:b/>
          <w:color w:val="auto"/>
          <w:szCs w:val="21"/>
          <w:lang w:val="zh-CN"/>
        </w:rPr>
        <w:noBreakHyphen/>
      </w:r>
      <w:r>
        <w:rPr>
          <w:rFonts w:hint="eastAsia" w:cs="Times New Roman"/>
          <w:b/>
          <w:color w:val="auto"/>
          <w:szCs w:val="21"/>
          <w:lang w:val="en-US" w:eastAsia="zh-CN"/>
        </w:rPr>
        <w:t>31</w:t>
      </w:r>
      <w:r>
        <w:rPr>
          <w:rFonts w:hint="eastAsia" w:ascii="Times New Roman" w:hAnsi="Times New Roman" w:eastAsia="宋体" w:cs="Times New Roman"/>
          <w:b/>
          <w:color w:val="auto"/>
          <w:szCs w:val="21"/>
          <w:lang w:val="en-US" w:eastAsia="zh-CN"/>
        </w:rPr>
        <w:t xml:space="preserve"> </w:t>
      </w:r>
      <w:r>
        <w:rPr>
          <w:rFonts w:ascii="Times New Roman" w:hAnsi="Times New Roman" w:eastAsia="宋体" w:cs="Times New Roman"/>
          <w:b/>
          <w:color w:val="auto"/>
          <w:szCs w:val="21"/>
          <w:lang w:val="en-US" w:eastAsia="zh-CN"/>
        </w:rPr>
        <w:t>本项目地表水基本情况</w:t>
      </w:r>
    </w:p>
    <w:tbl>
      <w:tblPr>
        <w:tblStyle w:val="89"/>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730"/>
        <w:gridCol w:w="1730"/>
        <w:gridCol w:w="1735"/>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728" w:type="dxa"/>
            <w:shd w:val="clear" w:color="auto" w:fill="auto"/>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河流名称</w:t>
            </w:r>
          </w:p>
        </w:tc>
        <w:tc>
          <w:tcPr>
            <w:tcW w:w="1730" w:type="dxa"/>
            <w:shd w:val="clear" w:color="auto" w:fill="auto"/>
            <w:tcMar>
              <w:top w:w="57" w:type="dxa"/>
              <w:left w:w="108" w:type="dxa"/>
              <w:bottom w:w="57" w:type="dxa"/>
              <w:right w:w="108" w:type="dxa"/>
            </w:tcMa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规模</w:t>
            </w:r>
          </w:p>
        </w:tc>
        <w:tc>
          <w:tcPr>
            <w:tcW w:w="1730" w:type="dxa"/>
            <w:shd w:val="clear" w:color="auto" w:fill="auto"/>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环境功能区</w:t>
            </w:r>
          </w:p>
        </w:tc>
        <w:tc>
          <w:tcPr>
            <w:tcW w:w="1735" w:type="dxa"/>
            <w:shd w:val="clear" w:color="auto" w:fill="auto"/>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方位</w:t>
            </w:r>
          </w:p>
        </w:tc>
        <w:tc>
          <w:tcPr>
            <w:tcW w:w="1732" w:type="dxa"/>
            <w:shd w:val="clear" w:color="auto" w:fill="auto"/>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距离（</w:t>
            </w:r>
            <w:r>
              <w:rPr>
                <w:rFonts w:hint="eastAsia" w:cs="Times New Roman"/>
                <w:b/>
                <w:color w:val="auto"/>
                <w:lang w:val="en-US" w:eastAsia="zh-CN"/>
              </w:rPr>
              <w:t>k</w:t>
            </w:r>
            <w:r>
              <w:rPr>
                <w:rFonts w:hint="default" w:ascii="Times New Roman" w:hAnsi="Times New Roman" w:cs="Times New Roman"/>
                <w:b/>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728" w:type="dxa"/>
            <w:shd w:val="clear" w:color="auto" w:fill="auto"/>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cs="Times New Roman"/>
                <w:color w:val="auto"/>
                <w:lang w:val="en-US" w:eastAsia="zh-CN"/>
              </w:rPr>
              <w:t>思凤溪</w:t>
            </w:r>
            <w:r>
              <w:rPr>
                <w:rFonts w:hint="eastAsia" w:ascii="Times New Roman" w:hAnsi="Times New Roman" w:eastAsia="宋体" w:cs="Times New Roman"/>
                <w:color w:val="auto"/>
                <w:lang w:val="en-US" w:eastAsia="zh-CN"/>
              </w:rPr>
              <w:t>河</w:t>
            </w:r>
          </w:p>
        </w:tc>
        <w:tc>
          <w:tcPr>
            <w:tcW w:w="1730" w:type="dxa"/>
            <w:shd w:val="clear" w:color="auto" w:fill="auto"/>
            <w:tcMar>
              <w:top w:w="57" w:type="dxa"/>
              <w:left w:w="108" w:type="dxa"/>
              <w:bottom w:w="57" w:type="dxa"/>
              <w:right w:w="108" w:type="dxa"/>
            </w:tcMar>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小河</w:t>
            </w:r>
          </w:p>
        </w:tc>
        <w:tc>
          <w:tcPr>
            <w:tcW w:w="1730" w:type="dxa"/>
            <w:shd w:val="clear" w:color="auto" w:fill="auto"/>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Ⅲ类</w:t>
            </w:r>
          </w:p>
        </w:tc>
        <w:tc>
          <w:tcPr>
            <w:tcW w:w="1735" w:type="dxa"/>
            <w:shd w:val="clear" w:color="auto" w:fill="auto"/>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西</w:t>
            </w:r>
          </w:p>
        </w:tc>
        <w:tc>
          <w:tcPr>
            <w:tcW w:w="1732" w:type="dxa"/>
            <w:shd w:val="clear" w:color="auto" w:fill="auto"/>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0.15</w:t>
            </w:r>
          </w:p>
        </w:tc>
      </w:tr>
    </w:tbl>
    <w:p>
      <w:pPr>
        <w:spacing w:line="360" w:lineRule="auto"/>
        <w:ind w:firstLine="482" w:firstLineChars="200"/>
        <w:outlineLvl w:val="4"/>
        <w:rPr>
          <w:rFonts w:hint="eastAsia" w:ascii="Times New Roman" w:hAnsi="Times New Roman" w:cs="Times New Roman"/>
          <w:b/>
          <w:color w:val="auto"/>
          <w:sz w:val="24"/>
          <w:lang w:eastAsia="zh-CN"/>
        </w:rPr>
      </w:pPr>
      <w:r>
        <w:rPr>
          <w:rFonts w:hint="eastAsia" w:cs="Times New Roman"/>
          <w:b/>
          <w:color w:val="auto"/>
          <w:sz w:val="24"/>
          <w:lang w:val="en-US" w:eastAsia="zh-CN"/>
        </w:rPr>
        <w:t>6</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eastAsia="zh-CN"/>
        </w:rPr>
        <w:t>环境风险识别</w:t>
      </w:r>
    </w:p>
    <w:p>
      <w:pPr>
        <w:jc w:val="center"/>
        <w:rPr>
          <w:rFonts w:ascii="Times New Roman" w:hAnsi="Times New Roman" w:eastAsia="宋体" w:cs="Times New Roman"/>
          <w:b/>
          <w:color w:val="auto"/>
          <w:szCs w:val="21"/>
          <w:lang w:val="zh-CN"/>
        </w:rPr>
      </w:pPr>
      <w:r>
        <w:rPr>
          <w:rFonts w:hint="eastAsia" w:ascii="Times New Roman" w:hAnsi="Times New Roman" w:eastAsia="宋体" w:cs="Times New Roman"/>
          <w:b/>
          <w:color w:val="auto"/>
          <w:szCs w:val="21"/>
          <w:lang w:val="zh-CN"/>
        </w:rPr>
        <w:t>表</w:t>
      </w:r>
      <w:r>
        <w:rPr>
          <w:rFonts w:hint="eastAsia" w:ascii="Times New Roman" w:hAnsi="Times New Roman" w:eastAsia="宋体" w:cs="Times New Roman"/>
          <w:b/>
          <w:color w:val="auto"/>
          <w:szCs w:val="21"/>
          <w:lang w:val="en-US" w:eastAsia="zh-CN"/>
        </w:rPr>
        <w:t>5.2</w:t>
      </w:r>
      <w:r>
        <w:rPr>
          <w:rFonts w:hint="eastAsia" w:ascii="Times New Roman" w:hAnsi="Times New Roman" w:eastAsia="宋体" w:cs="Times New Roman"/>
          <w:b/>
          <w:color w:val="auto"/>
          <w:szCs w:val="21"/>
          <w:lang w:val="zh-CN"/>
        </w:rPr>
        <w:t>-</w:t>
      </w:r>
      <w:r>
        <w:rPr>
          <w:rFonts w:hint="eastAsia" w:cs="Times New Roman"/>
          <w:b/>
          <w:color w:val="auto"/>
          <w:szCs w:val="21"/>
          <w:lang w:val="en-US" w:eastAsia="zh-CN"/>
        </w:rPr>
        <w:t xml:space="preserve">32 </w:t>
      </w:r>
      <w:r>
        <w:rPr>
          <w:rFonts w:hint="eastAsia" w:ascii="Times New Roman" w:hAnsi="Times New Roman" w:eastAsia="宋体" w:cs="Times New Roman"/>
          <w:b/>
          <w:color w:val="auto"/>
          <w:szCs w:val="21"/>
          <w:lang w:val="zh-CN"/>
        </w:rPr>
        <w:t>物质危险性识别</w:t>
      </w:r>
    </w:p>
    <w:tbl>
      <w:tblPr>
        <w:tblStyle w:val="89"/>
        <w:tblW w:w="9100" w:type="dxa"/>
        <w:tblInd w:w="9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 w:type="dxa"/>
          <w:bottom w:w="0" w:type="dxa"/>
          <w:right w:w="10" w:type="dxa"/>
        </w:tblCellMar>
      </w:tblPr>
      <w:tblGrid>
        <w:gridCol w:w="610"/>
        <w:gridCol w:w="1332"/>
        <w:gridCol w:w="71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284" w:hRule="atLeast"/>
        </w:trPr>
        <w:tc>
          <w:tcPr>
            <w:tcW w:w="61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rPr>
              <w:t>序号</w:t>
            </w:r>
          </w:p>
        </w:tc>
        <w:tc>
          <w:tcPr>
            <w:tcW w:w="133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rPr>
              <w:t>物料名称</w:t>
            </w:r>
          </w:p>
        </w:tc>
        <w:tc>
          <w:tcPr>
            <w:tcW w:w="71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eastAsia" w:ascii="Times New Roman" w:hAnsi="Times New Roman" w:eastAsia="宋体" w:cs="Times New Roman"/>
                <w:b/>
                <w:color w:val="auto"/>
              </w:rPr>
              <w:t>危险特性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284" w:hRule="atLeast"/>
        </w:trPr>
        <w:tc>
          <w:tcPr>
            <w:tcW w:w="61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val="en-US" w:eastAsia="zh-CN"/>
              </w:rPr>
              <w:t>1</w:t>
            </w:r>
          </w:p>
        </w:tc>
        <w:tc>
          <w:tcPr>
            <w:tcW w:w="1332"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柴油</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柴油储存间</w:t>
            </w:r>
            <w:r>
              <w:rPr>
                <w:rFonts w:hint="eastAsia" w:ascii="Times New Roman" w:hAnsi="Times New Roman" w:eastAsia="宋体" w:cs="Times New Roman"/>
                <w:color w:val="auto"/>
                <w:lang w:eastAsia="zh-CN"/>
              </w:rPr>
              <w:t>）</w:t>
            </w:r>
          </w:p>
        </w:tc>
        <w:tc>
          <w:tcPr>
            <w:tcW w:w="71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rPr>
              <w:t>易燃液体，遇明火、高热或与氧化剂接触，有引起燃烧爆炸的危险。若遇高热，容器内压增大，有开裂和爆炸的危险</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textAlignment w:val="auto"/>
        <w:outlineLvl w:val="4"/>
        <w:rPr>
          <w:rFonts w:hint="eastAsia" w:ascii="Times New Roman" w:hAnsi="Times New Roman" w:cs="Times New Roman"/>
          <w:b/>
          <w:color w:val="auto"/>
          <w:sz w:val="24"/>
          <w:lang w:eastAsia="zh-CN"/>
        </w:rPr>
      </w:pPr>
      <w:r>
        <w:rPr>
          <w:rFonts w:hint="eastAsia" w:cs="Times New Roman"/>
          <w:b/>
          <w:color w:val="auto"/>
          <w:sz w:val="24"/>
          <w:lang w:val="en-US" w:eastAsia="zh-CN"/>
        </w:rPr>
        <w:t>7</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eastAsia="zh-CN"/>
        </w:rPr>
        <w:t>环境风险分析</w:t>
      </w:r>
    </w:p>
    <w:p>
      <w:pPr>
        <w:spacing w:line="360" w:lineRule="auto"/>
        <w:ind w:firstLine="480" w:firstLineChars="200"/>
        <w:rPr>
          <w:color w:val="auto"/>
          <w:sz w:val="24"/>
        </w:rPr>
      </w:pPr>
      <w:r>
        <w:rPr>
          <w:rFonts w:hint="eastAsia" w:ascii="宋体" w:hAnsi="宋体"/>
          <w:color w:val="auto"/>
          <w:sz w:val="24"/>
        </w:rPr>
        <w:t>生产设施存在风险的系统主要包括贮运系统、生产系统，发生泄漏、火灾等风险事故。</w:t>
      </w:r>
    </w:p>
    <w:p>
      <w:pPr>
        <w:spacing w:line="360" w:lineRule="auto"/>
        <w:ind w:firstLine="480" w:firstLineChars="200"/>
        <w:rPr>
          <w:color w:val="auto"/>
          <w:sz w:val="24"/>
        </w:rPr>
      </w:pPr>
      <w:r>
        <w:rPr>
          <w:rFonts w:hint="eastAsia" w:ascii="宋体" w:hAnsi="宋体"/>
          <w:color w:val="auto"/>
          <w:sz w:val="24"/>
        </w:rPr>
        <w:t>（1）本项目化学原料（消毒剂）及柴油储存在</w:t>
      </w:r>
      <w:bookmarkStart w:id="475" w:name="OLE_LINK8"/>
      <w:bookmarkEnd w:id="475"/>
      <w:bookmarkStart w:id="476" w:name="OLE_LINK9"/>
      <w:r>
        <w:rPr>
          <w:rFonts w:hint="eastAsia" w:ascii="宋体" w:hAnsi="宋体"/>
          <w:color w:val="auto"/>
          <w:sz w:val="24"/>
        </w:rPr>
        <w:t>包装袋/桶</w:t>
      </w:r>
      <w:bookmarkEnd w:id="476"/>
      <w:r>
        <w:rPr>
          <w:rFonts w:hint="eastAsia" w:ascii="宋体" w:hAnsi="宋体"/>
          <w:color w:val="auto"/>
          <w:sz w:val="24"/>
        </w:rPr>
        <w:t>中，在储存、装卸过程中，包装袋/桶桶发生意外事故的几率很低，但仍不能排除因种种原因引起泄漏乃至火灾事故发生的可能性，因此有必要进行全面、细致的环境风险因素分析，找出事故发生的可能性，提出必要的防范措施，以利于管理部门了解事故发生的可能性，及早的消除事故隐患和预防事故的发生。</w:t>
      </w:r>
    </w:p>
    <w:p>
      <w:pPr>
        <w:spacing w:line="360" w:lineRule="auto"/>
        <w:ind w:firstLine="480" w:firstLineChars="200"/>
        <w:rPr>
          <w:rFonts w:ascii="宋体" w:hAnsi="宋体"/>
          <w:color w:val="auto"/>
          <w:sz w:val="24"/>
        </w:rPr>
      </w:pPr>
      <w:r>
        <w:rPr>
          <w:rFonts w:ascii="宋体" w:hAnsi="宋体"/>
          <w:color w:val="auto"/>
          <w:sz w:val="24"/>
        </w:rPr>
        <w:fldChar w:fldCharType="begin"/>
      </w:r>
      <w:r>
        <w:rPr>
          <w:rFonts w:hint="eastAsia" w:ascii="宋体" w:hAnsi="宋体"/>
          <w:color w:val="auto"/>
          <w:sz w:val="24"/>
        </w:rPr>
        <w:instrText xml:space="preserve">= 1 \* GB3</w:instrText>
      </w:r>
      <w:r>
        <w:rPr>
          <w:rFonts w:ascii="宋体" w:hAnsi="宋体"/>
          <w:color w:val="auto"/>
          <w:sz w:val="24"/>
        </w:rPr>
        <w:fldChar w:fldCharType="separate"/>
      </w:r>
      <w:r>
        <w:rPr>
          <w:rFonts w:hint="eastAsia" w:ascii="宋体" w:hAnsi="宋体"/>
          <w:color w:val="auto"/>
          <w:sz w:val="24"/>
        </w:rPr>
        <w:t>①</w:t>
      </w:r>
      <w:r>
        <w:rPr>
          <w:rFonts w:ascii="宋体" w:hAnsi="宋体"/>
          <w:color w:val="auto"/>
          <w:sz w:val="24"/>
        </w:rPr>
        <w:fldChar w:fldCharType="end"/>
      </w:r>
      <w:r>
        <w:rPr>
          <w:rFonts w:hint="eastAsia" w:ascii="宋体" w:hAnsi="宋体"/>
          <w:color w:val="auto"/>
          <w:sz w:val="24"/>
        </w:rPr>
        <w:t>材料缺陷：是指因材料本身有划痕、擦伤、砂眼等瑕疵。而最终导致泄漏的情况。</w:t>
      </w:r>
      <w:r>
        <w:rPr>
          <w:rFonts w:ascii="宋体" w:hAnsi="宋体"/>
          <w:color w:val="auto"/>
          <w:sz w:val="24"/>
        </w:rPr>
        <w:fldChar w:fldCharType="begin"/>
      </w:r>
      <w:r>
        <w:rPr>
          <w:rFonts w:hint="eastAsia" w:ascii="宋体" w:hAnsi="宋体"/>
          <w:color w:val="auto"/>
          <w:sz w:val="24"/>
        </w:rPr>
        <w:instrText xml:space="preserve">= 2 \* GB3</w:instrText>
      </w:r>
      <w:r>
        <w:rPr>
          <w:rFonts w:ascii="宋体" w:hAnsi="宋体"/>
          <w:color w:val="auto"/>
          <w:sz w:val="24"/>
        </w:rPr>
        <w:fldChar w:fldCharType="separate"/>
      </w:r>
      <w:r>
        <w:rPr>
          <w:rFonts w:hint="eastAsia" w:ascii="宋体" w:hAnsi="宋体"/>
          <w:color w:val="auto"/>
          <w:sz w:val="24"/>
        </w:rPr>
        <w:t>②</w:t>
      </w:r>
      <w:r>
        <w:rPr>
          <w:rFonts w:ascii="宋体" w:hAnsi="宋体"/>
          <w:color w:val="auto"/>
          <w:sz w:val="24"/>
        </w:rPr>
        <w:fldChar w:fldCharType="end"/>
      </w:r>
      <w:r>
        <w:rPr>
          <w:rFonts w:hint="eastAsia" w:ascii="宋体" w:hAnsi="宋体"/>
          <w:color w:val="auto"/>
          <w:sz w:val="24"/>
        </w:rPr>
        <w:t>腐蚀：是指由于各种原因造成的包装袋/桶内、外壁的腐蚀，引起泄漏的情况。</w:t>
      </w:r>
      <w:r>
        <w:rPr>
          <w:rFonts w:ascii="宋体" w:hAnsi="宋体"/>
          <w:color w:val="auto"/>
          <w:sz w:val="24"/>
        </w:rPr>
        <w:fldChar w:fldCharType="begin"/>
      </w:r>
      <w:r>
        <w:rPr>
          <w:rFonts w:hint="eastAsia" w:ascii="宋体" w:hAnsi="宋体"/>
          <w:color w:val="auto"/>
          <w:sz w:val="24"/>
        </w:rPr>
        <w:instrText xml:space="preserve">= 3 \* GB3</w:instrText>
      </w:r>
      <w:r>
        <w:rPr>
          <w:rFonts w:ascii="宋体" w:hAnsi="宋体"/>
          <w:color w:val="auto"/>
          <w:sz w:val="24"/>
        </w:rPr>
        <w:fldChar w:fldCharType="separate"/>
      </w:r>
      <w:r>
        <w:rPr>
          <w:rFonts w:hint="eastAsia" w:ascii="宋体" w:hAnsi="宋体"/>
          <w:color w:val="auto"/>
          <w:sz w:val="24"/>
        </w:rPr>
        <w:t>③</w:t>
      </w:r>
      <w:r>
        <w:rPr>
          <w:rFonts w:ascii="宋体" w:hAnsi="宋体"/>
          <w:color w:val="auto"/>
          <w:sz w:val="24"/>
        </w:rPr>
        <w:fldChar w:fldCharType="end"/>
      </w:r>
      <w:r>
        <w:rPr>
          <w:rFonts w:hint="eastAsia" w:ascii="宋体" w:hAnsi="宋体"/>
          <w:color w:val="auto"/>
          <w:sz w:val="24"/>
        </w:rPr>
        <w:t>违规操作：主要是指由于人为破坏的情况，其中主要为其他项目施工时的影响。</w:t>
      </w:r>
      <w:r>
        <w:rPr>
          <w:rFonts w:ascii="宋体" w:hAnsi="宋体"/>
          <w:color w:val="auto"/>
          <w:sz w:val="24"/>
        </w:rPr>
        <w:fldChar w:fldCharType="begin"/>
      </w:r>
      <w:r>
        <w:rPr>
          <w:rFonts w:hint="eastAsia" w:ascii="宋体" w:hAnsi="宋体"/>
          <w:color w:val="auto"/>
          <w:sz w:val="24"/>
        </w:rPr>
        <w:instrText xml:space="preserve">= 4 \* GB3</w:instrText>
      </w:r>
      <w:r>
        <w:rPr>
          <w:rFonts w:ascii="宋体" w:hAnsi="宋体"/>
          <w:color w:val="auto"/>
          <w:sz w:val="24"/>
        </w:rPr>
        <w:fldChar w:fldCharType="separate"/>
      </w:r>
      <w:r>
        <w:rPr>
          <w:rFonts w:hint="eastAsia" w:ascii="宋体" w:hAnsi="宋体"/>
          <w:color w:val="auto"/>
          <w:sz w:val="24"/>
        </w:rPr>
        <w:t>④</w:t>
      </w:r>
      <w:r>
        <w:rPr>
          <w:rFonts w:ascii="宋体" w:hAnsi="宋体"/>
          <w:color w:val="auto"/>
          <w:sz w:val="24"/>
        </w:rPr>
        <w:fldChar w:fldCharType="end"/>
      </w:r>
      <w:r>
        <w:rPr>
          <w:rFonts w:hint="eastAsia" w:ascii="宋体" w:hAnsi="宋体"/>
          <w:color w:val="auto"/>
          <w:sz w:val="24"/>
        </w:rPr>
        <w:t>自然因素：是指由于地震、洪水、飓风、开春时地面下沉等自然原因而造成的损坏。</w:t>
      </w:r>
      <w:r>
        <w:rPr>
          <w:rFonts w:ascii="宋体" w:hAnsi="宋体"/>
          <w:color w:val="auto"/>
          <w:sz w:val="24"/>
        </w:rPr>
        <w:fldChar w:fldCharType="begin"/>
      </w:r>
      <w:r>
        <w:rPr>
          <w:rFonts w:hint="eastAsia" w:ascii="宋体" w:hAnsi="宋体"/>
          <w:color w:val="auto"/>
          <w:sz w:val="24"/>
        </w:rPr>
        <w:instrText xml:space="preserve">= 5 \* GB3</w:instrText>
      </w:r>
      <w:r>
        <w:rPr>
          <w:rFonts w:ascii="宋体" w:hAnsi="宋体"/>
          <w:color w:val="auto"/>
          <w:sz w:val="24"/>
        </w:rPr>
        <w:fldChar w:fldCharType="separate"/>
      </w:r>
      <w:r>
        <w:rPr>
          <w:rFonts w:hint="eastAsia" w:ascii="宋体" w:hAnsi="宋体"/>
          <w:color w:val="auto"/>
          <w:sz w:val="24"/>
        </w:rPr>
        <w:t>⑤</w:t>
      </w:r>
      <w:r>
        <w:rPr>
          <w:rFonts w:ascii="宋体" w:hAnsi="宋体"/>
          <w:color w:val="auto"/>
          <w:sz w:val="24"/>
        </w:rPr>
        <w:fldChar w:fldCharType="end"/>
      </w:r>
      <w:r>
        <w:rPr>
          <w:rFonts w:hint="eastAsia" w:ascii="宋体" w:hAnsi="宋体"/>
          <w:color w:val="auto"/>
          <w:sz w:val="24"/>
        </w:rPr>
        <w:t>夏季高温期间如防护措施不力或冷却降温系统发生故障，易引发易燃液体物料的火灾、爆炸。</w:t>
      </w:r>
    </w:p>
    <w:p>
      <w:pPr>
        <w:spacing w:line="360" w:lineRule="auto"/>
        <w:ind w:firstLine="480" w:firstLineChars="200"/>
        <w:rPr>
          <w:rFonts w:ascii="宋体" w:hAnsi="宋体"/>
          <w:color w:val="auto"/>
          <w:sz w:val="24"/>
        </w:rPr>
      </w:pPr>
      <w:r>
        <w:rPr>
          <w:rFonts w:hint="eastAsia" w:ascii="宋体" w:hAnsi="宋体"/>
          <w:color w:val="auto"/>
          <w:sz w:val="24"/>
        </w:rPr>
        <w:t>（2）废水收集系统事故排放影响分析：若畜禽养殖废水池体发生泄漏事故，及时将粪污引至最近的其他池体，小部分污水将以无组织的漫流形式缓慢流向地势相对低洼的雨水塘，受厂区建筑物及绿化作物等根系及土壤的截留作用，预计粪污直接进入</w:t>
      </w:r>
      <w:r>
        <w:rPr>
          <w:rFonts w:hint="eastAsia" w:ascii="宋体" w:hAnsi="宋体"/>
          <w:color w:val="auto"/>
          <w:sz w:val="24"/>
          <w:lang w:val="en-US" w:eastAsia="zh-CN"/>
        </w:rPr>
        <w:t>思凤溪河</w:t>
      </w:r>
      <w:r>
        <w:rPr>
          <w:rFonts w:hint="eastAsia" w:ascii="宋体" w:hAnsi="宋体"/>
          <w:color w:val="auto"/>
          <w:sz w:val="24"/>
        </w:rPr>
        <w:t>的机率较小，产生地表水污染的可能性不大。</w:t>
      </w:r>
    </w:p>
    <w:p>
      <w:pPr>
        <w:spacing w:line="360" w:lineRule="auto"/>
        <w:ind w:firstLine="482" w:firstLineChars="200"/>
        <w:outlineLvl w:val="4"/>
        <w:rPr>
          <w:rFonts w:hint="eastAsia" w:ascii="Times New Roman" w:hAnsi="Times New Roman" w:cs="Times New Roman"/>
          <w:b/>
          <w:color w:val="auto"/>
          <w:sz w:val="24"/>
          <w:lang w:eastAsia="zh-CN"/>
        </w:rPr>
      </w:pPr>
      <w:r>
        <w:rPr>
          <w:rFonts w:hint="eastAsia" w:cs="Times New Roman"/>
          <w:b/>
          <w:color w:val="auto"/>
          <w:sz w:val="24"/>
          <w:lang w:val="en-US" w:eastAsia="zh-CN"/>
        </w:rPr>
        <w:t>8</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eastAsia="zh-CN"/>
        </w:rPr>
        <w:t>环境风险管理措施及应急要求</w:t>
      </w:r>
    </w:p>
    <w:p>
      <w:pPr>
        <w:tabs>
          <w:tab w:val="left" w:pos="1220"/>
        </w:tabs>
        <w:spacing w:line="360" w:lineRule="auto"/>
        <w:ind w:firstLine="504" w:firstLineChars="210"/>
        <w:rPr>
          <w:color w:val="auto"/>
          <w:sz w:val="24"/>
        </w:rPr>
      </w:pPr>
      <w:r>
        <w:rPr>
          <w:rFonts w:hint="eastAsia"/>
          <w:color w:val="auto"/>
          <w:sz w:val="24"/>
        </w:rPr>
        <w:t>1、</w:t>
      </w:r>
      <w:r>
        <w:rPr>
          <w:rFonts w:hint="eastAsia" w:ascii="宋体" w:hAnsi="宋体"/>
          <w:color w:val="auto"/>
          <w:sz w:val="24"/>
        </w:rPr>
        <w:t>消毒液泄漏环境风险及防范措施</w:t>
      </w:r>
    </w:p>
    <w:p>
      <w:pPr>
        <w:tabs>
          <w:tab w:val="left" w:pos="1220"/>
        </w:tabs>
        <w:spacing w:line="360" w:lineRule="auto"/>
        <w:ind w:firstLine="480" w:firstLineChars="200"/>
        <w:rPr>
          <w:color w:val="auto"/>
          <w:sz w:val="24"/>
        </w:rPr>
      </w:pPr>
      <w:r>
        <w:rPr>
          <w:rFonts w:hint="eastAsia"/>
          <w:color w:val="auto"/>
          <w:sz w:val="24"/>
        </w:rPr>
        <w:t>项目</w:t>
      </w:r>
      <w:r>
        <w:rPr>
          <w:rFonts w:hint="eastAsia"/>
          <w:color w:val="auto"/>
          <w:sz w:val="24"/>
          <w:lang w:eastAsia="zh-CN"/>
        </w:rPr>
        <w:t>牛</w:t>
      </w:r>
      <w:r>
        <w:rPr>
          <w:rFonts w:hint="eastAsia"/>
          <w:color w:val="auto"/>
          <w:sz w:val="24"/>
        </w:rPr>
        <w:t>场消毒需要使用到的消毒液有84消毒液。84消毒液年使用约500瓶，项目内储存量不大，最大储存量约100瓶（0.5L/瓶），远小于突发环境事件风险物质临界量（次氯酸钠5t），不构成危险。</w:t>
      </w:r>
    </w:p>
    <w:p>
      <w:pPr>
        <w:tabs>
          <w:tab w:val="left" w:pos="1220"/>
        </w:tabs>
        <w:spacing w:line="360" w:lineRule="auto"/>
        <w:ind w:firstLine="504" w:firstLineChars="210"/>
        <w:rPr>
          <w:color w:val="auto"/>
          <w:sz w:val="24"/>
        </w:rPr>
      </w:pPr>
      <w:r>
        <w:rPr>
          <w:rFonts w:hint="eastAsia"/>
          <w:color w:val="auto"/>
          <w:sz w:val="24"/>
        </w:rPr>
        <w:t>84消毒液是一种以次氯酸钠为主的高效消毒剂，主要成分为次氯酸钠（NaClO）。无色或淡黄色液体，有效氯含量5.5～6.5%。被广泛用于宾馆、旅游、医院、食品加工行业、家庭等的卫生消毒，且具有刺激性气味。次氯酸钠危险性类别：腐蚀品。侵入途径：吸入、食入、皮肤接触吸收。健康危害：经常用手接触本品的工人，手掌大量出汗，指甲变薄，毛发脱落。本品有致敏作用。本品放出的氯气有可能引起中毒。环境危害：无明显污染。燃爆危险：本品不燃，具腐蚀性，可致人体灼伤，具有致敏性。</w:t>
      </w:r>
    </w:p>
    <w:p>
      <w:pPr>
        <w:tabs>
          <w:tab w:val="left" w:pos="1220"/>
        </w:tabs>
        <w:spacing w:line="360" w:lineRule="auto"/>
        <w:ind w:firstLine="504" w:firstLineChars="210"/>
        <w:rPr>
          <w:color w:val="auto"/>
          <w:sz w:val="24"/>
        </w:rPr>
      </w:pPr>
      <w:r>
        <w:rPr>
          <w:rFonts w:hint="eastAsia"/>
          <w:color w:val="auto"/>
          <w:sz w:val="24"/>
        </w:rPr>
        <w:t>（1）设置专门的消毒剂药品储存室，派专人管理；</w:t>
      </w:r>
    </w:p>
    <w:p>
      <w:pPr>
        <w:tabs>
          <w:tab w:val="left" w:pos="1220"/>
        </w:tabs>
        <w:spacing w:line="360" w:lineRule="auto"/>
        <w:ind w:firstLine="504" w:firstLineChars="210"/>
        <w:rPr>
          <w:color w:val="auto"/>
          <w:sz w:val="24"/>
        </w:rPr>
      </w:pPr>
      <w:r>
        <w:rPr>
          <w:rFonts w:hint="eastAsia"/>
          <w:color w:val="auto"/>
          <w:sz w:val="24"/>
        </w:rPr>
        <w:t>（2）定期检查消毒剂包装是否有破损，发现破损及时处理；</w:t>
      </w:r>
    </w:p>
    <w:p>
      <w:pPr>
        <w:tabs>
          <w:tab w:val="left" w:pos="1220"/>
        </w:tabs>
        <w:spacing w:line="360" w:lineRule="auto"/>
        <w:ind w:firstLine="504" w:firstLineChars="210"/>
        <w:rPr>
          <w:color w:val="auto"/>
          <w:sz w:val="24"/>
        </w:rPr>
      </w:pPr>
      <w:r>
        <w:rPr>
          <w:rFonts w:hint="eastAsia"/>
          <w:color w:val="auto"/>
          <w:sz w:val="24"/>
        </w:rPr>
        <w:t>2、柴油泄露环境风险及防范措</w:t>
      </w:r>
    </w:p>
    <w:p>
      <w:pPr>
        <w:tabs>
          <w:tab w:val="left" w:pos="1220"/>
        </w:tabs>
        <w:spacing w:line="360" w:lineRule="auto"/>
        <w:ind w:firstLine="504" w:firstLineChars="210"/>
        <w:rPr>
          <w:color w:val="auto"/>
          <w:sz w:val="24"/>
        </w:rPr>
      </w:pPr>
      <w:r>
        <w:rPr>
          <w:rFonts w:hint="eastAsia"/>
          <w:color w:val="auto"/>
          <w:sz w:val="24"/>
        </w:rPr>
        <w:t>（1）污水处理设施事故风险防范措施</w:t>
      </w:r>
    </w:p>
    <w:p>
      <w:pPr>
        <w:tabs>
          <w:tab w:val="left" w:pos="1220"/>
        </w:tabs>
        <w:spacing w:line="360" w:lineRule="auto"/>
        <w:ind w:firstLine="504" w:firstLineChars="210"/>
        <w:rPr>
          <w:color w:val="auto"/>
          <w:sz w:val="24"/>
        </w:rPr>
      </w:pPr>
      <w:r>
        <w:rPr>
          <w:rFonts w:hint="eastAsia"/>
          <w:color w:val="auto"/>
          <w:sz w:val="24"/>
        </w:rPr>
        <w:t>项目柴油储存间储油量较少约0.</w:t>
      </w:r>
      <w:r>
        <w:rPr>
          <w:rFonts w:hint="eastAsia"/>
          <w:color w:val="auto"/>
          <w:sz w:val="24"/>
          <w:lang w:val="en-US" w:eastAsia="zh-CN"/>
        </w:rPr>
        <w:t>2</w:t>
      </w:r>
      <w:r>
        <w:rPr>
          <w:rFonts w:hint="eastAsia"/>
          <w:color w:val="auto"/>
          <w:sz w:val="24"/>
        </w:rPr>
        <w:t>t，为防止柴油泄漏事故对地下水造成影响，拟采取地面重点防渗：采用防渗级混凝土，并设置20cm高围堰，抑制柴油渗漏对外环境的影响。</w:t>
      </w:r>
    </w:p>
    <w:p>
      <w:pPr>
        <w:tabs>
          <w:tab w:val="left" w:pos="1220"/>
        </w:tabs>
        <w:spacing w:line="360" w:lineRule="auto"/>
        <w:ind w:firstLine="504" w:firstLineChars="210"/>
        <w:rPr>
          <w:color w:val="auto"/>
          <w:sz w:val="24"/>
        </w:rPr>
      </w:pPr>
      <w:r>
        <w:rPr>
          <w:rFonts w:hint="eastAsia"/>
          <w:color w:val="auto"/>
          <w:sz w:val="24"/>
        </w:rPr>
        <w:t>3、废水事故渗漏风险影响分析</w:t>
      </w:r>
    </w:p>
    <w:p>
      <w:pPr>
        <w:tabs>
          <w:tab w:val="left" w:pos="1220"/>
        </w:tabs>
        <w:spacing w:line="360" w:lineRule="auto"/>
        <w:ind w:firstLine="504" w:firstLineChars="210"/>
        <w:rPr>
          <w:color w:val="auto"/>
          <w:sz w:val="24"/>
        </w:rPr>
      </w:pPr>
      <w:r>
        <w:rPr>
          <w:rFonts w:hint="eastAsia"/>
          <w:color w:val="auto"/>
          <w:sz w:val="24"/>
        </w:rPr>
        <w:t>（1）为防止</w:t>
      </w:r>
      <w:r>
        <w:rPr>
          <w:rFonts w:hint="eastAsia" w:ascii="Calibri" w:hAnsi="Calibri"/>
          <w:color w:val="auto"/>
          <w:sz w:val="24"/>
        </w:rPr>
        <w:t>畜禽养殖废水池体</w:t>
      </w:r>
      <w:r>
        <w:rPr>
          <w:rFonts w:hint="eastAsia"/>
          <w:color w:val="auto"/>
          <w:sz w:val="24"/>
        </w:rPr>
        <w:t>发生泄漏，首先在土建施工中强化厂区设计、施工管理与监督，各粪污池体以及污水管道等设施的建设质量可靠。各种设备应由经过技术培训的施工人员安装。</w:t>
      </w:r>
    </w:p>
    <w:p>
      <w:pPr>
        <w:tabs>
          <w:tab w:val="left" w:pos="1220"/>
        </w:tabs>
        <w:spacing w:line="360" w:lineRule="auto"/>
        <w:ind w:firstLine="504" w:firstLineChars="210"/>
        <w:rPr>
          <w:color w:val="auto"/>
          <w:sz w:val="24"/>
        </w:rPr>
      </w:pPr>
      <w:r>
        <w:rPr>
          <w:rFonts w:hint="eastAsia"/>
          <w:color w:val="auto"/>
          <w:sz w:val="24"/>
        </w:rPr>
        <w:t>其次要求各粪污池体基扎实稳定，做好防渗措施。对于污水输送管道，采用耐腐蚀耐风化的</w:t>
      </w:r>
      <w:r>
        <w:rPr>
          <w:color w:val="auto"/>
          <w:sz w:val="24"/>
        </w:rPr>
        <w:t>PVC</w:t>
      </w:r>
      <w:r>
        <w:rPr>
          <w:rFonts w:hint="eastAsia"/>
          <w:color w:val="auto"/>
          <w:sz w:val="24"/>
        </w:rPr>
        <w:t>管进行敷设，并安排专人进行日常巡查和监管，一旦发生泄漏及时进行维修或更换。</w:t>
      </w:r>
    </w:p>
    <w:p>
      <w:pPr>
        <w:tabs>
          <w:tab w:val="left" w:pos="1220"/>
        </w:tabs>
        <w:spacing w:line="360" w:lineRule="auto"/>
        <w:ind w:firstLine="504" w:firstLineChars="210"/>
        <w:rPr>
          <w:color w:val="auto"/>
          <w:sz w:val="24"/>
        </w:rPr>
      </w:pPr>
      <w:r>
        <w:rPr>
          <w:rFonts w:hint="eastAsia"/>
          <w:color w:val="auto"/>
          <w:sz w:val="24"/>
        </w:rPr>
        <w:t>营运期间加强对各粪污池体的管理，每日进行巡视，发现池体开裂或其他异常时，及时报告，停止使用，将废水转移至最近的其他池体，进行维修。</w:t>
      </w:r>
    </w:p>
    <w:p>
      <w:pPr>
        <w:tabs>
          <w:tab w:val="left" w:pos="1220"/>
        </w:tabs>
        <w:spacing w:line="360" w:lineRule="auto"/>
        <w:ind w:firstLine="504" w:firstLineChars="210"/>
        <w:rPr>
          <w:color w:val="auto"/>
          <w:sz w:val="24"/>
        </w:rPr>
      </w:pPr>
      <w:r>
        <w:rPr>
          <w:rFonts w:hint="eastAsia"/>
          <w:color w:val="auto"/>
          <w:sz w:val="24"/>
        </w:rPr>
        <w:t>（2）应急要求</w:t>
      </w:r>
    </w:p>
    <w:p>
      <w:pPr>
        <w:tabs>
          <w:tab w:val="left" w:pos="1220"/>
        </w:tabs>
        <w:spacing w:line="360" w:lineRule="auto"/>
        <w:ind w:firstLine="504" w:firstLineChars="210"/>
        <w:rPr>
          <w:color w:val="auto"/>
          <w:sz w:val="24"/>
        </w:rPr>
      </w:pPr>
      <w:r>
        <w:rPr>
          <w:rFonts w:hint="eastAsia"/>
          <w:color w:val="auto"/>
          <w:sz w:val="24"/>
        </w:rPr>
        <w:t>当发生废水泄漏事故时，厂内应急小组应迅速采取堵漏措施，迅速切断事故源头，尽快维修处理装置，并将污水用专用管道排送（引流）至场内最近其他粪污收集池体，阻截污水进入下游水体（</w:t>
      </w:r>
      <w:r>
        <w:rPr>
          <w:rFonts w:hint="eastAsia"/>
          <w:color w:val="auto"/>
          <w:sz w:val="24"/>
          <w:lang w:val="en-US" w:eastAsia="zh-CN"/>
        </w:rPr>
        <w:t>思凤溪河</w:t>
      </w:r>
      <w:r>
        <w:rPr>
          <w:rFonts w:hint="eastAsia"/>
          <w:color w:val="auto"/>
          <w:sz w:val="24"/>
        </w:rPr>
        <w:t>）等外环境的通道。设施设备正常后，采用污水泵对污水进行回收，将其导入</w:t>
      </w:r>
      <w:r>
        <w:rPr>
          <w:rFonts w:hint="eastAsia"/>
          <w:color w:val="auto"/>
          <w:sz w:val="24"/>
          <w:lang w:val="en-US" w:eastAsia="zh-CN"/>
        </w:rPr>
        <w:t>发酵床</w:t>
      </w:r>
      <w:r>
        <w:rPr>
          <w:rFonts w:hint="eastAsia"/>
          <w:color w:val="auto"/>
          <w:sz w:val="24"/>
        </w:rPr>
        <w:t>进行处理。</w:t>
      </w:r>
    </w:p>
    <w:p>
      <w:pPr>
        <w:spacing w:line="360" w:lineRule="auto"/>
        <w:ind w:firstLine="482" w:firstLineChars="200"/>
        <w:outlineLvl w:val="4"/>
        <w:rPr>
          <w:rFonts w:hint="eastAsia" w:ascii="Times New Roman" w:hAnsi="Times New Roman" w:cs="Times New Roman"/>
          <w:b/>
          <w:color w:val="auto"/>
          <w:sz w:val="24"/>
          <w:lang w:eastAsia="zh-CN"/>
        </w:rPr>
      </w:pPr>
      <w:r>
        <w:rPr>
          <w:rFonts w:hint="eastAsia" w:cs="Times New Roman"/>
          <w:b/>
          <w:color w:val="auto"/>
          <w:sz w:val="24"/>
          <w:lang w:val="en-US" w:eastAsia="zh-CN"/>
        </w:rPr>
        <w:t>9</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eastAsia="zh-CN"/>
        </w:rPr>
        <w:t>分析结论</w:t>
      </w:r>
    </w:p>
    <w:p>
      <w:pPr>
        <w:pStyle w:val="1256"/>
        <w:spacing w:line="360" w:lineRule="auto"/>
        <w:ind w:firstLine="480"/>
        <w:rPr>
          <w:rFonts w:eastAsiaTheme="minorEastAsia"/>
          <w:color w:val="auto"/>
        </w:rPr>
      </w:pPr>
      <w:r>
        <w:rPr>
          <w:rFonts w:hint="eastAsia" w:eastAsiaTheme="minorEastAsia"/>
          <w:color w:val="auto"/>
        </w:rPr>
        <w:t>本项目不构成重大危险源，项目营运过程中严格执行“三同时”制度，落实本报告提出的各项措施、建立和落实各项风险预警防范措施、环境风险削减措施和事故应急计划，杜绝重大安全事故和重大环境污染事故的发生，可使项目建成后风险水平处于可接受程度，从风险角度而言，本项目建设是可行的。</w:t>
      </w:r>
    </w:p>
    <w:p>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表5.2-</w:t>
      </w:r>
      <w:r>
        <w:rPr>
          <w:rFonts w:hint="eastAsia" w:cs="Times New Roman"/>
          <w:b/>
          <w:color w:val="auto"/>
          <w:szCs w:val="21"/>
          <w:lang w:val="en-US" w:eastAsia="zh-CN"/>
        </w:rPr>
        <w:t xml:space="preserve">33 </w:t>
      </w:r>
      <w:r>
        <w:rPr>
          <w:rFonts w:hint="eastAsia" w:ascii="Times New Roman" w:hAnsi="Times New Roman" w:eastAsia="宋体" w:cs="Times New Roman"/>
          <w:b/>
          <w:color w:val="auto"/>
          <w:szCs w:val="21"/>
          <w:lang w:val="en-US" w:eastAsia="zh-CN"/>
        </w:rPr>
        <w:t>建设项目环境风险简单分析内容表</w:t>
      </w:r>
    </w:p>
    <w:tbl>
      <w:tblPr>
        <w:tblStyle w:val="90"/>
        <w:tblW w:w="894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793"/>
        <w:gridCol w:w="1230"/>
        <w:gridCol w:w="1230"/>
        <w:gridCol w:w="1230"/>
        <w:gridCol w:w="1230"/>
        <w:gridCol w:w="12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793"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建设项目名称</w:t>
            </w:r>
          </w:p>
        </w:tc>
        <w:tc>
          <w:tcPr>
            <w:tcW w:w="6155" w:type="dxa"/>
            <w:gridSpan w:val="5"/>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eastAsia="zh-CN"/>
              </w:rPr>
            </w:pPr>
            <w:r>
              <w:rPr>
                <w:rFonts w:hint="eastAsia" w:eastAsiaTheme="minorEastAsia"/>
                <w:color w:val="auto"/>
                <w:sz w:val="21"/>
                <w:szCs w:val="21"/>
                <w:lang w:eastAsia="zh-CN"/>
              </w:rPr>
              <w:t>恩阳区群乐镇坳盘村巴山肉牛育肥场项目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793"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建设地点</w:t>
            </w:r>
          </w:p>
        </w:tc>
        <w:tc>
          <w:tcPr>
            <w:tcW w:w="1230"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（四川）省</w:t>
            </w:r>
          </w:p>
        </w:tc>
        <w:tc>
          <w:tcPr>
            <w:tcW w:w="1230"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w:t>
            </w:r>
            <w:r>
              <w:rPr>
                <w:rFonts w:hint="eastAsia" w:eastAsiaTheme="minorEastAsia"/>
                <w:color w:val="auto"/>
                <w:sz w:val="21"/>
                <w:szCs w:val="21"/>
                <w:lang w:val="en-US" w:eastAsia="zh-CN"/>
              </w:rPr>
              <w:t>巴中</w:t>
            </w:r>
            <w:r>
              <w:rPr>
                <w:rFonts w:hint="default" w:eastAsiaTheme="minorEastAsia"/>
                <w:color w:val="auto"/>
                <w:sz w:val="21"/>
                <w:szCs w:val="21"/>
              </w:rPr>
              <w:t>）市</w:t>
            </w:r>
          </w:p>
        </w:tc>
        <w:tc>
          <w:tcPr>
            <w:tcW w:w="1230"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val="en-US" w:eastAsia="zh-CN"/>
              </w:rPr>
            </w:pPr>
            <w:r>
              <w:rPr>
                <w:rFonts w:hint="default" w:eastAsiaTheme="minorEastAsia"/>
                <w:color w:val="auto"/>
                <w:sz w:val="21"/>
                <w:szCs w:val="21"/>
              </w:rPr>
              <w:t>（</w:t>
            </w:r>
            <w:r>
              <w:rPr>
                <w:rFonts w:hint="eastAsia" w:eastAsiaTheme="minorEastAsia"/>
                <w:color w:val="auto"/>
                <w:sz w:val="21"/>
                <w:szCs w:val="21"/>
                <w:lang w:val="en-US" w:eastAsia="zh-CN"/>
              </w:rPr>
              <w:t>恩阳</w:t>
            </w:r>
            <w:r>
              <w:rPr>
                <w:rFonts w:hint="default" w:eastAsiaTheme="minorEastAsia"/>
                <w:color w:val="auto"/>
                <w:sz w:val="21"/>
                <w:szCs w:val="21"/>
              </w:rPr>
              <w:t>）</w:t>
            </w:r>
            <w:r>
              <w:rPr>
                <w:rFonts w:hint="eastAsia" w:eastAsiaTheme="minorEastAsia"/>
                <w:color w:val="auto"/>
                <w:sz w:val="21"/>
                <w:szCs w:val="21"/>
                <w:lang w:val="en-US" w:eastAsia="zh-CN"/>
              </w:rPr>
              <w:t>区</w:t>
            </w:r>
          </w:p>
        </w:tc>
        <w:tc>
          <w:tcPr>
            <w:tcW w:w="1230"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r>
              <w:rPr>
                <w:rFonts w:hint="eastAsia" w:cs="Times New Roman" w:eastAsiaTheme="minorEastAsia"/>
                <w:color w:val="auto"/>
                <w:sz w:val="21"/>
                <w:szCs w:val="21"/>
                <w:lang w:val="en-US" w:eastAsia="zh-CN"/>
              </w:rPr>
              <w:t>群乐</w:t>
            </w:r>
            <w:r>
              <w:rPr>
                <w:rFonts w:hint="default" w:ascii="Times New Roman" w:hAnsi="Times New Roman" w:cs="Times New Roman" w:eastAsiaTheme="minorEastAsia"/>
                <w:color w:val="auto"/>
                <w:sz w:val="21"/>
                <w:szCs w:val="21"/>
              </w:rPr>
              <w:t>）</w:t>
            </w:r>
            <w:r>
              <w:rPr>
                <w:rFonts w:hint="eastAsia" w:ascii="Times New Roman" w:hAnsi="Times New Roman" w:cs="Times New Roman" w:eastAsiaTheme="minorEastAsia"/>
                <w:color w:val="auto"/>
                <w:sz w:val="21"/>
                <w:szCs w:val="21"/>
                <w:lang w:val="en-US" w:eastAsia="zh-CN"/>
              </w:rPr>
              <w:t>镇</w:t>
            </w:r>
          </w:p>
        </w:tc>
        <w:tc>
          <w:tcPr>
            <w:tcW w:w="1235"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w:t>
            </w:r>
            <w:r>
              <w:rPr>
                <w:rFonts w:hint="eastAsia" w:ascii="Times New Roman"/>
                <w:color w:val="auto"/>
                <w:sz w:val="21"/>
                <w:szCs w:val="21"/>
              </w:rPr>
              <w:t>坳盘村</w:t>
            </w:r>
            <w:r>
              <w:rPr>
                <w:rFonts w:hint="eastAsia"/>
                <w:color w:val="auto"/>
                <w:sz w:val="21"/>
                <w:szCs w:val="21"/>
                <w:lang w:val="en-US" w:eastAsia="zh-CN"/>
              </w:rPr>
              <w:t>2</w:t>
            </w:r>
            <w:r>
              <w:rPr>
                <w:rFonts w:hint="default" w:ascii="Times New Roman" w:hAnsi="Times New Roman" w:cs="Times New Roman" w:eastAsiaTheme="minorEastAsia"/>
                <w:color w:val="auto"/>
                <w:sz w:val="21"/>
                <w:szCs w:val="21"/>
              </w:rPr>
              <w:t>）</w:t>
            </w:r>
            <w:r>
              <w:rPr>
                <w:rFonts w:hint="eastAsia" w:cs="Times New Roman" w:eastAsiaTheme="minorEastAsia"/>
                <w:color w:val="auto"/>
                <w:sz w:val="21"/>
                <w:szCs w:val="21"/>
                <w:lang w:val="en-US" w:eastAsia="zh-CN"/>
              </w:rPr>
              <w:t>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793"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地理坐标</w:t>
            </w:r>
          </w:p>
        </w:tc>
        <w:tc>
          <w:tcPr>
            <w:tcW w:w="1230"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经度</w:t>
            </w:r>
          </w:p>
        </w:tc>
        <w:tc>
          <w:tcPr>
            <w:tcW w:w="1230"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eastAsia" w:eastAsiaTheme="minorEastAsia"/>
                <w:color w:val="auto"/>
                <w:sz w:val="21"/>
                <w:szCs w:val="21"/>
              </w:rPr>
              <w:t>107.131713</w:t>
            </w:r>
          </w:p>
        </w:tc>
        <w:tc>
          <w:tcPr>
            <w:tcW w:w="1230"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纬度</w:t>
            </w:r>
          </w:p>
        </w:tc>
        <w:tc>
          <w:tcPr>
            <w:tcW w:w="1230"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eastAsia" w:eastAsiaTheme="minorEastAsia"/>
                <w:color w:val="auto"/>
                <w:sz w:val="21"/>
                <w:szCs w:val="21"/>
              </w:rPr>
              <w:t>31.877759</w:t>
            </w:r>
          </w:p>
        </w:tc>
        <w:tc>
          <w:tcPr>
            <w:tcW w:w="1235"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793"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主要风险物质及分布</w:t>
            </w:r>
          </w:p>
        </w:tc>
        <w:tc>
          <w:tcPr>
            <w:tcW w:w="6155" w:type="dxa"/>
            <w:gridSpan w:val="5"/>
            <w:vAlign w:val="center"/>
          </w:tcPr>
          <w:p>
            <w:pPr>
              <w:pStyle w:val="1256"/>
              <w:keepNext w:val="0"/>
              <w:keepLines w:val="0"/>
              <w:suppressLineNumbers w:val="0"/>
              <w:spacing w:before="0" w:beforeAutospacing="0" w:after="0" w:afterAutospacing="0"/>
              <w:ind w:left="0" w:right="0" w:firstLine="0" w:firstLineChars="0"/>
              <w:jc w:val="center"/>
              <w:rPr>
                <w:rFonts w:hint="default" w:eastAsiaTheme="minorEastAsia"/>
                <w:color w:val="auto"/>
                <w:sz w:val="21"/>
                <w:szCs w:val="21"/>
              </w:rPr>
            </w:pPr>
            <w:r>
              <w:rPr>
                <w:rFonts w:hint="eastAsia"/>
                <w:color w:val="auto"/>
                <w:sz w:val="21"/>
                <w:szCs w:val="21"/>
              </w:rPr>
              <w:t>畜禽养殖废水，贮存于调节池；消毒剂贮存于消毒间；柴油贮存于发电机房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2793"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环境影响途径及危害后果（大气、地表水、地下水等）</w:t>
            </w:r>
          </w:p>
        </w:tc>
        <w:tc>
          <w:tcPr>
            <w:tcW w:w="6155" w:type="dxa"/>
            <w:gridSpan w:val="5"/>
            <w:vAlign w:val="center"/>
          </w:tcPr>
          <w:p>
            <w:pPr>
              <w:pStyle w:val="1256"/>
              <w:keepNext w:val="0"/>
              <w:keepLines w:val="0"/>
              <w:suppressLineNumbers w:val="0"/>
              <w:spacing w:before="0" w:beforeAutospacing="0" w:after="0" w:afterAutospacing="0"/>
              <w:ind w:left="0" w:right="0" w:firstLine="0" w:firstLineChars="0"/>
              <w:jc w:val="center"/>
              <w:rPr>
                <w:rFonts w:hint="default" w:eastAsiaTheme="minorEastAsia"/>
                <w:color w:val="auto"/>
                <w:sz w:val="21"/>
                <w:szCs w:val="21"/>
              </w:rPr>
            </w:pPr>
            <w:r>
              <w:rPr>
                <w:rFonts w:hint="eastAsia"/>
                <w:color w:val="auto"/>
                <w:sz w:val="21"/>
                <w:szCs w:val="21"/>
              </w:rPr>
              <w:t>若畜禽养殖废水池体发生泄漏事故，及时将粪污引至最近的其他池体，预计粪污直接进入</w:t>
            </w:r>
            <w:r>
              <w:rPr>
                <w:rFonts w:hint="eastAsia"/>
                <w:color w:val="auto"/>
                <w:sz w:val="21"/>
                <w:szCs w:val="21"/>
                <w:lang w:val="en-US" w:eastAsia="zh-CN"/>
              </w:rPr>
              <w:t>思凤溪</w:t>
            </w:r>
            <w:r>
              <w:rPr>
                <w:rFonts w:hint="eastAsia"/>
                <w:color w:val="auto"/>
                <w:sz w:val="21"/>
                <w:szCs w:val="21"/>
              </w:rPr>
              <w:t>河的机率较小，产生地表水污染的可能性不大。消毒剂泄露引发水体污染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793" w:type="dxa"/>
            <w:vAlign w:val="center"/>
          </w:tcPr>
          <w:p>
            <w:pPr>
              <w:pStyle w:val="1256"/>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风险防范措施要求</w:t>
            </w:r>
          </w:p>
        </w:tc>
        <w:tc>
          <w:tcPr>
            <w:tcW w:w="6155" w:type="dxa"/>
            <w:gridSpan w:val="5"/>
            <w:vAlign w:val="center"/>
          </w:tcPr>
          <w:p>
            <w:pPr>
              <w:pStyle w:val="1256"/>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每日对各废水池进行巡视一旦发生泄漏及时进行维修或更换。</w:t>
            </w:r>
          </w:p>
          <w:p>
            <w:pPr>
              <w:pStyle w:val="1256"/>
              <w:keepNext w:val="0"/>
              <w:keepLines w:val="0"/>
              <w:suppressLineNumbers w:val="0"/>
              <w:spacing w:before="0" w:beforeAutospacing="0" w:after="0" w:afterAutospacing="0"/>
              <w:ind w:left="0" w:right="0" w:firstLine="0" w:firstLineChars="0"/>
              <w:jc w:val="center"/>
              <w:rPr>
                <w:rFonts w:hint="default" w:eastAsiaTheme="minorEastAsia"/>
                <w:color w:val="auto"/>
                <w:sz w:val="21"/>
                <w:szCs w:val="21"/>
              </w:rPr>
            </w:pPr>
            <w:r>
              <w:rPr>
                <w:rFonts w:hint="eastAsia"/>
                <w:color w:val="auto"/>
                <w:sz w:val="21"/>
                <w:szCs w:val="21"/>
              </w:rPr>
              <w:t>若发生泄漏，将污水用专用管道排送（引流）至场内粪污暂存池。柴油储存区采用防渗级混凝土，并设置20cm高围堰。</w:t>
            </w:r>
          </w:p>
        </w:tc>
      </w:tr>
    </w:tbl>
    <w:p>
      <w:pPr>
        <w:pStyle w:val="723"/>
        <w:rPr>
          <w:rFonts w:ascii="Times New Roman" w:hAnsi="Times New Roman" w:eastAsia="宋体" w:cs="Times New Roman"/>
          <w:color w:val="auto"/>
        </w:rPr>
      </w:pPr>
    </w:p>
    <w:p>
      <w:pPr>
        <w:pStyle w:val="723"/>
        <w:rPr>
          <w:rFonts w:ascii="Times New Roman" w:hAnsi="Times New Roman" w:eastAsia="宋体" w:cs="Times New Roman"/>
          <w:color w:val="auto"/>
        </w:rPr>
      </w:pPr>
    </w:p>
    <w:bookmarkEnd w:id="464"/>
    <w:bookmarkEnd w:id="465"/>
    <w:bookmarkEnd w:id="466"/>
    <w:bookmarkEnd w:id="467"/>
    <w:bookmarkEnd w:id="468"/>
    <w:bookmarkEnd w:id="469"/>
    <w:bookmarkEnd w:id="470"/>
    <w:bookmarkEnd w:id="471"/>
    <w:bookmarkEnd w:id="472"/>
    <w:bookmarkEnd w:id="473"/>
    <w:p>
      <w:pPr>
        <w:pStyle w:val="5"/>
        <w:numPr>
          <w:ilvl w:val="0"/>
          <w:numId w:val="0"/>
        </w:numPr>
        <w:ind w:leftChars="0"/>
        <w:jc w:val="both"/>
        <w:rPr>
          <w:color w:val="auto"/>
        </w:rPr>
        <w:sectPr>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bookmarkStart w:id="477" w:name="_Toc30892"/>
      <w:bookmarkStart w:id="478" w:name="_Toc64081501"/>
      <w:bookmarkStart w:id="479" w:name="_Toc180817084"/>
      <w:bookmarkStart w:id="480" w:name="_Toc180824216"/>
      <w:bookmarkStart w:id="481" w:name="_Toc180824164"/>
      <w:bookmarkStart w:id="482" w:name="_Toc180817064"/>
    </w:p>
    <w:p>
      <w:pPr>
        <w:pStyle w:val="5"/>
        <w:rPr>
          <w:rFonts w:hint="eastAsia" w:asciiTheme="majorEastAsia" w:hAnsiTheme="majorEastAsia" w:eastAsiaTheme="majorEastAsia" w:cstheme="majorEastAsia"/>
          <w:b/>
          <w:bCs/>
          <w:color w:val="auto"/>
          <w:sz w:val="32"/>
          <w:szCs w:val="32"/>
        </w:rPr>
      </w:pPr>
      <w:bookmarkStart w:id="483" w:name="_Toc29722"/>
      <w:bookmarkStart w:id="484" w:name="_Toc8498"/>
      <w:r>
        <w:rPr>
          <w:rFonts w:hint="eastAsia" w:asciiTheme="majorEastAsia" w:hAnsiTheme="majorEastAsia" w:eastAsiaTheme="majorEastAsia" w:cstheme="majorEastAsia"/>
          <w:b/>
          <w:bCs/>
          <w:color w:val="auto"/>
          <w:sz w:val="32"/>
          <w:szCs w:val="32"/>
        </w:rPr>
        <w:t>环境保护措施及其可行性论证</w:t>
      </w:r>
      <w:bookmarkEnd w:id="477"/>
      <w:bookmarkEnd w:id="478"/>
      <w:bookmarkEnd w:id="479"/>
      <w:bookmarkEnd w:id="480"/>
      <w:bookmarkEnd w:id="483"/>
      <w:bookmarkEnd w:id="484"/>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485" w:name="_Toc152756361"/>
      <w:bookmarkStart w:id="486" w:name="_Toc187996849"/>
      <w:bookmarkStart w:id="487" w:name="_Toc330540662"/>
      <w:bookmarkStart w:id="488" w:name="_Toc14300"/>
      <w:bookmarkStart w:id="489" w:name="_Toc215691607"/>
      <w:bookmarkStart w:id="490" w:name="_Toc17913"/>
      <w:bookmarkStart w:id="491" w:name="_Toc6062"/>
      <w:r>
        <w:rPr>
          <w:rFonts w:ascii="Times New Roman" w:hAnsi="Times New Roman" w:cs="Times New Roman" w:eastAsiaTheme="majorEastAsia"/>
          <w:bCs/>
          <w:color w:val="auto"/>
          <w:kern w:val="2"/>
          <w:szCs w:val="32"/>
          <w:lang w:val="en-US" w:eastAsia="zh-CN"/>
        </w:rPr>
        <w:t>施工期</w:t>
      </w:r>
      <w:bookmarkEnd w:id="485"/>
      <w:bookmarkEnd w:id="486"/>
      <w:bookmarkEnd w:id="487"/>
      <w:bookmarkEnd w:id="488"/>
      <w:bookmarkEnd w:id="489"/>
      <w:bookmarkEnd w:id="490"/>
      <w:bookmarkEnd w:id="491"/>
    </w:p>
    <w:p>
      <w:pPr>
        <w:pStyle w:val="180"/>
        <w:rPr>
          <w:rFonts w:hint="default" w:ascii="Times New Roman" w:hAnsi="Times New Roman" w:cs="Times New Roman" w:eastAsiaTheme="majorEastAsia"/>
          <w:b/>
          <w:bCs w:val="0"/>
          <w:color w:val="auto"/>
          <w:sz w:val="24"/>
          <w:szCs w:val="24"/>
        </w:rPr>
      </w:pPr>
      <w:bookmarkStart w:id="492" w:name="_Toc4415"/>
      <w:r>
        <w:rPr>
          <w:rFonts w:hint="default" w:ascii="Times New Roman" w:hAnsi="Times New Roman" w:cs="Times New Roman" w:eastAsiaTheme="majorEastAsia"/>
          <w:b/>
          <w:bCs w:val="0"/>
          <w:color w:val="auto"/>
          <w:sz w:val="24"/>
          <w:szCs w:val="24"/>
        </w:rPr>
        <w:t>施工期</w:t>
      </w:r>
      <w:r>
        <w:rPr>
          <w:rFonts w:hint="eastAsia" w:ascii="Times New Roman" w:hAnsi="Times New Roman" w:cs="Times New Roman" w:eastAsiaTheme="majorEastAsia"/>
          <w:b/>
          <w:bCs w:val="0"/>
          <w:color w:val="auto"/>
          <w:sz w:val="24"/>
          <w:szCs w:val="24"/>
        </w:rPr>
        <w:t>废水</w:t>
      </w:r>
      <w:bookmarkEnd w:id="492"/>
    </w:p>
    <w:p>
      <w:pPr>
        <w:spacing w:line="360" w:lineRule="auto"/>
        <w:ind w:firstLine="482"/>
        <w:rPr>
          <w:b/>
          <w:color w:val="auto"/>
          <w:sz w:val="24"/>
        </w:rPr>
      </w:pPr>
      <w:r>
        <w:rPr>
          <w:b/>
          <w:color w:val="auto"/>
          <w:sz w:val="24"/>
        </w:rPr>
        <w:t>1、施工期</w:t>
      </w:r>
      <w:r>
        <w:rPr>
          <w:rFonts w:hint="eastAsia"/>
          <w:b/>
          <w:color w:val="auto"/>
          <w:sz w:val="24"/>
        </w:rPr>
        <w:t>废水</w:t>
      </w:r>
    </w:p>
    <w:p>
      <w:pPr>
        <w:spacing w:line="360" w:lineRule="auto"/>
        <w:ind w:firstLine="482"/>
        <w:rPr>
          <w:color w:val="auto"/>
          <w:sz w:val="24"/>
        </w:rPr>
      </w:pPr>
      <w:r>
        <w:rPr>
          <w:color w:val="auto"/>
          <w:sz w:val="24"/>
        </w:rPr>
        <w:t>施工期废水主要为施工生产废水和施工人员生活污水。其中施工生产废水经临时隔油沉淀池处理后，用于水泥沙浆拌料回用；施工生活污水产依托周围农户旱厕收集后，用作农肥。采取以上治理措施后，本项目施工期废水不会对区域地表水造成明显影响，治理措施可行。</w:t>
      </w:r>
    </w:p>
    <w:p>
      <w:pPr>
        <w:spacing w:line="360" w:lineRule="auto"/>
        <w:ind w:firstLine="482"/>
        <w:rPr>
          <w:b/>
          <w:color w:val="auto"/>
          <w:sz w:val="24"/>
        </w:rPr>
      </w:pPr>
      <w:r>
        <w:rPr>
          <w:b/>
          <w:color w:val="auto"/>
          <w:sz w:val="24"/>
        </w:rPr>
        <w:t>2、施工期</w:t>
      </w:r>
      <w:r>
        <w:rPr>
          <w:rFonts w:hint="eastAsia"/>
          <w:b/>
          <w:color w:val="auto"/>
          <w:sz w:val="24"/>
        </w:rPr>
        <w:t>废水</w:t>
      </w:r>
    </w:p>
    <w:p>
      <w:pPr>
        <w:spacing w:line="360" w:lineRule="auto"/>
        <w:ind w:firstLine="482"/>
        <w:rPr>
          <w:color w:val="auto"/>
          <w:sz w:val="24"/>
        </w:rPr>
      </w:pPr>
      <w:r>
        <w:rPr>
          <w:color w:val="auto"/>
          <w:sz w:val="24"/>
        </w:rPr>
        <w:t>本项目通过对施工场地的隔油沉淀池内铺设 HDPE 防渗膜处理；对施工场地各类堆场采用土工布覆盖，地面进行硬化防渗处理后，施工期产生的废水不会对地下水环境的造成影响。因此，施工期地下水防治措施可行</w:t>
      </w:r>
    </w:p>
    <w:p>
      <w:pPr>
        <w:pStyle w:val="180"/>
        <w:rPr>
          <w:rFonts w:hint="default" w:ascii="Times New Roman" w:hAnsi="Times New Roman" w:cs="Times New Roman" w:eastAsiaTheme="majorEastAsia"/>
          <w:b/>
          <w:bCs w:val="0"/>
          <w:color w:val="auto"/>
          <w:sz w:val="24"/>
          <w:szCs w:val="24"/>
        </w:rPr>
      </w:pPr>
      <w:bookmarkStart w:id="493" w:name="_Toc26272"/>
      <w:r>
        <w:rPr>
          <w:rFonts w:hint="default" w:ascii="Times New Roman" w:hAnsi="Times New Roman" w:cs="Times New Roman" w:eastAsiaTheme="majorEastAsia"/>
          <w:b/>
          <w:bCs w:val="0"/>
          <w:color w:val="auto"/>
          <w:sz w:val="24"/>
          <w:szCs w:val="24"/>
        </w:rPr>
        <w:t>施工期</w:t>
      </w:r>
      <w:r>
        <w:rPr>
          <w:rFonts w:hint="eastAsia" w:ascii="Times New Roman" w:hAnsi="Times New Roman" w:cs="Times New Roman" w:eastAsiaTheme="majorEastAsia"/>
          <w:b/>
          <w:bCs w:val="0"/>
          <w:color w:val="auto"/>
          <w:sz w:val="24"/>
          <w:szCs w:val="24"/>
        </w:rPr>
        <w:t>废气</w:t>
      </w:r>
      <w:bookmarkEnd w:id="493"/>
    </w:p>
    <w:p>
      <w:pPr>
        <w:spacing w:line="360" w:lineRule="auto"/>
        <w:ind w:firstLine="482"/>
        <w:rPr>
          <w:b/>
          <w:color w:val="auto"/>
          <w:sz w:val="24"/>
        </w:rPr>
      </w:pPr>
      <w:r>
        <w:rPr>
          <w:b/>
          <w:color w:val="auto"/>
          <w:sz w:val="24"/>
        </w:rPr>
        <w:t>1、扬尘治理措施</w:t>
      </w:r>
    </w:p>
    <w:p>
      <w:pPr>
        <w:spacing w:line="360" w:lineRule="auto"/>
        <w:ind w:firstLine="482"/>
        <w:rPr>
          <w:color w:val="auto"/>
          <w:sz w:val="24"/>
        </w:rPr>
      </w:pPr>
      <w:r>
        <w:rPr>
          <w:color w:val="auto"/>
          <w:sz w:val="24"/>
        </w:rPr>
        <w:t>（1）要求施工单位文明施工，定期对地面洒水（在干燥天气适当加大洒水的频率和洒水量），并对撒落在路面的渣土及时清除，清理时做到先洒水后清扫，避免产生扬尘对环境造成影响。同时本项目周边分布有部分农户，施工过程中临农户一侧洒水频率和洒水量。</w:t>
      </w:r>
    </w:p>
    <w:p>
      <w:pPr>
        <w:spacing w:line="360" w:lineRule="auto"/>
        <w:ind w:firstLine="482"/>
        <w:rPr>
          <w:color w:val="auto"/>
          <w:sz w:val="24"/>
        </w:rPr>
      </w:pPr>
      <w:r>
        <w:rPr>
          <w:color w:val="auto"/>
          <w:sz w:val="24"/>
        </w:rPr>
        <w:t>（2）由于道路产生的扬尘量与车辆的行驶速度有关，速度越快，扬尘量越大。因此，在施工场地对施工车辆必须实施限速行驶，同时施工现场主要运输道路尽量采用硬化路面并进行洒水抑尘；在施工场地出口放置防尘垫，对运输车辆现场设置洗车场，用水清洗车体和轮胎；自卸车、垃圾运输车等运输车辆不允许超载，并选择对周围环境影响较小的运输路线，定时对运输路线进行清扫，运输车辆出场时必须封闭，避免在运输过程中的抛洒现象。</w:t>
      </w:r>
    </w:p>
    <w:p>
      <w:pPr>
        <w:spacing w:line="360" w:lineRule="auto"/>
        <w:ind w:firstLine="482"/>
        <w:rPr>
          <w:color w:val="auto"/>
          <w:sz w:val="24"/>
        </w:rPr>
      </w:pPr>
      <w:r>
        <w:rPr>
          <w:color w:val="auto"/>
          <w:sz w:val="24"/>
        </w:rPr>
        <w:t>（3）禁止在风天进行渣土堆放作业，建材堆放地点要相对集中，临时废弃土石堆场及时清运，并对堆场以毡布覆盖，裸露地面进行硬化和绿化，减少建材的露天堆放时间；开挖出的土石方应加强围栏，表面用毡布覆盖，并及时将多余弃土外运。</w:t>
      </w:r>
    </w:p>
    <w:p>
      <w:pPr>
        <w:spacing w:line="360" w:lineRule="auto"/>
        <w:ind w:firstLine="482"/>
        <w:rPr>
          <w:color w:val="auto"/>
          <w:sz w:val="24"/>
        </w:rPr>
      </w:pPr>
      <w:r>
        <w:rPr>
          <w:color w:val="auto"/>
          <w:sz w:val="24"/>
        </w:rPr>
        <w:t>（4）严格控制建设施工扬尘，组织制定、完善和严格执行建设施工管理制度，全面推行现场标准化管理，施工场地做到“六必须”（必须围档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w:t>
      </w:r>
    </w:p>
    <w:p>
      <w:pPr>
        <w:spacing w:line="360" w:lineRule="auto"/>
        <w:ind w:firstLine="482"/>
        <w:rPr>
          <w:color w:val="auto"/>
          <w:sz w:val="24"/>
        </w:rPr>
      </w:pPr>
      <w:r>
        <w:rPr>
          <w:color w:val="auto"/>
          <w:sz w:val="24"/>
        </w:rPr>
        <w:t>采取以扬尘治理措施，其浓度可得到有效控制，排放浓度可控制在1.0mg/m</w:t>
      </w:r>
      <w:r>
        <w:rPr>
          <w:color w:val="auto"/>
          <w:sz w:val="24"/>
          <w:vertAlign w:val="superscript"/>
        </w:rPr>
        <w:t>3</w:t>
      </w:r>
      <w:r>
        <w:rPr>
          <w:color w:val="auto"/>
          <w:sz w:val="24"/>
        </w:rPr>
        <w:t>，能够实现达标排放，扬尘治理措施可行。</w:t>
      </w:r>
    </w:p>
    <w:p>
      <w:pPr>
        <w:spacing w:line="360" w:lineRule="auto"/>
        <w:ind w:firstLine="482"/>
        <w:rPr>
          <w:b/>
          <w:color w:val="auto"/>
          <w:sz w:val="24"/>
        </w:rPr>
      </w:pPr>
      <w:r>
        <w:rPr>
          <w:b/>
          <w:color w:val="auto"/>
          <w:sz w:val="24"/>
        </w:rPr>
        <w:t>2、施工机械 及运输车辆汽车尾气</w:t>
      </w:r>
    </w:p>
    <w:p>
      <w:pPr>
        <w:spacing w:line="360" w:lineRule="auto"/>
        <w:ind w:firstLine="482"/>
        <w:rPr>
          <w:color w:val="auto"/>
          <w:sz w:val="24"/>
        </w:rPr>
      </w:pPr>
      <w:r>
        <w:rPr>
          <w:color w:val="auto"/>
          <w:sz w:val="24"/>
        </w:rPr>
        <w:t>施工期间，使用机动车运送原材料、设备和建筑机械设备的运转，均会排放一定量的 CO、NO</w:t>
      </w:r>
      <w:r>
        <w:rPr>
          <w:color w:val="auto"/>
          <w:sz w:val="24"/>
          <w:vertAlign w:val="subscript"/>
        </w:rPr>
        <w:t>x</w:t>
      </w:r>
      <w:r>
        <w:rPr>
          <w:color w:val="auto"/>
          <w:sz w:val="24"/>
        </w:rPr>
        <w:t>以及未完全燃烧的THC 等，其特点是排放量小，且属间断性无组织排放。加之施工场地开阔，扩散条件良好，施工期机械废气及运输车辆汽车尾气可实现达标排放。环评要求施工单位选择尾气排放达标的施工机械和运输车辆，安排专人注意加强施工机械维护，确保机械设备正常运行。</w:t>
      </w:r>
    </w:p>
    <w:p>
      <w:pPr>
        <w:spacing w:line="360" w:lineRule="auto"/>
        <w:ind w:firstLine="482"/>
        <w:rPr>
          <w:color w:val="auto"/>
          <w:sz w:val="24"/>
        </w:rPr>
      </w:pPr>
      <w:r>
        <w:rPr>
          <w:color w:val="auto"/>
          <w:sz w:val="24"/>
        </w:rPr>
        <w:t>采取治理措施，其浓度可得到有效控制，能够实现达标排放，治理措施可行。</w:t>
      </w:r>
    </w:p>
    <w:p>
      <w:pPr>
        <w:pStyle w:val="180"/>
        <w:rPr>
          <w:rFonts w:hint="default" w:ascii="Times New Roman" w:hAnsi="Times New Roman" w:cs="Times New Roman" w:eastAsiaTheme="majorEastAsia"/>
          <w:b/>
          <w:bCs w:val="0"/>
          <w:color w:val="auto"/>
          <w:sz w:val="24"/>
          <w:szCs w:val="24"/>
        </w:rPr>
      </w:pPr>
      <w:bookmarkStart w:id="494" w:name="_Toc21717"/>
      <w:r>
        <w:rPr>
          <w:rFonts w:hint="default" w:ascii="Times New Roman" w:hAnsi="Times New Roman" w:cs="Times New Roman" w:eastAsiaTheme="majorEastAsia"/>
          <w:b/>
          <w:bCs w:val="0"/>
          <w:color w:val="auto"/>
          <w:sz w:val="24"/>
          <w:szCs w:val="24"/>
        </w:rPr>
        <w:t>施工期</w:t>
      </w:r>
      <w:r>
        <w:rPr>
          <w:rFonts w:hint="eastAsia" w:ascii="Times New Roman" w:hAnsi="Times New Roman" w:cs="Times New Roman" w:eastAsiaTheme="majorEastAsia"/>
          <w:b/>
          <w:bCs w:val="0"/>
          <w:color w:val="auto"/>
          <w:sz w:val="24"/>
          <w:szCs w:val="24"/>
        </w:rPr>
        <w:t>噪声</w:t>
      </w:r>
      <w:bookmarkEnd w:id="494"/>
    </w:p>
    <w:p>
      <w:pPr>
        <w:spacing w:line="360" w:lineRule="auto"/>
        <w:ind w:firstLine="482"/>
        <w:rPr>
          <w:color w:val="auto"/>
          <w:sz w:val="24"/>
        </w:rPr>
      </w:pPr>
      <w:r>
        <w:rPr>
          <w:color w:val="auto"/>
          <w:sz w:val="24"/>
        </w:rPr>
        <w:t>（1）合理布置施工总平面图，将高噪声的作业点布置在施工场地中央，即有效利用噪声传播距离衰减作用减轻施工噪声对周围农户的影响。</w:t>
      </w:r>
    </w:p>
    <w:p>
      <w:pPr>
        <w:spacing w:line="360" w:lineRule="auto"/>
        <w:ind w:firstLine="482"/>
        <w:rPr>
          <w:color w:val="auto"/>
          <w:sz w:val="24"/>
        </w:rPr>
      </w:pPr>
      <w:r>
        <w:rPr>
          <w:color w:val="auto"/>
          <w:sz w:val="24"/>
        </w:rPr>
        <w:t>（2）合理安排施工时间，土石方开挖等强噪声施工作业安排在昼间进行，禁止在夜间（时间为 22：00~6：00）施工。</w:t>
      </w:r>
    </w:p>
    <w:p>
      <w:pPr>
        <w:spacing w:line="360" w:lineRule="auto"/>
        <w:ind w:firstLine="482"/>
        <w:rPr>
          <w:color w:val="auto"/>
          <w:sz w:val="24"/>
        </w:rPr>
      </w:pPr>
      <w:r>
        <w:rPr>
          <w:color w:val="auto"/>
          <w:sz w:val="24"/>
        </w:rPr>
        <w:t>（3）基础工程阶段的噪声主要来自挖掘机、冲击机等设备。选用低噪声设备；加强挖掘机和冲击机施工运行操作管理，选用专业人员进行操作。</w:t>
      </w:r>
    </w:p>
    <w:p>
      <w:pPr>
        <w:spacing w:line="360" w:lineRule="auto"/>
        <w:ind w:firstLine="482"/>
        <w:rPr>
          <w:color w:val="auto"/>
          <w:sz w:val="24"/>
        </w:rPr>
      </w:pPr>
      <w:r>
        <w:rPr>
          <w:color w:val="auto"/>
          <w:sz w:val="24"/>
        </w:rPr>
        <w:t>（4）主体结构阶段噪声主要来自振捣器、混凝土输送泵、电锯、电焊机及空压机等设备。主体结构阶段振捣器选用消声振捣器；电锯、电焊机、电钻、手工钻及无齿锯选用低噪声设备；混凝输送泵基础设置减振垫，仅混凝土罐装车倾泻位置不设置围挡，其余各侧需设置围挡；要求采用商品混凝土，不得现场搅拌混凝土；对空压机选用低噪声设备，基础设置减振垫，四周设置简易围挡。</w:t>
      </w:r>
    </w:p>
    <w:p>
      <w:pPr>
        <w:spacing w:line="360" w:lineRule="auto"/>
        <w:ind w:firstLine="482"/>
        <w:rPr>
          <w:color w:val="auto"/>
          <w:sz w:val="24"/>
        </w:rPr>
      </w:pPr>
      <w:r>
        <w:rPr>
          <w:color w:val="auto"/>
          <w:sz w:val="24"/>
        </w:rPr>
        <w:t>（5）装修、安装阶段的噪声主要来自电钻、手工钻、电锤、无齿锯等设备。装修、安装阶段使用的电钻、手工钻及电锤、无齿锯选用低噪声设备，及时在个部位加注机油，增强润滑作用；使用电锤开洞、凿眼时，严禁用铁锤敲打管道及金属工件。</w:t>
      </w:r>
    </w:p>
    <w:p>
      <w:pPr>
        <w:spacing w:line="360" w:lineRule="auto"/>
        <w:ind w:firstLine="482"/>
        <w:rPr>
          <w:color w:val="auto"/>
          <w:sz w:val="24"/>
        </w:rPr>
      </w:pPr>
      <w:r>
        <w:rPr>
          <w:color w:val="auto"/>
          <w:sz w:val="24"/>
        </w:rPr>
        <w:t>（6）文明施工。建立健全控制人为噪声管理制度；运输材料和设备时，轻拿轻放，严禁野蛮装卸。</w:t>
      </w:r>
    </w:p>
    <w:p>
      <w:pPr>
        <w:spacing w:line="360" w:lineRule="auto"/>
        <w:ind w:firstLine="482"/>
        <w:rPr>
          <w:color w:val="auto"/>
          <w:sz w:val="24"/>
        </w:rPr>
      </w:pPr>
      <w:r>
        <w:rPr>
          <w:color w:val="auto"/>
          <w:sz w:val="24"/>
        </w:rPr>
        <w:t>（7）一切动力机械设备都应适时维修，特别对因松动部件的震动或降低噪声部件的损坏而产生强噪声的设备，更应经常检查维护。</w:t>
      </w:r>
    </w:p>
    <w:p>
      <w:pPr>
        <w:spacing w:line="360" w:lineRule="auto"/>
        <w:ind w:firstLine="482"/>
        <w:rPr>
          <w:color w:val="auto"/>
          <w:sz w:val="24"/>
        </w:rPr>
      </w:pPr>
      <w:r>
        <w:rPr>
          <w:color w:val="auto"/>
          <w:sz w:val="24"/>
        </w:rPr>
        <w:t>（8）加强施工场地车辆的管理，尽量减少鸣喇叭次数及汽车启动频率。</w:t>
      </w:r>
    </w:p>
    <w:p>
      <w:pPr>
        <w:spacing w:line="360" w:lineRule="auto"/>
        <w:ind w:firstLine="482"/>
        <w:rPr>
          <w:color w:val="auto"/>
          <w:sz w:val="24"/>
        </w:rPr>
      </w:pPr>
      <w:r>
        <w:rPr>
          <w:color w:val="auto"/>
          <w:sz w:val="24"/>
        </w:rPr>
        <w:t>（9）建材、施工机械器具、建渣等的运输选择影响最小的路线，途径敏感点时减速慢行，严禁鸣笛。</w:t>
      </w:r>
    </w:p>
    <w:p>
      <w:pPr>
        <w:spacing w:line="360" w:lineRule="auto"/>
        <w:ind w:firstLine="482"/>
        <w:rPr>
          <w:color w:val="auto"/>
          <w:sz w:val="24"/>
        </w:rPr>
      </w:pPr>
      <w:r>
        <w:rPr>
          <w:color w:val="auto"/>
          <w:sz w:val="24"/>
        </w:rPr>
        <w:t>采取以上噪声治理措施后，本项目施工期场界噪声可满足《建筑施工场界环境噪声排放标准》（GB12523-2011）要求，施工期噪声治理措施可行。</w:t>
      </w:r>
    </w:p>
    <w:p>
      <w:pPr>
        <w:pStyle w:val="180"/>
        <w:rPr>
          <w:rFonts w:hint="default" w:ascii="Times New Roman" w:hAnsi="Times New Roman" w:cs="Times New Roman" w:eastAsiaTheme="majorEastAsia"/>
          <w:b/>
          <w:bCs w:val="0"/>
          <w:color w:val="auto"/>
          <w:sz w:val="24"/>
          <w:szCs w:val="24"/>
        </w:rPr>
      </w:pPr>
      <w:bookmarkStart w:id="495" w:name="_Toc18012"/>
      <w:r>
        <w:rPr>
          <w:rFonts w:hint="default" w:ascii="Times New Roman" w:hAnsi="Times New Roman" w:cs="Times New Roman" w:eastAsiaTheme="majorEastAsia"/>
          <w:b/>
          <w:bCs w:val="0"/>
          <w:color w:val="auto"/>
          <w:sz w:val="24"/>
          <w:szCs w:val="24"/>
        </w:rPr>
        <w:t>施工期固废</w:t>
      </w:r>
      <w:bookmarkEnd w:id="495"/>
    </w:p>
    <w:p>
      <w:pPr>
        <w:spacing w:line="360" w:lineRule="auto"/>
        <w:ind w:firstLine="482"/>
        <w:rPr>
          <w:color w:val="auto"/>
          <w:sz w:val="24"/>
        </w:rPr>
      </w:pPr>
      <w:r>
        <w:rPr>
          <w:color w:val="auto"/>
          <w:sz w:val="24"/>
        </w:rPr>
        <w:t>本项目施工期产生土石方全部用作工程回填用土，不外运；建筑垃圾可回收部分集中收集后外售废品收购站，不可回收部分全部运至环卫部门指定地点进行填埋；施工人员生活垃圾袋装收集后，运至垃圾中转站，由环卫部门统一运送到垃圾处理场集中处理。</w:t>
      </w:r>
    </w:p>
    <w:p>
      <w:pPr>
        <w:spacing w:line="360" w:lineRule="auto"/>
        <w:ind w:firstLine="482"/>
        <w:rPr>
          <w:color w:val="auto"/>
          <w:sz w:val="24"/>
        </w:rPr>
      </w:pPr>
      <w:r>
        <w:rPr>
          <w:color w:val="auto"/>
          <w:sz w:val="24"/>
        </w:rPr>
        <w:t>采取上述固废污染防治措施后，本项目施工期固废可得到合理处置，不会对周围环境产生明显影响，固体废物处置措施可行。</w:t>
      </w:r>
    </w:p>
    <w:p>
      <w:pPr>
        <w:pStyle w:val="180"/>
        <w:rPr>
          <w:rFonts w:hint="default" w:ascii="Times New Roman" w:hAnsi="Times New Roman" w:cs="Times New Roman" w:eastAsiaTheme="majorEastAsia"/>
          <w:b/>
          <w:bCs w:val="0"/>
          <w:color w:val="auto"/>
          <w:sz w:val="24"/>
          <w:szCs w:val="24"/>
        </w:rPr>
      </w:pPr>
      <w:bookmarkStart w:id="496" w:name="_Toc26561"/>
      <w:r>
        <w:rPr>
          <w:rFonts w:hint="default" w:ascii="Times New Roman" w:hAnsi="Times New Roman" w:cs="Times New Roman" w:eastAsiaTheme="majorEastAsia"/>
          <w:b/>
          <w:bCs w:val="0"/>
          <w:color w:val="auto"/>
          <w:sz w:val="24"/>
          <w:szCs w:val="24"/>
        </w:rPr>
        <w:t>施工期生态</w:t>
      </w:r>
      <w:bookmarkEnd w:id="496"/>
    </w:p>
    <w:p>
      <w:pPr>
        <w:spacing w:line="360" w:lineRule="auto"/>
        <w:ind w:firstLine="482"/>
        <w:rPr>
          <w:color w:val="auto"/>
          <w:sz w:val="24"/>
        </w:rPr>
      </w:pPr>
      <w:r>
        <w:rPr>
          <w:color w:val="auto"/>
          <w:sz w:val="24"/>
        </w:rPr>
        <w:t>（1）合理选择施工期，避免在雨季开挖。在不可避免的雨天施工时，为防止开挖裸露面及场地回填的土石方等被雨水冲刷，选用土工布进行铺盖。</w:t>
      </w:r>
    </w:p>
    <w:p>
      <w:pPr>
        <w:spacing w:line="360" w:lineRule="auto"/>
        <w:ind w:firstLine="482"/>
        <w:rPr>
          <w:color w:val="auto"/>
          <w:sz w:val="24"/>
        </w:rPr>
      </w:pPr>
      <w:r>
        <w:rPr>
          <w:color w:val="auto"/>
          <w:sz w:val="24"/>
        </w:rPr>
        <w:t>（2）合理选择施工工序，做好项目挖填方的合理调配工作，尽量缩短临时土石料堆的时间；合理布置堆放场位置；在堆放土石时，把易产生水土流失的土料堆放在场地中间，块石堆放在其周围，起临时拦挡作用。严格控制土石料的运输流失。建立水保方案实施的领导管理机构，强化工作为员水保意识，并实行水保施工监理制度和档案管理制度。在保证施工质量的前提下，必须采用最短的建设工期。开挖过程中，先对表土进行剥离，用于绿化，开挖土方必须集中堆置，并缩小堆置范围，减小对周围植被和原地貌的损坏。土石方清运要严格遵守作业制度，避免松散土石方随地堆放并严禁随意倾倒。</w:t>
      </w:r>
    </w:p>
    <w:p>
      <w:pPr>
        <w:spacing w:line="360" w:lineRule="auto"/>
        <w:ind w:firstLine="482"/>
        <w:rPr>
          <w:color w:val="auto"/>
          <w:sz w:val="24"/>
        </w:rPr>
      </w:pPr>
      <w:r>
        <w:rPr>
          <w:color w:val="auto"/>
          <w:sz w:val="24"/>
        </w:rPr>
        <w:t>施工机械和施工人员要按照规划进行操作，不得乱占土地，施工机械、土石及其它建筑材料不能乱停乱放，防止大量破坏植被，加剧水土流失。施工期作好临时工程措施设计，工程结束后及时进行场区植物措施设计。</w:t>
      </w:r>
    </w:p>
    <w:p>
      <w:pPr>
        <w:spacing w:line="360" w:lineRule="auto"/>
        <w:ind w:firstLine="482"/>
        <w:rPr>
          <w:color w:val="auto"/>
          <w:sz w:val="24"/>
        </w:rPr>
      </w:pPr>
      <w:r>
        <w:rPr>
          <w:color w:val="auto"/>
          <w:sz w:val="24"/>
        </w:rPr>
        <w:t>（3）临时堆土场区主要用来堆放主体工程剥离的表土，紧临主体工程布置，便于调运表土，在剥离表土之前应先做到“先拦挡后堆放”，先将剥离的表土装入土袋中，修筑好土袋挡土墙后再大面积剥离并及时转运表土堆放，同时在堆土场四周修建土质排水沟，沟内用粘土拍实并铺盖土工布。在土质排水沟出水口处设计土质沉沙函，拦截泥沙，并在沉沙函内部铺盖土工布。</w:t>
      </w:r>
    </w:p>
    <w:p>
      <w:pPr>
        <w:spacing w:line="360" w:lineRule="auto"/>
        <w:ind w:firstLine="482"/>
        <w:rPr>
          <w:color w:val="auto"/>
          <w:sz w:val="24"/>
        </w:rPr>
      </w:pPr>
      <w:r>
        <w:rPr>
          <w:color w:val="auto"/>
          <w:sz w:val="24"/>
        </w:rPr>
        <w:t>（4）施工结束后，应尽快全面进行绿化，绿化可起到调节小气候、涵蓄雨水等目的，起到很好的防治水土流失的作用。</w:t>
      </w:r>
    </w:p>
    <w:p>
      <w:pPr>
        <w:spacing w:line="360" w:lineRule="auto"/>
        <w:ind w:firstLine="482"/>
        <w:rPr>
          <w:color w:val="auto"/>
          <w:sz w:val="24"/>
        </w:rPr>
      </w:pPr>
      <w:r>
        <w:rPr>
          <w:color w:val="auto"/>
          <w:sz w:val="24"/>
        </w:rPr>
        <w:t>综上所述，采取以上生态保护措施后，施工期不会对项目所在区域的地生态环境造成明显影响，生态保护措施可行；施工期环保措施技术、经济可行。</w:t>
      </w:r>
    </w:p>
    <w:p>
      <w:pPr>
        <w:spacing w:line="360" w:lineRule="auto"/>
        <w:ind w:firstLine="482"/>
        <w:rPr>
          <w:color w:val="auto"/>
          <w:sz w:val="24"/>
        </w:rPr>
      </w:pPr>
      <w:r>
        <w:rPr>
          <w:color w:val="auto"/>
          <w:sz w:val="24"/>
        </w:rPr>
        <w:t>经估算，施工期用于环境保护的投资费用10万元。</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497" w:name="_Toc25499"/>
      <w:bookmarkStart w:id="498" w:name="_Toc152756362"/>
      <w:bookmarkStart w:id="499" w:name="_Toc330540663"/>
      <w:bookmarkStart w:id="500" w:name="_Toc25588"/>
      <w:bookmarkStart w:id="501" w:name="_Toc215691608"/>
      <w:bookmarkStart w:id="502" w:name="_Toc25176"/>
      <w:bookmarkStart w:id="503" w:name="_Toc187996850"/>
      <w:r>
        <w:rPr>
          <w:rFonts w:ascii="Times New Roman" w:hAnsi="Times New Roman" w:cs="Times New Roman" w:eastAsiaTheme="majorEastAsia"/>
          <w:bCs/>
          <w:color w:val="auto"/>
          <w:kern w:val="2"/>
          <w:szCs w:val="32"/>
          <w:lang w:val="en-US" w:eastAsia="zh-CN"/>
        </w:rPr>
        <w:t>营运期</w:t>
      </w:r>
      <w:bookmarkEnd w:id="497"/>
      <w:bookmarkEnd w:id="498"/>
      <w:bookmarkEnd w:id="499"/>
      <w:bookmarkEnd w:id="500"/>
      <w:bookmarkEnd w:id="501"/>
      <w:bookmarkEnd w:id="502"/>
      <w:bookmarkEnd w:id="503"/>
    </w:p>
    <w:p>
      <w:pPr>
        <w:pStyle w:val="180"/>
        <w:rPr>
          <w:rFonts w:hint="default" w:ascii="Times New Roman" w:hAnsi="Times New Roman" w:cs="Times New Roman" w:eastAsiaTheme="majorEastAsia"/>
          <w:b/>
          <w:bCs w:val="0"/>
          <w:color w:val="auto"/>
          <w:sz w:val="24"/>
          <w:szCs w:val="24"/>
        </w:rPr>
      </w:pPr>
      <w:bookmarkStart w:id="504" w:name="_Toc21550"/>
      <w:r>
        <w:rPr>
          <w:rFonts w:hint="default" w:ascii="Times New Roman" w:hAnsi="Times New Roman" w:cs="Times New Roman" w:eastAsiaTheme="majorEastAsia"/>
          <w:b/>
          <w:bCs w:val="0"/>
          <w:color w:val="auto"/>
          <w:sz w:val="24"/>
          <w:szCs w:val="24"/>
        </w:rPr>
        <w:t>营运期</w:t>
      </w:r>
      <w:r>
        <w:rPr>
          <w:rFonts w:hint="eastAsia" w:ascii="Times New Roman" w:hAnsi="Times New Roman" w:cs="Times New Roman" w:eastAsiaTheme="majorEastAsia"/>
          <w:b/>
          <w:bCs w:val="0"/>
          <w:color w:val="auto"/>
          <w:sz w:val="24"/>
          <w:szCs w:val="24"/>
        </w:rPr>
        <w:t>废水</w:t>
      </w:r>
      <w:bookmarkEnd w:id="504"/>
    </w:p>
    <w:p>
      <w:pPr>
        <w:pStyle w:val="1255"/>
        <w:spacing w:line="360" w:lineRule="auto"/>
        <w:ind w:firstLine="480"/>
        <w:rPr>
          <w:color w:val="auto"/>
        </w:rPr>
      </w:pPr>
      <w:r>
        <w:rPr>
          <w:rFonts w:hint="eastAsia"/>
          <w:color w:val="auto"/>
        </w:rPr>
        <w:t>本项目</w:t>
      </w:r>
      <w:r>
        <w:rPr>
          <w:color w:val="auto"/>
        </w:rPr>
        <w:t>所有废水</w:t>
      </w:r>
      <w:r>
        <w:rPr>
          <w:rFonts w:hint="eastAsia"/>
          <w:color w:val="auto"/>
        </w:rPr>
        <w:t>去发酵床，处理后无废水排放。</w:t>
      </w:r>
    </w:p>
    <w:p>
      <w:pPr>
        <w:tabs>
          <w:tab w:val="left" w:pos="1220"/>
        </w:tabs>
        <w:spacing w:line="360" w:lineRule="auto"/>
        <w:ind w:firstLine="504" w:firstLineChars="210"/>
        <w:rPr>
          <w:rFonts w:ascii="Times New Roman" w:hAnsi="Times New Roman" w:cs="Times New Roman"/>
          <w:bCs/>
          <w:color w:val="auto"/>
          <w:sz w:val="24"/>
        </w:rPr>
      </w:pPr>
      <w:r>
        <w:rPr>
          <w:rFonts w:hint="eastAsia" w:ascii="Times New Roman" w:hAnsi="Times New Roman" w:cs="Times New Roman"/>
          <w:bCs/>
          <w:color w:val="auto"/>
          <w:sz w:val="24"/>
          <w:lang w:val="en-US" w:eastAsia="zh-CN"/>
        </w:rPr>
        <w:t>参考</w:t>
      </w:r>
      <w:r>
        <w:rPr>
          <w:rFonts w:hint="eastAsia" w:ascii="Times New Roman" w:hAnsi="Times New Roman" w:cs="Times New Roman"/>
          <w:bCs/>
          <w:color w:val="auto"/>
          <w:sz w:val="24"/>
        </w:rPr>
        <w:t>《畜禽规模养殖场粪污资源化利用设施建设规范（试行）》：</w:t>
      </w:r>
      <w:r>
        <w:rPr>
          <w:rFonts w:hint="eastAsia" w:ascii="Times New Roman" w:hAnsi="Times New Roman" w:cs="Times New Roman"/>
          <w:bCs/>
          <w:color w:val="auto"/>
          <w:sz w:val="24"/>
          <w:lang w:eastAsia="zh-CN"/>
        </w:rPr>
        <w:t>“</w:t>
      </w:r>
      <w:r>
        <w:rPr>
          <w:rFonts w:hint="eastAsia" w:ascii="宋体" w:hAnsi="宋体" w:eastAsia="宋体" w:cs="宋体"/>
          <w:i w:val="0"/>
          <w:iCs w:val="0"/>
          <w:caps w:val="0"/>
          <w:color w:val="auto"/>
          <w:spacing w:val="0"/>
          <w:sz w:val="24"/>
          <w:szCs w:val="24"/>
        </w:rPr>
        <w:t>规模养殖场干清粪或固液分离后的固体粪便可采用堆肥、沤肥、生产垫料等方式进行处理利用。固体粪便堆肥</w:t>
      </w:r>
      <w:r>
        <w:rPr>
          <w:rFonts w:hint="eastAsia" w:ascii="宋体" w:hAnsi="宋体" w:eastAsia="宋体" w:cs="宋体"/>
          <w:i w:val="0"/>
          <w:iCs w:val="0"/>
          <w:caps w:val="0"/>
          <w:color w:val="auto"/>
          <w:spacing w:val="0"/>
          <w:sz w:val="24"/>
          <w:szCs w:val="24"/>
          <w:lang w:val="en-US"/>
        </w:rPr>
        <w:t>(</w:t>
      </w:r>
      <w:r>
        <w:rPr>
          <w:rFonts w:hint="eastAsia" w:ascii="宋体" w:hAnsi="宋体" w:eastAsia="宋体" w:cs="宋体"/>
          <w:i w:val="0"/>
          <w:iCs w:val="0"/>
          <w:caps w:val="0"/>
          <w:color w:val="auto"/>
          <w:spacing w:val="0"/>
          <w:sz w:val="24"/>
          <w:szCs w:val="24"/>
        </w:rPr>
        <w:t>生产垫料</w:t>
      </w:r>
      <w:r>
        <w:rPr>
          <w:rFonts w:hint="eastAsia" w:ascii="宋体" w:hAnsi="宋体" w:eastAsia="宋体" w:cs="宋体"/>
          <w:i w:val="0"/>
          <w:iCs w:val="0"/>
          <w:caps w:val="0"/>
          <w:color w:val="auto"/>
          <w:spacing w:val="0"/>
          <w:sz w:val="24"/>
          <w:szCs w:val="24"/>
          <w:lang w:val="en-US"/>
        </w:rPr>
        <w:t>)</w:t>
      </w:r>
      <w:r>
        <w:rPr>
          <w:rFonts w:hint="eastAsia" w:ascii="宋体" w:hAnsi="宋体" w:eastAsia="宋体" w:cs="宋体"/>
          <w:i w:val="0"/>
          <w:iCs w:val="0"/>
          <w:caps w:val="0"/>
          <w:color w:val="auto"/>
          <w:spacing w:val="0"/>
          <w:sz w:val="24"/>
          <w:szCs w:val="24"/>
        </w:rPr>
        <w:t>宜采用条垛式、槽式、发酵仓、强制通风静态垛等好氧工艺，或其他</w:t>
      </w:r>
      <w:r>
        <w:rPr>
          <w:rFonts w:hint="default" w:ascii="Times New Roman" w:hAnsi="Times New Roman" w:eastAsia="宋体" w:cs="Times New Roman"/>
          <w:i w:val="0"/>
          <w:iCs w:val="0"/>
          <w:caps w:val="0"/>
          <w:color w:val="auto"/>
          <w:spacing w:val="0"/>
          <w:sz w:val="24"/>
          <w:szCs w:val="24"/>
        </w:rPr>
        <w:t>适用技术，同时配套必要的混合、输送、搅拌、供氧等设施设备。猪场堆肥设施发酵容积不小于</w:t>
      </w:r>
      <w:r>
        <w:rPr>
          <w:rFonts w:hint="default" w:ascii="Times New Roman" w:hAnsi="Times New Roman" w:eastAsia="宋体" w:cs="Times New Roman"/>
          <w:i w:val="0"/>
          <w:iCs w:val="0"/>
          <w:caps w:val="0"/>
          <w:color w:val="auto"/>
          <w:spacing w:val="0"/>
          <w:sz w:val="24"/>
          <w:szCs w:val="24"/>
          <w:lang w:val="en-US"/>
        </w:rPr>
        <w:t>0.002</w:t>
      </w:r>
      <w:r>
        <w:rPr>
          <w:rFonts w:hint="default" w:ascii="Times New Roman" w:hAnsi="Times New Roman" w:eastAsia="宋体" w:cs="Times New Roman"/>
          <w:i w:val="0"/>
          <w:iCs w:val="0"/>
          <w:caps w:val="0"/>
          <w:color w:val="auto"/>
          <w:spacing w:val="0"/>
          <w:sz w:val="24"/>
          <w:szCs w:val="24"/>
          <w:lang w:val="en-US" w:eastAsia="zh-CN"/>
        </w:rPr>
        <w:t>m</w:t>
      </w:r>
      <w:r>
        <w:rPr>
          <w:rFonts w:hint="default" w:ascii="Times New Roman" w:hAnsi="Times New Roman" w:eastAsia="宋体" w:cs="Times New Roman"/>
          <w:i w:val="0"/>
          <w:iCs w:val="0"/>
          <w:caps w:val="0"/>
          <w:color w:val="auto"/>
          <w:spacing w:val="0"/>
          <w:sz w:val="24"/>
          <w:szCs w:val="24"/>
          <w:vertAlign w:val="superscript"/>
          <w:lang w:val="en-US" w:eastAsia="zh-CN"/>
        </w:rPr>
        <w:t>3</w:t>
      </w:r>
      <w:r>
        <w:rPr>
          <w:rFonts w:hint="default" w:ascii="Times New Roman" w:hAnsi="Times New Roman" w:eastAsia="宋体" w:cs="Times New Roman"/>
          <w:i w:val="0"/>
          <w:iCs w:val="0"/>
          <w:caps w:val="0"/>
          <w:color w:val="auto"/>
          <w:spacing w:val="0"/>
          <w:sz w:val="24"/>
          <w:szCs w:val="24"/>
        </w:rPr>
        <w:t>×发酵周期</w:t>
      </w:r>
      <w:r>
        <w:rPr>
          <w:rFonts w:hint="default" w:ascii="Times New Roman" w:hAnsi="Times New Roman" w:eastAsia="宋体" w:cs="Times New Roman"/>
          <w:i w:val="0"/>
          <w:iCs w:val="0"/>
          <w:caps w:val="0"/>
          <w:color w:val="auto"/>
          <w:spacing w:val="0"/>
          <w:sz w:val="24"/>
          <w:szCs w:val="24"/>
          <w:lang w:val="en-US"/>
        </w:rPr>
        <w:t>(</w:t>
      </w:r>
      <w:r>
        <w:rPr>
          <w:rFonts w:hint="default" w:ascii="Times New Roman" w:hAnsi="Times New Roman" w:eastAsia="宋体" w:cs="Times New Roman"/>
          <w:i w:val="0"/>
          <w:iCs w:val="0"/>
          <w:caps w:val="0"/>
          <w:color w:val="auto"/>
          <w:spacing w:val="0"/>
          <w:sz w:val="24"/>
          <w:szCs w:val="24"/>
        </w:rPr>
        <w:t>天</w:t>
      </w:r>
      <w:r>
        <w:rPr>
          <w:rFonts w:hint="default" w:ascii="Times New Roman" w:hAnsi="Times New Roman" w:eastAsia="宋体" w:cs="Times New Roman"/>
          <w:i w:val="0"/>
          <w:iCs w:val="0"/>
          <w:caps w:val="0"/>
          <w:color w:val="auto"/>
          <w:spacing w:val="0"/>
          <w:sz w:val="24"/>
          <w:szCs w:val="24"/>
          <w:lang w:val="en-US"/>
        </w:rPr>
        <w:t>)</w:t>
      </w:r>
      <w:r>
        <w:rPr>
          <w:rFonts w:hint="default" w:ascii="Times New Roman" w:hAnsi="Times New Roman" w:eastAsia="宋体" w:cs="Times New Roman"/>
          <w:i w:val="0"/>
          <w:iCs w:val="0"/>
          <w:caps w:val="0"/>
          <w:color w:val="auto"/>
          <w:spacing w:val="0"/>
          <w:sz w:val="24"/>
          <w:szCs w:val="24"/>
        </w:rPr>
        <w:t>×设计存栏量</w:t>
      </w:r>
      <w:r>
        <w:rPr>
          <w:rFonts w:hint="default" w:ascii="Times New Roman" w:hAnsi="Times New Roman" w:eastAsia="宋体" w:cs="Times New Roman"/>
          <w:i w:val="0"/>
          <w:iCs w:val="0"/>
          <w:caps w:val="0"/>
          <w:color w:val="auto"/>
          <w:spacing w:val="0"/>
          <w:sz w:val="24"/>
          <w:szCs w:val="24"/>
          <w:lang w:val="en-US"/>
        </w:rPr>
        <w:t>(</w:t>
      </w:r>
      <w:r>
        <w:rPr>
          <w:rFonts w:hint="default" w:ascii="Times New Roman" w:hAnsi="Times New Roman" w:eastAsia="宋体" w:cs="Times New Roman"/>
          <w:i w:val="0"/>
          <w:iCs w:val="0"/>
          <w:caps w:val="0"/>
          <w:color w:val="auto"/>
          <w:spacing w:val="0"/>
          <w:sz w:val="24"/>
          <w:szCs w:val="24"/>
        </w:rPr>
        <w:t>头</w:t>
      </w:r>
      <w:r>
        <w:rPr>
          <w:rFonts w:hint="default" w:ascii="Times New Roman" w:hAnsi="Times New Roman" w:eastAsia="宋体" w:cs="Times New Roman"/>
          <w:i w:val="0"/>
          <w:iCs w:val="0"/>
          <w:caps w:val="0"/>
          <w:color w:val="auto"/>
          <w:spacing w:val="0"/>
          <w:sz w:val="24"/>
          <w:szCs w:val="24"/>
          <w:lang w:val="en-US"/>
        </w:rPr>
        <w:t>)</w:t>
      </w:r>
      <w:r>
        <w:rPr>
          <w:rFonts w:hint="default" w:ascii="Times New Roman" w:hAnsi="Times New Roman" w:eastAsia="宋体" w:cs="Times New Roman"/>
          <w:i w:val="0"/>
          <w:iCs w:val="0"/>
          <w:caps w:val="0"/>
          <w:color w:val="auto"/>
          <w:spacing w:val="0"/>
          <w:sz w:val="24"/>
          <w:szCs w:val="24"/>
        </w:rPr>
        <w:t>，其它畜禽按</w:t>
      </w:r>
      <w:r>
        <w:rPr>
          <w:rFonts w:hint="default" w:ascii="Times New Roman" w:hAnsi="Times New Roman" w:eastAsia="宋体" w:cs="Times New Roman"/>
          <w:i w:val="0"/>
          <w:iCs w:val="0"/>
          <w:caps w:val="0"/>
          <w:color w:val="auto"/>
          <w:spacing w:val="0"/>
          <w:sz w:val="24"/>
          <w:szCs w:val="24"/>
          <w:lang w:val="en-US"/>
        </w:rPr>
        <w:t>GB18596 </w:t>
      </w:r>
      <w:r>
        <w:rPr>
          <w:rFonts w:hint="default" w:ascii="Times New Roman" w:hAnsi="Times New Roman" w:eastAsia="宋体" w:cs="Times New Roman"/>
          <w:i w:val="0"/>
          <w:iCs w:val="0"/>
          <w:caps w:val="0"/>
          <w:color w:val="auto"/>
          <w:spacing w:val="0"/>
          <w:sz w:val="24"/>
          <w:szCs w:val="24"/>
        </w:rPr>
        <w:t>折算成猪的存栏量计算</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rPr>
        <w:t>。</w:t>
      </w:r>
    </w:p>
    <w:p>
      <w:pPr>
        <w:tabs>
          <w:tab w:val="left" w:pos="1220"/>
        </w:tabs>
        <w:spacing w:line="360" w:lineRule="auto"/>
        <w:ind w:firstLine="504" w:firstLineChars="210"/>
        <w:rPr>
          <w:rFonts w:ascii="Times New Roman" w:hAnsi="Times New Roman" w:cs="Times New Roman"/>
          <w:bCs/>
          <w:color w:val="auto"/>
          <w:sz w:val="24"/>
        </w:rPr>
      </w:pPr>
      <w:r>
        <w:rPr>
          <w:rFonts w:hint="eastAsia" w:ascii="Times New Roman" w:hAnsi="Times New Roman" w:cs="Times New Roman"/>
          <w:bCs/>
          <w:color w:val="auto"/>
          <w:sz w:val="24"/>
          <w:lang w:val="en-US" w:eastAsia="zh-CN"/>
        </w:rPr>
        <w:t>本项目采用同位发酵床，</w:t>
      </w:r>
      <w:r>
        <w:rPr>
          <w:rFonts w:hint="eastAsia" w:ascii="Times New Roman" w:hAnsi="Times New Roman" w:cs="Times New Roman"/>
          <w:bCs/>
          <w:color w:val="auto"/>
          <w:sz w:val="24"/>
        </w:rPr>
        <w:t>由产品方案可知，本项目折算存栏量为</w:t>
      </w:r>
      <w:r>
        <w:rPr>
          <w:rFonts w:hint="eastAsia" w:cs="Times New Roman"/>
          <w:bCs/>
          <w:color w:val="auto"/>
          <w:sz w:val="24"/>
          <w:lang w:val="en-US" w:eastAsia="zh-CN"/>
        </w:rPr>
        <w:t>48670</w:t>
      </w:r>
      <w:r>
        <w:rPr>
          <w:rFonts w:hint="eastAsia" w:ascii="Times New Roman" w:hAnsi="Times New Roman" w:cs="Times New Roman"/>
          <w:bCs/>
          <w:color w:val="auto"/>
          <w:sz w:val="24"/>
        </w:rPr>
        <w:t>头。根据《畜禽规模养殖场粪污资源化利用设施建设规范（试行）》，粪污暂存池容积、发酵床面积配套量计算如下：</w:t>
      </w:r>
    </w:p>
    <w:p>
      <w:pPr>
        <w:tabs>
          <w:tab w:val="left" w:pos="1220"/>
        </w:tabs>
        <w:spacing w:line="360" w:lineRule="auto"/>
        <w:ind w:firstLine="504" w:firstLineChars="21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i w:val="0"/>
          <w:iCs w:val="0"/>
          <w:caps w:val="0"/>
          <w:color w:val="auto"/>
          <w:spacing w:val="0"/>
          <w:sz w:val="24"/>
          <w:szCs w:val="24"/>
        </w:rPr>
        <w:t>堆肥设施发酵容积</w:t>
      </w:r>
      <w:r>
        <w:rPr>
          <w:rFonts w:hint="eastAsia" w:ascii="Times New Roman" w:hAnsi="Times New Roman" w:eastAsia="宋体" w:cs="Times New Roman"/>
          <w:color w:val="auto"/>
          <w:kern w:val="0"/>
          <w:sz w:val="24"/>
          <w:szCs w:val="24"/>
        </w:rPr>
        <w:t>=0</w:t>
      </w:r>
      <w:r>
        <w:rPr>
          <w:rFonts w:hint="eastAsia" w:ascii="Times New Roman" w:hAnsi="Times New Roman" w:cs="Times New Roman"/>
          <w:bCs/>
          <w:color w:val="auto"/>
          <w:sz w:val="24"/>
        </w:rPr>
        <w:t>.</w:t>
      </w:r>
      <w:r>
        <w:rPr>
          <w:rFonts w:hint="eastAsia" w:ascii="Times New Roman" w:hAnsi="Times New Roman" w:cs="Times New Roman"/>
          <w:bCs/>
          <w:color w:val="auto"/>
          <w:sz w:val="24"/>
          <w:lang w:val="en-US" w:eastAsia="zh-CN"/>
        </w:rPr>
        <w:t>002</w:t>
      </w:r>
      <w:r>
        <w:rPr>
          <w:rFonts w:hint="eastAsia" w:ascii="Times New Roman" w:hAnsi="Times New Roman" w:cs="Times New Roman"/>
          <w:bCs/>
          <w:color w:val="auto"/>
          <w:sz w:val="24"/>
        </w:rPr>
        <w:t>m</w:t>
      </w:r>
      <w:r>
        <w:rPr>
          <w:rFonts w:hint="eastAsia" w:ascii="Times New Roman" w:hAnsi="Times New Roman" w:cs="Times New Roman"/>
          <w:bCs/>
          <w:color w:val="auto"/>
          <w:sz w:val="24"/>
          <w:vertAlign w:val="superscript"/>
          <w:lang w:val="en-US" w:eastAsia="zh-CN"/>
        </w:rPr>
        <w:t>3</w:t>
      </w:r>
      <w:r>
        <w:rPr>
          <w:rFonts w:hint="eastAsia" w:ascii="Times New Roman" w:hAnsi="Times New Roman" w:eastAsia="宋体" w:cs="Times New Roman"/>
          <w:color w:val="auto"/>
          <w:kern w:val="0"/>
          <w:sz w:val="24"/>
          <w:szCs w:val="24"/>
        </w:rPr>
        <w:t>/头×</w:t>
      </w:r>
      <w:r>
        <w:rPr>
          <w:rFonts w:hint="eastAsia" w:cs="Times New Roman"/>
          <w:color w:val="auto"/>
          <w:kern w:val="0"/>
          <w:sz w:val="24"/>
          <w:szCs w:val="24"/>
          <w:lang w:val="en-US" w:eastAsia="zh-CN"/>
        </w:rPr>
        <w:t>48670</w:t>
      </w:r>
      <w:r>
        <w:rPr>
          <w:rFonts w:hint="eastAsia" w:ascii="Times New Roman" w:hAnsi="Times New Roman" w:eastAsia="宋体" w:cs="Times New Roman"/>
          <w:color w:val="auto"/>
          <w:kern w:val="0"/>
          <w:sz w:val="24"/>
          <w:szCs w:val="24"/>
        </w:rPr>
        <w:t>头=</w:t>
      </w:r>
      <w:r>
        <w:rPr>
          <w:rFonts w:hint="eastAsia" w:cs="Times New Roman"/>
          <w:color w:val="auto"/>
          <w:kern w:val="0"/>
          <w:sz w:val="24"/>
          <w:szCs w:val="24"/>
          <w:lang w:val="en-US" w:eastAsia="zh-CN"/>
        </w:rPr>
        <w:t>973.4</w:t>
      </w:r>
      <w:r>
        <w:rPr>
          <w:rFonts w:hint="eastAsia" w:ascii="Times New Roman" w:hAnsi="Times New Roman" w:eastAsia="宋体" w:cs="Times New Roman"/>
          <w:color w:val="auto"/>
          <w:kern w:val="0"/>
          <w:sz w:val="24"/>
          <w:szCs w:val="24"/>
        </w:rPr>
        <w:t>m</w:t>
      </w:r>
      <w:r>
        <w:rPr>
          <w:rFonts w:hint="eastAsia" w:ascii="Times New Roman" w:hAnsi="Times New Roman" w:eastAsia="宋体" w:cs="Times New Roman"/>
          <w:color w:val="auto"/>
          <w:kern w:val="0"/>
          <w:sz w:val="24"/>
          <w:szCs w:val="24"/>
          <w:vertAlign w:val="superscript"/>
          <w:lang w:val="en-US" w:eastAsia="zh-CN"/>
        </w:rPr>
        <w:t>3</w:t>
      </w:r>
    </w:p>
    <w:p>
      <w:pPr>
        <w:pStyle w:val="1256"/>
        <w:spacing w:line="360" w:lineRule="auto"/>
        <w:ind w:firstLine="480"/>
        <w:rPr>
          <w:color w:val="auto"/>
        </w:rPr>
      </w:pPr>
      <w:r>
        <w:rPr>
          <w:rFonts w:hint="eastAsia"/>
          <w:color w:val="auto"/>
        </w:rPr>
        <w:t>本项目</w:t>
      </w:r>
      <w:r>
        <w:rPr>
          <w:rFonts w:hint="default" w:ascii="Times New Roman" w:hAnsi="Times New Roman" w:eastAsia="宋体" w:cs="Times New Roman"/>
          <w:i w:val="0"/>
          <w:iCs w:val="0"/>
          <w:caps w:val="0"/>
          <w:color w:val="auto"/>
          <w:spacing w:val="0"/>
          <w:sz w:val="24"/>
          <w:szCs w:val="24"/>
        </w:rPr>
        <w:t>堆肥设施发酵容积</w:t>
      </w:r>
      <w:r>
        <w:rPr>
          <w:rFonts w:hint="eastAsia"/>
          <w:color w:val="auto"/>
        </w:rPr>
        <w:t>容积=</w:t>
      </w:r>
      <w:r>
        <w:rPr>
          <w:rFonts w:hint="eastAsia"/>
          <w:color w:val="auto"/>
          <w:lang w:val="en-US" w:eastAsia="zh-CN"/>
        </w:rPr>
        <w:t>103201</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1.5=154801.5</w:t>
      </w:r>
      <w:r>
        <w:rPr>
          <w:rFonts w:hint="eastAsia"/>
          <w:color w:val="auto"/>
        </w:rPr>
        <w:t>＞</w:t>
      </w:r>
      <w:r>
        <w:rPr>
          <w:rFonts w:hint="eastAsia"/>
          <w:color w:val="auto"/>
          <w:kern w:val="0"/>
          <w:lang w:val="en-US" w:eastAsia="zh-CN"/>
        </w:rPr>
        <w:t>973.4</w:t>
      </w:r>
      <w:r>
        <w:rPr>
          <w:rFonts w:hint="eastAsia"/>
          <w:color w:val="auto"/>
          <w:kern w:val="0"/>
        </w:rPr>
        <w:t>m</w:t>
      </w:r>
      <w:r>
        <w:rPr>
          <w:rFonts w:hint="eastAsia"/>
          <w:color w:val="auto"/>
          <w:kern w:val="0"/>
          <w:vertAlign w:val="superscript"/>
        </w:rPr>
        <w:t>3</w:t>
      </w:r>
    </w:p>
    <w:p>
      <w:pPr>
        <w:pStyle w:val="1256"/>
        <w:spacing w:line="360" w:lineRule="auto"/>
        <w:ind w:firstLine="480"/>
        <w:rPr>
          <w:color w:val="auto"/>
        </w:rPr>
      </w:pPr>
      <w:r>
        <w:rPr>
          <w:rFonts w:hint="eastAsia"/>
          <w:color w:val="auto"/>
        </w:rPr>
        <w:t>本项目发酵床</w:t>
      </w:r>
      <w:r>
        <w:rPr>
          <w:rFonts w:hint="eastAsia"/>
          <w:color w:val="auto"/>
          <w:lang w:val="en-US" w:eastAsia="zh-CN"/>
        </w:rPr>
        <w:t>发酵容</w:t>
      </w:r>
      <w:r>
        <w:rPr>
          <w:rFonts w:hint="eastAsia"/>
          <w:color w:val="auto"/>
        </w:rPr>
        <w:t>积符合《</w:t>
      </w:r>
      <w:r>
        <w:rPr>
          <w:rFonts w:hint="eastAsia"/>
          <w:bCs/>
          <w:color w:val="auto"/>
        </w:rPr>
        <w:t>畜禽规模养殖场粪污资源化利用设施建设规范（试行）</w:t>
      </w:r>
      <w:r>
        <w:rPr>
          <w:rFonts w:hint="eastAsia"/>
          <w:color w:val="auto"/>
        </w:rPr>
        <w:t>》要求。</w:t>
      </w:r>
    </w:p>
    <w:p>
      <w:pPr>
        <w:tabs>
          <w:tab w:val="left" w:pos="1220"/>
        </w:tabs>
        <w:spacing w:line="360" w:lineRule="auto"/>
        <w:ind w:firstLine="504" w:firstLineChars="210"/>
        <w:rPr>
          <w:rFonts w:ascii="Times New Roman" w:hAnsi="Times New Roman" w:cs="Times New Roman"/>
          <w:bCs/>
          <w:color w:val="auto"/>
          <w:sz w:val="24"/>
        </w:rPr>
      </w:pPr>
      <w:r>
        <w:rPr>
          <w:rFonts w:ascii="Times New Roman" w:hAnsi="Times New Roman" w:cs="Times New Roman"/>
          <w:bCs/>
          <w:color w:val="auto"/>
          <w:sz w:val="24"/>
        </w:rPr>
        <w:t>综上</w:t>
      </w:r>
      <w:r>
        <w:rPr>
          <w:rFonts w:hint="eastAsia" w:ascii="Times New Roman" w:hAnsi="Times New Roman" w:cs="Times New Roman"/>
          <w:bCs/>
          <w:color w:val="auto"/>
          <w:sz w:val="24"/>
        </w:rPr>
        <w:t>，</w:t>
      </w:r>
      <w:r>
        <w:rPr>
          <w:rFonts w:ascii="Times New Roman" w:hAnsi="Times New Roman" w:cs="Times New Roman"/>
          <w:bCs/>
          <w:color w:val="auto"/>
          <w:sz w:val="24"/>
        </w:rPr>
        <w:t>本项目采用发酵床处理粪污是可行的</w:t>
      </w:r>
      <w:r>
        <w:rPr>
          <w:rFonts w:hint="eastAsia" w:ascii="Times New Roman" w:hAnsi="Times New Roman" w:cs="Times New Roman"/>
          <w:bCs/>
          <w:color w:val="auto"/>
          <w:sz w:val="24"/>
        </w:rPr>
        <w:t>。</w:t>
      </w:r>
    </w:p>
    <w:p>
      <w:pPr>
        <w:pStyle w:val="180"/>
        <w:rPr>
          <w:rFonts w:ascii="Times New Roman" w:hAnsi="Times New Roman" w:eastAsia="宋体" w:cs="Times New Roman"/>
          <w:b/>
          <w:color w:val="auto"/>
          <w:sz w:val="24"/>
          <w:szCs w:val="18"/>
        </w:rPr>
      </w:pPr>
      <w:bookmarkStart w:id="505" w:name="_Toc8201"/>
      <w:r>
        <w:rPr>
          <w:rFonts w:ascii="Times New Roman" w:hAnsi="Times New Roman" w:eastAsia="宋体" w:cs="Times New Roman"/>
          <w:b/>
          <w:color w:val="auto"/>
          <w:sz w:val="24"/>
          <w:szCs w:val="18"/>
        </w:rPr>
        <w:t>营运期地下水</w:t>
      </w:r>
      <w:bookmarkEnd w:id="505"/>
    </w:p>
    <w:p>
      <w:pPr>
        <w:spacing w:line="360" w:lineRule="auto"/>
        <w:ind w:firstLine="480" w:firstLineChars="200"/>
        <w:rPr>
          <w:color w:val="auto"/>
          <w:sz w:val="24"/>
        </w:rPr>
      </w:pPr>
      <w:r>
        <w:rPr>
          <w:color w:val="auto"/>
          <w:sz w:val="24"/>
        </w:rPr>
        <w:t>地下水污染防治措施分为主动防渗措施和被动防渗措施，主动防渗措施是为了防止和减少污染物跑、冒、滴、漏，从源头上采取的控制污染物泄露的各种防渗措施。被动防渗措施是为了防止和减少污染物渗漏进入地下水体，采取的各种防渗措施，包括泄露的隔离、收集等措施。</w:t>
      </w:r>
    </w:p>
    <w:p>
      <w:pPr>
        <w:spacing w:line="360" w:lineRule="auto"/>
        <w:ind w:firstLine="482" w:firstLineChars="200"/>
        <w:rPr>
          <w:b/>
          <w:color w:val="auto"/>
          <w:sz w:val="24"/>
        </w:rPr>
      </w:pPr>
      <w:r>
        <w:rPr>
          <w:b/>
          <w:color w:val="auto"/>
          <w:sz w:val="24"/>
        </w:rPr>
        <w:t>（1）主动防渗漏措施</w:t>
      </w:r>
    </w:p>
    <w:p>
      <w:pPr>
        <w:spacing w:line="360" w:lineRule="auto"/>
        <w:ind w:firstLine="600" w:firstLineChars="250"/>
        <w:rPr>
          <w:color w:val="auto"/>
          <w:sz w:val="24"/>
        </w:rPr>
      </w:pPr>
      <w:r>
        <w:rPr>
          <w:color w:val="auto"/>
          <w:sz w:val="24"/>
        </w:rPr>
        <w:t>①工艺控制措施</w:t>
      </w:r>
    </w:p>
    <w:p>
      <w:pPr>
        <w:spacing w:line="360" w:lineRule="auto"/>
        <w:ind w:firstLine="600" w:firstLineChars="250"/>
        <w:rPr>
          <w:color w:val="auto"/>
          <w:sz w:val="24"/>
        </w:rPr>
      </w:pPr>
      <w:r>
        <w:rPr>
          <w:color w:val="auto"/>
          <w:sz w:val="24"/>
        </w:rPr>
        <w:t>生产区域内易产生泄漏的设备尽可能集中布置；消毒用化学品按规范设置、防止渗漏处理。</w:t>
      </w:r>
    </w:p>
    <w:p>
      <w:pPr>
        <w:spacing w:line="360" w:lineRule="auto"/>
        <w:ind w:firstLine="600" w:firstLineChars="250"/>
        <w:rPr>
          <w:color w:val="auto"/>
          <w:sz w:val="24"/>
        </w:rPr>
      </w:pPr>
      <w:r>
        <w:rPr>
          <w:color w:val="auto"/>
          <w:sz w:val="24"/>
        </w:rPr>
        <w:t>②建筑结构防控措施</w:t>
      </w:r>
    </w:p>
    <w:p>
      <w:pPr>
        <w:spacing w:line="360" w:lineRule="auto"/>
        <w:ind w:firstLine="600" w:firstLineChars="250"/>
        <w:rPr>
          <w:color w:val="auto"/>
          <w:sz w:val="24"/>
        </w:rPr>
      </w:pPr>
      <w:r>
        <w:rPr>
          <w:color w:val="auto"/>
          <w:sz w:val="24"/>
        </w:rPr>
        <w:t>厂房内有可能发生化学药品或含有污染物的介质泄漏的地面按污染区地面处理，地面坡向集水点的坡度须大于0.01；混凝土含碱量最大限值应符合《混凝土碱含量限值标准》（CECS53）的规定；厂房内污染区的排水沟按相应分区进行防渗处理。</w:t>
      </w:r>
    </w:p>
    <w:p>
      <w:pPr>
        <w:spacing w:line="360" w:lineRule="auto"/>
        <w:ind w:firstLine="602" w:firstLineChars="250"/>
        <w:rPr>
          <w:b/>
          <w:color w:val="auto"/>
          <w:sz w:val="24"/>
        </w:rPr>
      </w:pPr>
      <w:r>
        <w:rPr>
          <w:b/>
          <w:color w:val="auto"/>
          <w:sz w:val="24"/>
        </w:rPr>
        <w:t>（2）被动防渗漏措施</w:t>
      </w:r>
    </w:p>
    <w:p>
      <w:pPr>
        <w:keepNext w:val="0"/>
        <w:keepLines w:val="0"/>
        <w:pageBreakBefore w:val="0"/>
        <w:widowControl w:val="0"/>
        <w:kinsoku/>
        <w:wordWrap/>
        <w:overflowPunct/>
        <w:topLinePunct w:val="0"/>
        <w:autoSpaceDE/>
        <w:autoSpaceDN/>
        <w:bidi w:val="0"/>
        <w:adjustRightInd/>
        <w:snapToGrid/>
        <w:spacing w:before="0" w:beforeLines="50" w:line="360" w:lineRule="auto"/>
        <w:ind w:firstLine="600" w:firstLineChars="250"/>
        <w:textAlignment w:val="auto"/>
        <w:rPr>
          <w:color w:val="auto"/>
          <w:sz w:val="24"/>
        </w:rPr>
      </w:pPr>
      <w:r>
        <w:rPr>
          <w:color w:val="auto"/>
          <w:sz w:val="24"/>
        </w:rPr>
        <w:t>将全厂严格区分为污染防治区和非污染防治区。其中，污染防治区分为重点污染防治区、一般污染防治区和简单污染防治区。</w:t>
      </w:r>
    </w:p>
    <w:p>
      <w:pPr>
        <w:spacing w:line="360" w:lineRule="auto"/>
        <w:ind w:firstLine="600" w:firstLineChars="250"/>
        <w:rPr>
          <w:color w:val="auto"/>
          <w:sz w:val="24"/>
        </w:rPr>
      </w:pPr>
      <w:r>
        <w:rPr>
          <w:color w:val="auto"/>
          <w:sz w:val="24"/>
        </w:rPr>
        <w:t>分区防渗方案：</w:t>
      </w:r>
      <w:r>
        <w:rPr>
          <w:color w:val="auto"/>
          <w:kern w:val="0"/>
          <w:sz w:val="24"/>
        </w:rPr>
        <w:fldChar w:fldCharType="begin"/>
      </w:r>
      <w:r>
        <w:rPr>
          <w:color w:val="auto"/>
          <w:kern w:val="0"/>
          <w:sz w:val="24"/>
        </w:rPr>
        <w:instrText xml:space="preserve">= 1 \* GB3</w:instrText>
      </w:r>
      <w:r>
        <w:rPr>
          <w:color w:val="auto"/>
          <w:kern w:val="0"/>
          <w:sz w:val="24"/>
        </w:rPr>
        <w:fldChar w:fldCharType="separate"/>
      </w:r>
      <w:r>
        <w:rPr>
          <w:color w:val="auto"/>
          <w:kern w:val="0"/>
          <w:sz w:val="24"/>
        </w:rPr>
        <w:t>①</w:t>
      </w:r>
      <w:r>
        <w:rPr>
          <w:color w:val="auto"/>
          <w:kern w:val="0"/>
          <w:sz w:val="24"/>
        </w:rPr>
        <w:fldChar w:fldCharType="end"/>
      </w:r>
      <w:r>
        <w:rPr>
          <w:rFonts w:hint="eastAsia"/>
          <w:color w:val="auto"/>
          <w:kern w:val="0"/>
          <w:sz w:val="24"/>
          <w:lang w:val="en-US" w:eastAsia="zh-CN"/>
        </w:rPr>
        <w:t>医疗废物</w:t>
      </w:r>
      <w:r>
        <w:rPr>
          <w:rFonts w:hint="eastAsia"/>
          <w:color w:val="auto"/>
          <w:kern w:val="0"/>
          <w:sz w:val="24"/>
        </w:rPr>
        <w:t>暂存间、柴油发电机房</w:t>
      </w:r>
      <w:r>
        <w:rPr>
          <w:color w:val="auto"/>
          <w:kern w:val="0"/>
          <w:sz w:val="24"/>
        </w:rPr>
        <w:t>等设置为重点污染防治区，防渗技术要求：等效黏土防渗层 Mb≥6.0m，K≤1×10</w:t>
      </w:r>
      <w:r>
        <w:rPr>
          <w:color w:val="auto"/>
          <w:kern w:val="0"/>
          <w:sz w:val="24"/>
          <w:vertAlign w:val="superscript"/>
        </w:rPr>
        <w:t>-7</w:t>
      </w:r>
      <w:r>
        <w:rPr>
          <w:color w:val="auto"/>
          <w:kern w:val="0"/>
          <w:sz w:val="24"/>
        </w:rPr>
        <w:t>cm/s；</w:t>
      </w:r>
      <w:r>
        <w:rPr>
          <w:rFonts w:hint="eastAsia"/>
          <w:color w:val="auto"/>
          <w:kern w:val="0"/>
          <w:sz w:val="24"/>
          <w:lang w:val="en-US" w:eastAsia="zh-CN"/>
        </w:rPr>
        <w:t>医疗废物</w:t>
      </w:r>
      <w:r>
        <w:rPr>
          <w:rFonts w:hint="eastAsia"/>
          <w:color w:val="auto"/>
          <w:kern w:val="0"/>
          <w:sz w:val="24"/>
        </w:rPr>
        <w:t>暂存间</w:t>
      </w:r>
      <w:r>
        <w:rPr>
          <w:rFonts w:hint="eastAsia"/>
          <w:bCs/>
          <w:color w:val="auto"/>
          <w:sz w:val="24"/>
          <w:szCs w:val="32"/>
        </w:rPr>
        <w:t>满足渗透系数K≤1×10</w:t>
      </w:r>
      <w:r>
        <w:rPr>
          <w:rFonts w:hint="eastAsia"/>
          <w:bCs/>
          <w:color w:val="auto"/>
          <w:sz w:val="24"/>
          <w:szCs w:val="32"/>
          <w:vertAlign w:val="superscript"/>
        </w:rPr>
        <w:t>-10</w:t>
      </w:r>
      <w:r>
        <w:rPr>
          <w:rFonts w:hint="eastAsia"/>
          <w:bCs/>
          <w:color w:val="auto"/>
          <w:sz w:val="24"/>
          <w:szCs w:val="32"/>
        </w:rPr>
        <w:t>cm/s</w:t>
      </w:r>
      <w:r>
        <w:rPr>
          <w:rFonts w:hint="eastAsia"/>
          <w:color w:val="auto"/>
          <w:sz w:val="24"/>
          <w:szCs w:val="24"/>
        </w:rPr>
        <w:t>，</w:t>
      </w:r>
      <w:r>
        <w:rPr>
          <w:rFonts w:hint="default" w:ascii="Times New Roman" w:hAnsi="Times New Roman" w:cs="Times New Roman"/>
          <w:color w:val="auto"/>
          <w:kern w:val="0"/>
          <w:sz w:val="24"/>
          <w:szCs w:val="24"/>
        </w:rPr>
        <w:t>或参照GB18598 执行</w:t>
      </w:r>
      <w:r>
        <w:rPr>
          <w:color w:val="auto"/>
          <w:kern w:val="0"/>
          <w:sz w:val="24"/>
        </w:rPr>
        <w:t>。</w:t>
      </w:r>
    </w:p>
    <w:p>
      <w:pPr>
        <w:spacing w:line="360" w:lineRule="auto"/>
        <w:ind w:firstLine="480" w:firstLineChars="200"/>
        <w:rPr>
          <w:rFonts w:hint="eastAsia" w:eastAsia="宋体"/>
          <w:color w:val="auto"/>
          <w:sz w:val="24"/>
          <w:lang w:eastAsia="zh-CN"/>
        </w:rPr>
      </w:pPr>
      <w:r>
        <w:rPr>
          <w:rFonts w:hint="eastAsia"/>
          <w:color w:val="auto"/>
          <w:kern w:val="0"/>
          <w:sz w:val="24"/>
          <w:lang w:val="en-US" w:eastAsia="zh-CN"/>
        </w:rPr>
        <w:t>医疗废物</w:t>
      </w:r>
      <w:r>
        <w:rPr>
          <w:rFonts w:hint="eastAsia"/>
          <w:color w:val="auto"/>
          <w:sz w:val="24"/>
        </w:rPr>
        <w:t>暂存间严格按照《危险废物贮存污染控制标准》的要求设计，做好地面防雨、防渗、防腐措施，基础周围设置地沟、围堰，并对地沟、围堰进行防渗、防腐处理，以防范装卸作业泄漏、溢流等意外污染事故的发生。采用防渗混凝土+HDPE防渗层，防渗要求为：等效黏土防渗层Mb≥6.0m，渗透系数K≤10</w:t>
      </w:r>
      <w:r>
        <w:rPr>
          <w:rFonts w:hint="eastAsia"/>
          <w:color w:val="auto"/>
          <w:sz w:val="24"/>
          <w:vertAlign w:val="superscript"/>
        </w:rPr>
        <w:t>-10</w:t>
      </w:r>
      <w:r>
        <w:rPr>
          <w:rFonts w:hint="eastAsia"/>
          <w:color w:val="auto"/>
          <w:sz w:val="24"/>
        </w:rPr>
        <w:t>cm/s</w:t>
      </w:r>
      <w:r>
        <w:rPr>
          <w:rFonts w:hint="eastAsia"/>
          <w:color w:val="auto"/>
          <w:sz w:val="24"/>
          <w:szCs w:val="24"/>
        </w:rPr>
        <w:t>，</w:t>
      </w:r>
      <w:r>
        <w:rPr>
          <w:rFonts w:hint="default" w:ascii="Times New Roman" w:hAnsi="Times New Roman" w:cs="Times New Roman"/>
          <w:color w:val="auto"/>
          <w:kern w:val="0"/>
          <w:sz w:val="24"/>
          <w:szCs w:val="24"/>
        </w:rPr>
        <w:t>或参照GB18598 执行</w:t>
      </w:r>
      <w:r>
        <w:rPr>
          <w:rFonts w:hint="eastAsia"/>
          <w:color w:val="auto"/>
          <w:sz w:val="24"/>
        </w:rPr>
        <w:t>；</w:t>
      </w:r>
      <w:r>
        <w:rPr>
          <w:rFonts w:hint="eastAsia"/>
          <w:color w:val="auto"/>
          <w:kern w:val="0"/>
          <w:sz w:val="24"/>
        </w:rPr>
        <w:t>柴油发电机房</w:t>
      </w:r>
      <w:r>
        <w:rPr>
          <w:rFonts w:hint="eastAsia"/>
          <w:color w:val="auto"/>
          <w:sz w:val="24"/>
        </w:rPr>
        <w:t>地面采用防渗混凝土+HDPE防渗层，防渗要求为：等效黏土防渗层Mb≥6.0m，渗透系数K≤10</w:t>
      </w:r>
      <w:r>
        <w:rPr>
          <w:rFonts w:hint="eastAsia"/>
          <w:color w:val="auto"/>
          <w:sz w:val="24"/>
          <w:vertAlign w:val="superscript"/>
        </w:rPr>
        <w:t>-7</w:t>
      </w:r>
      <w:r>
        <w:rPr>
          <w:rFonts w:hint="eastAsia"/>
          <w:color w:val="auto"/>
          <w:sz w:val="24"/>
        </w:rPr>
        <w:t>cm/s</w:t>
      </w:r>
      <w:r>
        <w:rPr>
          <w:rFonts w:hint="eastAsia"/>
          <w:color w:val="auto"/>
          <w:sz w:val="24"/>
          <w:lang w:eastAsia="zh-CN"/>
        </w:rPr>
        <w:t>。</w:t>
      </w:r>
    </w:p>
    <w:p>
      <w:pPr>
        <w:spacing w:line="360" w:lineRule="auto"/>
        <w:ind w:firstLine="600" w:firstLineChars="250"/>
        <w:rPr>
          <w:color w:val="auto"/>
          <w:sz w:val="24"/>
        </w:rPr>
      </w:pPr>
      <w:r>
        <w:rPr>
          <w:color w:val="auto"/>
          <w:kern w:val="0"/>
          <w:sz w:val="24"/>
        </w:rPr>
        <w:t>②</w:t>
      </w:r>
      <w:r>
        <w:rPr>
          <w:rFonts w:hint="eastAsia"/>
          <w:color w:val="auto"/>
          <w:kern w:val="0"/>
          <w:sz w:val="24"/>
          <w:lang w:val="en-US" w:eastAsia="zh-CN"/>
        </w:rPr>
        <w:t>养殖牛舍、干草棚、种牛公舍、TMB管理中心、发酵床</w:t>
      </w:r>
      <w:r>
        <w:rPr>
          <w:color w:val="auto"/>
          <w:kern w:val="0"/>
          <w:sz w:val="24"/>
        </w:rPr>
        <w:t>等设置为一般污染防治区，防渗技术要求：等效黏土防渗层Mb≥1.5m，K≤1×10</w:t>
      </w:r>
      <w:r>
        <w:rPr>
          <w:color w:val="auto"/>
          <w:kern w:val="0"/>
          <w:sz w:val="24"/>
          <w:vertAlign w:val="superscript"/>
        </w:rPr>
        <w:t>-7</w:t>
      </w:r>
      <w:r>
        <w:rPr>
          <w:color w:val="auto"/>
          <w:kern w:val="0"/>
          <w:sz w:val="24"/>
        </w:rPr>
        <w:t>cm/s；或参照 GB16889 执行。本项目采用P8级混凝土铺设，混凝土厚度10～15cm。③办公生活用房及道路等属简单污染防治区，可采取非铺砌地坪或普通混凝土地坪，不设置专门的防渗层，场内主要通道全部硬化处理；防渗技术要求：一般地面硬化。</w:t>
      </w:r>
    </w:p>
    <w:p>
      <w:pPr>
        <w:spacing w:line="360" w:lineRule="auto"/>
        <w:ind w:firstLine="482" w:firstLineChars="200"/>
        <w:rPr>
          <w:b/>
          <w:color w:val="auto"/>
          <w:sz w:val="24"/>
        </w:rPr>
      </w:pPr>
      <w:r>
        <w:rPr>
          <w:b/>
          <w:color w:val="auto"/>
          <w:sz w:val="24"/>
        </w:rPr>
        <w:t>（3）地下水污染防治措施的可行性论证</w:t>
      </w:r>
    </w:p>
    <w:p>
      <w:pPr>
        <w:autoSpaceDE w:val="0"/>
        <w:autoSpaceDN w:val="0"/>
        <w:adjustRightInd w:val="0"/>
        <w:spacing w:line="360" w:lineRule="auto"/>
        <w:ind w:firstLine="539"/>
        <w:jc w:val="left"/>
        <w:rPr>
          <w:color w:val="auto"/>
          <w:sz w:val="24"/>
        </w:rPr>
      </w:pPr>
      <w:r>
        <w:rPr>
          <w:color w:val="auto"/>
          <w:sz w:val="24"/>
        </w:rPr>
        <w:t>经分析，本项目采取的防止地下水污染的主动控制措施从生产过程入手，在工艺、管道、设备、给排水等方面尽可能的采取泄漏控制措施，从源头最大限度降低污染物质泄漏的可能性和泄漏量，符合“清洁生产”的环境保护要求，由此增加的投资可带来较好的环境效益，是必要的，故其技术经济可行。</w:t>
      </w:r>
    </w:p>
    <w:p>
      <w:pPr>
        <w:autoSpaceDE w:val="0"/>
        <w:autoSpaceDN w:val="0"/>
        <w:adjustRightInd w:val="0"/>
        <w:spacing w:line="360" w:lineRule="auto"/>
        <w:ind w:firstLine="539"/>
        <w:jc w:val="left"/>
        <w:rPr>
          <w:color w:val="auto"/>
          <w:sz w:val="24"/>
        </w:rPr>
      </w:pPr>
      <w:r>
        <w:rPr>
          <w:color w:val="auto"/>
          <w:sz w:val="24"/>
        </w:rPr>
        <w:t>同时，项目结合生产涉及各物料的特性、种类、排放量和工程水文地质条件等，对全厂区域进行污染分区，根据不同的区域参照不同的环境保护标准要求，设计不同的防渗方案，相应环境保护标准和工程要求，具有针对性和可操作性，与采用同一方案铺砌防渗层相比可节省大量投资，因此，污染分区方案技术经济合理、可行。</w:t>
      </w:r>
    </w:p>
    <w:p>
      <w:pPr>
        <w:autoSpaceDE w:val="0"/>
        <w:autoSpaceDN w:val="0"/>
        <w:adjustRightInd w:val="0"/>
        <w:spacing w:line="360" w:lineRule="auto"/>
        <w:ind w:firstLine="539"/>
        <w:jc w:val="left"/>
        <w:rPr>
          <w:color w:val="auto"/>
          <w:sz w:val="24"/>
        </w:rPr>
      </w:pPr>
      <w:r>
        <w:rPr>
          <w:color w:val="auto"/>
          <w:sz w:val="24"/>
        </w:rPr>
        <w:t>本项目的防渗层铺设采用地表铺设方式，可将防渗层上阻隔的污染物统一收集、集中处理，防止污染地下水，其技术成熟可靠、经济合理可行。</w:t>
      </w:r>
    </w:p>
    <w:p>
      <w:pPr>
        <w:pStyle w:val="180"/>
        <w:rPr>
          <w:rFonts w:hint="default" w:ascii="Times New Roman" w:hAnsi="Times New Roman" w:cs="Times New Roman" w:eastAsiaTheme="majorEastAsia"/>
          <w:b/>
          <w:bCs w:val="0"/>
          <w:color w:val="auto"/>
          <w:sz w:val="24"/>
          <w:szCs w:val="24"/>
        </w:rPr>
      </w:pPr>
      <w:bookmarkStart w:id="506" w:name="_Toc17876"/>
      <w:bookmarkStart w:id="507" w:name="_Toc330540664"/>
      <w:r>
        <w:rPr>
          <w:rFonts w:hint="default" w:ascii="Times New Roman" w:hAnsi="Times New Roman" w:cs="Times New Roman" w:eastAsiaTheme="majorEastAsia"/>
          <w:b/>
          <w:bCs w:val="0"/>
          <w:color w:val="auto"/>
          <w:sz w:val="24"/>
          <w:szCs w:val="24"/>
        </w:rPr>
        <w:t>营运期废气</w:t>
      </w:r>
      <w:bookmarkEnd w:id="506"/>
      <w:bookmarkEnd w:id="507"/>
    </w:p>
    <w:p>
      <w:pPr>
        <w:pStyle w:val="4"/>
        <w:spacing w:line="360" w:lineRule="auto"/>
        <w:ind w:firstLine="480" w:firstLineChars="200"/>
        <w:jc w:val="both"/>
        <w:rPr>
          <w:rFonts w:ascii="Times New Roman"/>
          <w:color w:val="auto"/>
          <w:szCs w:val="24"/>
        </w:rPr>
      </w:pPr>
      <w:r>
        <w:rPr>
          <w:rFonts w:ascii="Times New Roman"/>
          <w:color w:val="auto"/>
        </w:rPr>
        <w:t>本项目废气主要为</w:t>
      </w:r>
      <w:r>
        <w:rPr>
          <w:rFonts w:hint="eastAsia" w:ascii="Times New Roman"/>
          <w:color w:val="auto"/>
          <w:lang w:val="en-US" w:eastAsia="zh-CN"/>
        </w:rPr>
        <w:t>牛舍、发酵床</w:t>
      </w:r>
      <w:r>
        <w:rPr>
          <w:rFonts w:ascii="Times New Roman"/>
          <w:color w:val="auto"/>
        </w:rPr>
        <w:t>恶臭、</w:t>
      </w:r>
      <w:r>
        <w:rPr>
          <w:rFonts w:hint="eastAsia" w:ascii="Times New Roman"/>
          <w:color w:val="auto"/>
          <w:lang w:val="en-US" w:eastAsia="zh-CN"/>
        </w:rPr>
        <w:t>废气</w:t>
      </w:r>
      <w:r>
        <w:rPr>
          <w:rFonts w:ascii="Times New Roman"/>
          <w:color w:val="auto"/>
        </w:rPr>
        <w:t>以及备用发电机废气</w:t>
      </w:r>
      <w:r>
        <w:rPr>
          <w:rFonts w:ascii="Times New Roman"/>
          <w:color w:val="auto"/>
          <w:szCs w:val="24"/>
        </w:rPr>
        <w:t>。</w:t>
      </w:r>
    </w:p>
    <w:p>
      <w:pPr>
        <w:tabs>
          <w:tab w:val="left" w:pos="1220"/>
        </w:tabs>
        <w:spacing w:line="360" w:lineRule="auto"/>
        <w:ind w:firstLine="475" w:firstLineChars="198"/>
        <w:rPr>
          <w:bCs/>
          <w:color w:val="auto"/>
          <w:sz w:val="24"/>
        </w:rPr>
      </w:pPr>
      <w:r>
        <w:rPr>
          <w:rFonts w:hint="eastAsia"/>
          <w:bCs/>
          <w:color w:val="auto"/>
          <w:sz w:val="24"/>
        </w:rPr>
        <w:t>养</w:t>
      </w:r>
      <w:r>
        <w:rPr>
          <w:rFonts w:hint="eastAsia"/>
          <w:bCs/>
          <w:color w:val="auto"/>
          <w:sz w:val="24"/>
          <w:lang w:val="en-US" w:eastAsia="zh-CN"/>
        </w:rPr>
        <w:t>牛</w:t>
      </w:r>
      <w:r>
        <w:rPr>
          <w:rFonts w:hint="eastAsia"/>
          <w:bCs/>
          <w:color w:val="auto"/>
          <w:sz w:val="24"/>
        </w:rPr>
        <w:t>场异味气体来源于多个方面，如</w:t>
      </w:r>
      <w:r>
        <w:rPr>
          <w:rFonts w:hint="eastAsia"/>
          <w:bCs/>
          <w:color w:val="auto"/>
          <w:sz w:val="24"/>
          <w:lang w:eastAsia="zh-CN"/>
        </w:rPr>
        <w:t>牛</w:t>
      </w:r>
      <w:r>
        <w:rPr>
          <w:rFonts w:hint="eastAsia"/>
          <w:bCs/>
          <w:color w:val="auto"/>
          <w:sz w:val="24"/>
        </w:rPr>
        <w:t>呼吸、</w:t>
      </w:r>
      <w:r>
        <w:rPr>
          <w:rFonts w:hint="eastAsia"/>
          <w:bCs/>
          <w:color w:val="auto"/>
          <w:sz w:val="24"/>
          <w:lang w:eastAsia="zh-CN"/>
        </w:rPr>
        <w:t>牛</w:t>
      </w:r>
      <w:r>
        <w:rPr>
          <w:rFonts w:hint="eastAsia"/>
          <w:bCs/>
          <w:color w:val="auto"/>
          <w:sz w:val="24"/>
        </w:rPr>
        <w:t>皮肤、饲料、病死牛及分娩废物、</w:t>
      </w:r>
      <w:r>
        <w:rPr>
          <w:rFonts w:hint="eastAsia"/>
          <w:bCs/>
          <w:color w:val="auto"/>
          <w:sz w:val="24"/>
          <w:lang w:eastAsia="zh-CN"/>
        </w:rPr>
        <w:t>牛</w:t>
      </w:r>
      <w:r>
        <w:rPr>
          <w:rFonts w:hint="eastAsia"/>
          <w:bCs/>
          <w:color w:val="auto"/>
          <w:sz w:val="24"/>
        </w:rPr>
        <w:t>粪尿和污水等。因此，本项目恶臭主要产生于</w:t>
      </w:r>
      <w:r>
        <w:rPr>
          <w:rFonts w:hint="eastAsia"/>
          <w:bCs/>
          <w:color w:val="auto"/>
          <w:sz w:val="24"/>
          <w:lang w:eastAsia="zh-CN"/>
        </w:rPr>
        <w:t>牛</w:t>
      </w:r>
      <w:r>
        <w:rPr>
          <w:rFonts w:hint="eastAsia"/>
          <w:bCs/>
          <w:color w:val="auto"/>
          <w:sz w:val="24"/>
        </w:rPr>
        <w:t>舍、</w:t>
      </w:r>
      <w:r>
        <w:rPr>
          <w:rFonts w:hint="eastAsia"/>
          <w:bCs/>
          <w:color w:val="auto"/>
          <w:sz w:val="24"/>
          <w:lang w:val="en-US" w:eastAsia="zh-CN"/>
        </w:rPr>
        <w:t>发酵床</w:t>
      </w:r>
      <w:r>
        <w:rPr>
          <w:rFonts w:hint="eastAsia"/>
          <w:bCs/>
          <w:color w:val="auto"/>
          <w:sz w:val="24"/>
        </w:rPr>
        <w:t>，属无组织排放源，控制恶臭产生的源头和扩散渠道是解决恶臭污染的主要途径，项目拟采取以下防治措施：</w:t>
      </w:r>
    </w:p>
    <w:p>
      <w:pPr>
        <w:tabs>
          <w:tab w:val="left" w:pos="1220"/>
        </w:tabs>
        <w:spacing w:line="360" w:lineRule="auto"/>
        <w:ind w:firstLine="475" w:firstLineChars="198"/>
        <w:rPr>
          <w:rFonts w:hint="eastAsia"/>
          <w:bCs/>
          <w:color w:val="auto"/>
          <w:sz w:val="24"/>
        </w:rPr>
      </w:pPr>
      <w:r>
        <w:rPr>
          <w:rFonts w:hint="eastAsia"/>
          <w:bCs/>
          <w:color w:val="auto"/>
          <w:sz w:val="24"/>
        </w:rPr>
        <w:t>①畜禽科学饲喂技术</w:t>
      </w:r>
    </w:p>
    <w:p>
      <w:pPr>
        <w:tabs>
          <w:tab w:val="left" w:pos="1220"/>
        </w:tabs>
        <w:spacing w:line="360" w:lineRule="auto"/>
        <w:ind w:firstLine="475" w:firstLineChars="198"/>
        <w:rPr>
          <w:bCs/>
          <w:color w:val="auto"/>
          <w:sz w:val="24"/>
        </w:rPr>
      </w:pPr>
      <w:r>
        <w:rPr>
          <w:rFonts w:hint="eastAsia"/>
          <w:bCs/>
          <w:color w:val="auto"/>
          <w:sz w:val="24"/>
        </w:rPr>
        <w:t>采用培育优良品种、科学饲养、科学配料、使用无公害绿色添加剂等措施，并利用高新技术改变饲料品质及物理形态（如生物制剂处理技术、饲料颗粒化、饲料热喷技术），提高畜禽饲料的利用率（尤其是氮的利用率），降低畜禽排泄物中氮的含量及恶臭气体的排放。</w:t>
      </w:r>
    </w:p>
    <w:p>
      <w:pPr>
        <w:tabs>
          <w:tab w:val="left" w:pos="1220"/>
        </w:tabs>
        <w:spacing w:line="360" w:lineRule="auto"/>
        <w:ind w:firstLine="475" w:firstLineChars="198"/>
        <w:rPr>
          <w:bCs/>
          <w:color w:val="auto"/>
          <w:sz w:val="24"/>
        </w:rPr>
      </w:pPr>
      <w:r>
        <w:rPr>
          <w:rFonts w:hint="eastAsia"/>
          <w:bCs/>
          <w:color w:val="auto"/>
          <w:sz w:val="24"/>
        </w:rPr>
        <w:t>科学配料畜禽养殖饲料应采用合理配方，在饲料中补充合成氨基酸，提高蛋白质及其他营养的吸收效率，减少氨气排放量和粪便的产生量。科学设计日粮，提高饲料利用率：</w:t>
      </w:r>
      <w:r>
        <w:rPr>
          <w:rFonts w:hint="eastAsia"/>
          <w:bCs/>
          <w:color w:val="auto"/>
          <w:sz w:val="24"/>
          <w:lang w:eastAsia="zh-CN"/>
        </w:rPr>
        <w:t>牛</w:t>
      </w:r>
      <w:r>
        <w:rPr>
          <w:rFonts w:hint="eastAsia"/>
          <w:bCs/>
          <w:color w:val="auto"/>
          <w:sz w:val="24"/>
        </w:rPr>
        <w:t>采食饲料后，饲料在消化道消化过程中（尤其后段肠道），因微生物腐败分解而产生臭气；同时，没有消化吸收部分在体外被微生物降解，也产生恶臭。产生的粪污越多，臭气就越多。提高日粮的消化率、减少干物质（特别是蛋白质）排出量，既减少肠道臭气的产生，又可减少粪便排出后臭气的产生，这是减少恶臭来源的有效措施。试验证明，日粮消化率由</w:t>
      </w:r>
      <w:r>
        <w:rPr>
          <w:bCs/>
          <w:color w:val="auto"/>
          <w:sz w:val="24"/>
        </w:rPr>
        <w:t>85%</w:t>
      </w:r>
      <w:r>
        <w:rPr>
          <w:rFonts w:hint="eastAsia"/>
          <w:bCs/>
          <w:color w:val="auto"/>
          <w:sz w:val="24"/>
        </w:rPr>
        <w:t>提高至</w:t>
      </w:r>
      <w:r>
        <w:rPr>
          <w:bCs/>
          <w:color w:val="auto"/>
          <w:sz w:val="24"/>
        </w:rPr>
        <w:t>90%</w:t>
      </w:r>
      <w:r>
        <w:rPr>
          <w:rFonts w:hint="eastAsia"/>
          <w:bCs/>
          <w:color w:val="auto"/>
          <w:sz w:val="24"/>
        </w:rPr>
        <w:t>，粪便干物质排出量就减少三分之一；日粮蛋白质减少</w:t>
      </w:r>
      <w:r>
        <w:rPr>
          <w:bCs/>
          <w:color w:val="auto"/>
          <w:sz w:val="24"/>
        </w:rPr>
        <w:t>2%</w:t>
      </w:r>
      <w:r>
        <w:rPr>
          <w:rFonts w:hint="eastAsia"/>
          <w:bCs/>
          <w:color w:val="auto"/>
          <w:sz w:val="24"/>
        </w:rPr>
        <w:t>，粪便排泄量就降低</w:t>
      </w:r>
      <w:r>
        <w:rPr>
          <w:bCs/>
          <w:color w:val="auto"/>
          <w:sz w:val="24"/>
        </w:rPr>
        <w:t>20%</w:t>
      </w:r>
      <w:r>
        <w:rPr>
          <w:rFonts w:hint="eastAsia"/>
          <w:bCs/>
          <w:color w:val="auto"/>
          <w:sz w:val="24"/>
        </w:rPr>
        <w:t>。可采用经氨基酸平衡的低蛋白日粮和采用稀饲喂养方式减少恶臭的产生。</w:t>
      </w:r>
    </w:p>
    <w:p>
      <w:pPr>
        <w:tabs>
          <w:tab w:val="left" w:pos="1220"/>
        </w:tabs>
        <w:spacing w:line="360" w:lineRule="auto"/>
        <w:ind w:firstLine="475" w:firstLineChars="198"/>
        <w:rPr>
          <w:bCs/>
          <w:color w:val="auto"/>
          <w:sz w:val="24"/>
        </w:rPr>
      </w:pPr>
      <w:r>
        <w:rPr>
          <w:rFonts w:hint="eastAsia"/>
          <w:bCs/>
          <w:color w:val="auto"/>
          <w:sz w:val="24"/>
        </w:rPr>
        <w:t>科学饲养分阶段饲喂，即用不同养分组成的日粮饲喂不同生长发育阶段的畜禽，使日粮养分更接近畜禽的需要，可避免养分的浪费和对环境的污染。</w:t>
      </w:r>
    </w:p>
    <w:p>
      <w:pPr>
        <w:tabs>
          <w:tab w:val="left" w:pos="1220"/>
        </w:tabs>
        <w:spacing w:line="360" w:lineRule="auto"/>
        <w:ind w:firstLine="475" w:firstLineChars="198"/>
        <w:rPr>
          <w:bCs/>
          <w:color w:val="auto"/>
          <w:sz w:val="24"/>
        </w:rPr>
      </w:pPr>
      <w:r>
        <w:rPr>
          <w:rFonts w:hint="eastAsia"/>
          <w:bCs/>
          <w:color w:val="auto"/>
          <w:sz w:val="24"/>
        </w:rPr>
        <w:t>使用无公害绿色添加剂畜禽养殖饲料中添加微生物制剂、酶制剂和植物提取液等活性物质，可减少污染物排放和恶臭气体的产生。合理使用饲料添加剂：提倡日粮中添加酶制剂、酸制剂、</w:t>
      </w:r>
      <w:r>
        <w:rPr>
          <w:bCs/>
          <w:color w:val="auto"/>
          <w:sz w:val="24"/>
        </w:rPr>
        <w:t>EM</w:t>
      </w:r>
      <w:r>
        <w:rPr>
          <w:rFonts w:hint="eastAsia"/>
          <w:bCs/>
          <w:color w:val="auto"/>
          <w:sz w:val="24"/>
        </w:rPr>
        <w:t>制剂、丝兰属植物提取物、沸石等，除提高</w:t>
      </w:r>
      <w:r>
        <w:rPr>
          <w:rFonts w:hint="eastAsia"/>
          <w:bCs/>
          <w:color w:val="auto"/>
          <w:sz w:val="24"/>
          <w:lang w:eastAsia="zh-CN"/>
        </w:rPr>
        <w:t>牛</w:t>
      </w:r>
      <w:r>
        <w:rPr>
          <w:rFonts w:hint="eastAsia"/>
          <w:bCs/>
          <w:color w:val="auto"/>
          <w:sz w:val="24"/>
        </w:rPr>
        <w:t>生产性能外，对控制恶臭具有重要作用。</w:t>
      </w:r>
    </w:p>
    <w:p>
      <w:pPr>
        <w:tabs>
          <w:tab w:val="left" w:pos="1220"/>
        </w:tabs>
        <w:spacing w:line="360" w:lineRule="auto"/>
        <w:ind w:firstLine="475" w:firstLineChars="198"/>
        <w:rPr>
          <w:rFonts w:hint="eastAsia"/>
          <w:bCs/>
          <w:color w:val="auto"/>
          <w:sz w:val="24"/>
        </w:rPr>
      </w:pPr>
      <w:r>
        <w:rPr>
          <w:rFonts w:hint="eastAsia"/>
          <w:bCs/>
          <w:color w:val="auto"/>
          <w:sz w:val="24"/>
        </w:rPr>
        <w:t>②圈舍喷雾除臭</w:t>
      </w:r>
    </w:p>
    <w:p>
      <w:pPr>
        <w:tabs>
          <w:tab w:val="left" w:pos="1220"/>
        </w:tabs>
        <w:spacing w:line="360" w:lineRule="auto"/>
        <w:ind w:firstLine="475" w:firstLineChars="198"/>
        <w:rPr>
          <w:rFonts w:ascii="Times New Roman" w:hAnsi="Times New Roman" w:cs="Times New Roman"/>
          <w:bCs/>
          <w:color w:val="auto"/>
          <w:sz w:val="24"/>
          <w:szCs w:val="24"/>
        </w:rPr>
      </w:pPr>
      <w:r>
        <w:rPr>
          <w:rFonts w:ascii="Times New Roman" w:hAnsi="Times New Roman" w:cs="Times New Roman"/>
          <w:bCs/>
          <w:color w:val="auto"/>
          <w:sz w:val="24"/>
          <w:szCs w:val="24"/>
        </w:rPr>
        <w:t>圈舍：沿着各圈舍风机出口安装喷雾喷头，雾珠与风机排出的废气接触，吸收了空气中的粉尘及部分恶臭气体，可有效减少恶臭排放。</w:t>
      </w:r>
    </w:p>
    <w:p>
      <w:pPr>
        <w:tabs>
          <w:tab w:val="left" w:pos="1220"/>
        </w:tabs>
        <w:spacing w:line="360" w:lineRule="auto"/>
        <w:ind w:firstLine="475" w:firstLineChars="198"/>
        <w:rPr>
          <w:bCs/>
          <w:color w:val="auto"/>
          <w:sz w:val="24"/>
        </w:rPr>
      </w:pPr>
      <w:r>
        <w:rPr>
          <w:rFonts w:hint="eastAsia"/>
          <w:bCs/>
          <w:color w:val="auto"/>
          <w:sz w:val="24"/>
        </w:rPr>
        <w:t>③加强厂区绿化</w:t>
      </w:r>
    </w:p>
    <w:p>
      <w:pPr>
        <w:tabs>
          <w:tab w:val="left" w:pos="1220"/>
        </w:tabs>
        <w:spacing w:line="360" w:lineRule="auto"/>
        <w:ind w:firstLine="475" w:firstLineChars="198"/>
        <w:rPr>
          <w:bCs/>
          <w:color w:val="auto"/>
          <w:sz w:val="24"/>
        </w:rPr>
      </w:pPr>
      <w:r>
        <w:rPr>
          <w:rFonts w:hint="eastAsia"/>
          <w:bCs/>
          <w:color w:val="auto"/>
          <w:sz w:val="24"/>
        </w:rPr>
        <w:t>本项目在厂区内和边界处应在利用原有绿地的基础上再进行充分的绿化，强化绿化对恶臭的阻隔效果。在养殖场内及其周围种植绿色植物是防止其扩散、降低厂区温度和噪声、提高环境质量最有效的手段。种植植物首先可以降低风速，减小恶臭传播距离。同时绿色植物还可以通过控制温度改善局部环境，夏天是气温降低，为动物提供舒适的生长环境，冬季则使阳光穿透畜舍以提供热量。树叶还可以直接吸收、过滤含有气味的气体和尘粒，从而减轻空气中的气味。据调查，有害气体经过绿化地区后，至少有</w:t>
      </w:r>
      <w:r>
        <w:rPr>
          <w:bCs/>
          <w:color w:val="auto"/>
          <w:sz w:val="24"/>
        </w:rPr>
        <w:t>25%</w:t>
      </w:r>
      <w:r>
        <w:rPr>
          <w:rFonts w:hint="eastAsia"/>
          <w:bCs/>
          <w:color w:val="auto"/>
          <w:sz w:val="24"/>
        </w:rPr>
        <w:t>被吸收，恶臭可减少</w:t>
      </w:r>
      <w:r>
        <w:rPr>
          <w:bCs/>
          <w:color w:val="auto"/>
          <w:sz w:val="24"/>
        </w:rPr>
        <w:t>50%</w:t>
      </w:r>
      <w:r>
        <w:rPr>
          <w:rFonts w:hint="eastAsia"/>
          <w:bCs/>
          <w:color w:val="auto"/>
          <w:sz w:val="24"/>
        </w:rPr>
        <w:t>。在养殖场内及其周围种植高大树木及林带，还能净化、澄清大气中的粉尘，类比可知减少</w:t>
      </w:r>
      <w:r>
        <w:rPr>
          <w:bCs/>
          <w:color w:val="auto"/>
          <w:sz w:val="24"/>
        </w:rPr>
        <w:t>35%-67%</w:t>
      </w:r>
      <w:r>
        <w:rPr>
          <w:rFonts w:hint="eastAsia"/>
          <w:bCs/>
          <w:color w:val="auto"/>
          <w:sz w:val="24"/>
        </w:rPr>
        <w:t>；与此同时，也减少了空气中的微生物，细菌总数可减少</w:t>
      </w:r>
      <w:r>
        <w:rPr>
          <w:bCs/>
          <w:color w:val="auto"/>
          <w:sz w:val="24"/>
        </w:rPr>
        <w:t>22%-79%</w:t>
      </w:r>
      <w:r>
        <w:rPr>
          <w:rFonts w:hint="eastAsia"/>
          <w:bCs/>
          <w:color w:val="auto"/>
          <w:sz w:val="24"/>
        </w:rPr>
        <w:t>，甚至某些树木的花、叶能分泌杀菌物质，可杀死细菌、真菌等。厂区绿化以完全消灭裸露地面为原则，广种花草树木。厂区道路两边种植乔灌木、松柏等，厂界边缘地带种植杨、槐等高大树种形成多层防护林带，间大量的竹林，可以以降低恶臭污染的影响程度。绿化树种需要考虑树的种类、树木栽植的方法、位置、栽植密度、林带的大小与形状等因素。栽植合理的防护林可减少灰尘和污染物沉降</w:t>
      </w:r>
      <w:r>
        <w:rPr>
          <w:bCs/>
          <w:color w:val="auto"/>
          <w:sz w:val="24"/>
        </w:rPr>
        <w:t>27</w:t>
      </w:r>
      <w:r>
        <w:rPr>
          <w:rFonts w:hint="eastAsia"/>
          <w:bCs/>
          <w:color w:val="auto"/>
          <w:sz w:val="24"/>
        </w:rPr>
        <w:t>％～</w:t>
      </w:r>
      <w:r>
        <w:rPr>
          <w:bCs/>
          <w:color w:val="auto"/>
          <w:sz w:val="24"/>
        </w:rPr>
        <w:t>30</w:t>
      </w:r>
      <w:r>
        <w:rPr>
          <w:rFonts w:hint="eastAsia"/>
          <w:bCs/>
          <w:color w:val="auto"/>
          <w:sz w:val="24"/>
        </w:rPr>
        <w:t>％。一般，树的高度、树叶的大小与处理效果成正比，四季常青的树木有利于一年四季气味的控制；松树的除臭效果比山毛榉要高</w:t>
      </w:r>
      <w:r>
        <w:rPr>
          <w:bCs/>
          <w:color w:val="auto"/>
          <w:sz w:val="24"/>
        </w:rPr>
        <w:t>4</w:t>
      </w:r>
      <w:r>
        <w:rPr>
          <w:rFonts w:hint="eastAsia"/>
          <w:bCs/>
          <w:color w:val="auto"/>
          <w:sz w:val="24"/>
        </w:rPr>
        <w:t>倍，比橡树高</w:t>
      </w:r>
      <w:r>
        <w:rPr>
          <w:bCs/>
          <w:color w:val="auto"/>
          <w:sz w:val="24"/>
        </w:rPr>
        <w:t>2</w:t>
      </w:r>
      <w:r>
        <w:rPr>
          <w:rFonts w:hint="eastAsia"/>
          <w:bCs/>
          <w:color w:val="auto"/>
          <w:sz w:val="24"/>
        </w:rPr>
        <w:t>倍。</w:t>
      </w:r>
    </w:p>
    <w:p>
      <w:pPr>
        <w:tabs>
          <w:tab w:val="left" w:pos="1220"/>
        </w:tabs>
        <w:spacing w:line="360" w:lineRule="auto"/>
        <w:ind w:firstLine="475" w:firstLineChars="198"/>
        <w:rPr>
          <w:rFonts w:hint="eastAsia"/>
          <w:bCs/>
          <w:color w:val="auto"/>
          <w:sz w:val="24"/>
        </w:rPr>
      </w:pPr>
      <w:r>
        <w:rPr>
          <w:rFonts w:hint="eastAsia"/>
          <w:bCs/>
          <w:color w:val="auto"/>
          <w:sz w:val="24"/>
        </w:rPr>
        <w:t>④设置卫生防护距离</w:t>
      </w:r>
    </w:p>
    <w:p>
      <w:pPr>
        <w:tabs>
          <w:tab w:val="left" w:pos="1220"/>
        </w:tabs>
        <w:spacing w:line="360" w:lineRule="auto"/>
        <w:ind w:firstLine="475" w:firstLineChars="198"/>
        <w:rPr>
          <w:bCs/>
          <w:color w:val="auto"/>
          <w:sz w:val="24"/>
        </w:rPr>
      </w:pPr>
      <w:r>
        <w:rPr>
          <w:b w:val="0"/>
          <w:bCs w:val="0"/>
          <w:color w:val="auto"/>
          <w:sz w:val="24"/>
        </w:rPr>
        <w:t>以本项目</w:t>
      </w:r>
      <w:r>
        <w:rPr>
          <w:rFonts w:hint="eastAsia"/>
          <w:b w:val="0"/>
          <w:bCs/>
          <w:color w:val="auto"/>
          <w:sz w:val="24"/>
        </w:rPr>
        <w:t>恶臭源</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发酵床</w:t>
      </w:r>
      <w:r>
        <w:rPr>
          <w:rFonts w:hint="eastAsia"/>
          <w:b w:val="0"/>
          <w:bCs/>
          <w:color w:val="auto"/>
          <w:sz w:val="24"/>
        </w:rPr>
        <w:t>边界起1</w:t>
      </w:r>
      <w:r>
        <w:rPr>
          <w:b w:val="0"/>
          <w:bCs/>
          <w:color w:val="auto"/>
          <w:sz w:val="24"/>
        </w:rPr>
        <w:t>00m</w:t>
      </w:r>
      <w:r>
        <w:rPr>
          <w:rFonts w:hint="eastAsia"/>
          <w:b w:val="0"/>
          <w:bCs/>
          <w:color w:val="auto"/>
          <w:sz w:val="24"/>
          <w:lang w:val="en-US" w:eastAsia="zh-CN"/>
        </w:rPr>
        <w:t>及TMR管理中心</w:t>
      </w:r>
      <w:r>
        <w:rPr>
          <w:rFonts w:hint="eastAsia"/>
          <w:b w:val="0"/>
          <w:bCs/>
          <w:color w:val="auto"/>
          <w:sz w:val="24"/>
        </w:rPr>
        <w:t>边界起</w:t>
      </w:r>
      <w:r>
        <w:rPr>
          <w:rFonts w:hint="eastAsia"/>
          <w:b w:val="0"/>
          <w:bCs/>
          <w:color w:val="auto"/>
          <w:sz w:val="24"/>
          <w:lang w:val="en-US" w:eastAsia="zh-CN"/>
        </w:rPr>
        <w:t>5</w:t>
      </w:r>
      <w:r>
        <w:rPr>
          <w:b w:val="0"/>
          <w:bCs/>
          <w:color w:val="auto"/>
          <w:sz w:val="24"/>
        </w:rPr>
        <w:t>0m</w:t>
      </w:r>
      <w:r>
        <w:rPr>
          <w:rFonts w:hint="eastAsia"/>
          <w:b w:val="0"/>
          <w:bCs/>
          <w:color w:val="auto"/>
          <w:sz w:val="24"/>
        </w:rPr>
        <w:t>的区域</w:t>
      </w:r>
      <w:r>
        <w:rPr>
          <w:rFonts w:hint="eastAsia"/>
          <w:b w:val="0"/>
          <w:bCs/>
          <w:color w:val="auto"/>
          <w:sz w:val="24"/>
          <w:lang w:val="en-US" w:eastAsia="zh-CN"/>
        </w:rPr>
        <w:t>划定为</w:t>
      </w:r>
      <w:r>
        <w:rPr>
          <w:rFonts w:hint="eastAsia"/>
          <w:b w:val="0"/>
          <w:bCs/>
          <w:color w:val="auto"/>
          <w:sz w:val="24"/>
        </w:rPr>
        <w:t>卫生防护距离</w:t>
      </w:r>
      <w:r>
        <w:rPr>
          <w:rFonts w:hint="eastAsia"/>
          <w:color w:val="auto"/>
          <w:sz w:val="24"/>
          <w:lang w:eastAsia="zh-CN"/>
        </w:rPr>
        <w:t>，</w:t>
      </w:r>
      <w:r>
        <w:rPr>
          <w:rFonts w:hint="eastAsia"/>
          <w:bCs/>
          <w:color w:val="auto"/>
          <w:sz w:val="24"/>
        </w:rPr>
        <w:t>根据现场踏勘，卫生防护距离范围内</w:t>
      </w:r>
      <w:r>
        <w:rPr>
          <w:rFonts w:hint="eastAsia"/>
          <w:bCs/>
          <w:color w:val="auto"/>
          <w:sz w:val="24"/>
          <w:lang w:val="en-US" w:eastAsia="zh-CN"/>
        </w:rPr>
        <w:t>有20户农户</w:t>
      </w:r>
      <w:r>
        <w:rPr>
          <w:rFonts w:hint="eastAsia"/>
          <w:color w:val="auto"/>
          <w:sz w:val="24"/>
          <w:lang w:eastAsia="zh-CN"/>
        </w:rPr>
        <w:t>，</w:t>
      </w:r>
      <w:r>
        <w:rPr>
          <w:rFonts w:hint="eastAsia"/>
          <w:color w:val="auto"/>
          <w:sz w:val="24"/>
        </w:rPr>
        <w:t>已签订租赁合同，租赁为本项目的办公区域</w:t>
      </w:r>
      <w:r>
        <w:rPr>
          <w:rFonts w:hint="eastAsia"/>
          <w:color w:val="auto"/>
          <w:sz w:val="24"/>
          <w:lang w:eastAsia="zh-CN"/>
        </w:rPr>
        <w:t>，</w:t>
      </w:r>
      <w:r>
        <w:rPr>
          <w:color w:val="auto"/>
          <w:sz w:val="24"/>
        </w:rPr>
        <w:t>对卫生防护距离范围内的农户功能置换后，项目产生的恶臭及噪声对周围居民的影响在可接受范围内</w:t>
      </w:r>
      <w:r>
        <w:rPr>
          <w:rFonts w:hint="eastAsia"/>
          <w:bCs/>
          <w:color w:val="auto"/>
          <w:sz w:val="24"/>
          <w:lang w:eastAsia="zh-CN"/>
        </w:rPr>
        <w:t>。</w:t>
      </w:r>
      <w:r>
        <w:rPr>
          <w:rFonts w:hint="eastAsia"/>
          <w:bCs/>
          <w:color w:val="auto"/>
          <w:sz w:val="24"/>
        </w:rPr>
        <w:t>项目建成后，项目卫生防护距离内无学校、居民等恶臭敏感点。</w:t>
      </w:r>
    </w:p>
    <w:p>
      <w:pPr>
        <w:tabs>
          <w:tab w:val="left" w:pos="1220"/>
        </w:tabs>
        <w:spacing w:line="360" w:lineRule="auto"/>
        <w:ind w:firstLine="475" w:firstLineChars="198"/>
        <w:rPr>
          <w:rFonts w:hint="eastAsia"/>
          <w:bCs/>
          <w:color w:val="auto"/>
          <w:sz w:val="24"/>
        </w:rPr>
      </w:pPr>
      <w:r>
        <w:rPr>
          <w:rFonts w:hint="eastAsia"/>
          <w:bCs/>
          <w:color w:val="auto"/>
          <w:sz w:val="24"/>
        </w:rPr>
        <w:t>⑤合理布局和规划养殖场</w:t>
      </w:r>
    </w:p>
    <w:p>
      <w:pPr>
        <w:tabs>
          <w:tab w:val="left" w:pos="1220"/>
        </w:tabs>
        <w:spacing w:line="360" w:lineRule="auto"/>
        <w:ind w:firstLine="475" w:firstLineChars="198"/>
        <w:rPr>
          <w:bCs/>
          <w:color w:val="auto"/>
          <w:sz w:val="24"/>
        </w:rPr>
      </w:pPr>
      <w:r>
        <w:rPr>
          <w:rFonts w:hint="eastAsia"/>
          <w:bCs/>
          <w:color w:val="auto"/>
          <w:sz w:val="24"/>
        </w:rPr>
        <w:t>污水处理设施选址于场址北面，远离生活区，与生产区通过绿化带相隔，位于侧风向；保持场区内污水输送系统的通畅，减少臭气的产生量。</w:t>
      </w:r>
    </w:p>
    <w:p>
      <w:pPr>
        <w:tabs>
          <w:tab w:val="left" w:pos="1220"/>
        </w:tabs>
        <w:spacing w:line="360" w:lineRule="auto"/>
        <w:ind w:firstLine="475" w:firstLineChars="198"/>
        <w:rPr>
          <w:bCs/>
          <w:color w:val="auto"/>
          <w:sz w:val="24"/>
        </w:rPr>
      </w:pPr>
      <w:r>
        <w:rPr>
          <w:rFonts w:hint="eastAsia"/>
          <w:bCs/>
          <w:color w:val="auto"/>
          <w:sz w:val="24"/>
        </w:rPr>
        <w:t>⑥合理设计</w:t>
      </w:r>
      <w:r>
        <w:rPr>
          <w:rFonts w:hint="eastAsia"/>
          <w:bCs/>
          <w:color w:val="auto"/>
          <w:sz w:val="24"/>
          <w:lang w:eastAsia="zh-CN"/>
        </w:rPr>
        <w:t>牛</w:t>
      </w:r>
      <w:r>
        <w:rPr>
          <w:rFonts w:hint="eastAsia"/>
          <w:bCs/>
          <w:color w:val="auto"/>
          <w:sz w:val="24"/>
        </w:rPr>
        <w:t>舍结构及设施</w:t>
      </w:r>
    </w:p>
    <w:p>
      <w:pPr>
        <w:tabs>
          <w:tab w:val="left" w:pos="1220"/>
        </w:tabs>
        <w:spacing w:line="360" w:lineRule="auto"/>
        <w:ind w:firstLine="475" w:firstLineChars="198"/>
        <w:rPr>
          <w:bCs/>
          <w:color w:val="auto"/>
          <w:sz w:val="24"/>
        </w:rPr>
      </w:pPr>
      <w:r>
        <w:rPr>
          <w:rFonts w:hint="eastAsia"/>
          <w:bCs/>
          <w:color w:val="auto"/>
          <w:sz w:val="24"/>
        </w:rPr>
        <w:t>A.</w:t>
      </w:r>
      <w:r>
        <w:rPr>
          <w:rFonts w:hint="eastAsia"/>
          <w:bCs/>
          <w:color w:val="auto"/>
          <w:sz w:val="24"/>
          <w:lang w:eastAsia="zh-CN"/>
        </w:rPr>
        <w:t>牛</w:t>
      </w:r>
      <w:r>
        <w:rPr>
          <w:rFonts w:hint="eastAsia"/>
          <w:bCs/>
          <w:color w:val="auto"/>
          <w:sz w:val="24"/>
        </w:rPr>
        <w:t>舍地面设计</w:t>
      </w:r>
    </w:p>
    <w:p>
      <w:pPr>
        <w:tabs>
          <w:tab w:val="left" w:pos="1220"/>
        </w:tabs>
        <w:spacing w:line="360" w:lineRule="auto"/>
        <w:ind w:firstLine="475" w:firstLineChars="198"/>
        <w:rPr>
          <w:bCs/>
          <w:color w:val="auto"/>
          <w:sz w:val="24"/>
        </w:rPr>
      </w:pPr>
      <w:r>
        <w:rPr>
          <w:rFonts w:hint="eastAsia"/>
          <w:bCs/>
          <w:color w:val="auto"/>
          <w:sz w:val="24"/>
        </w:rPr>
        <w:t>据实验表明，</w:t>
      </w:r>
      <w:r>
        <w:rPr>
          <w:rFonts w:hint="eastAsia"/>
          <w:bCs/>
          <w:color w:val="auto"/>
          <w:sz w:val="24"/>
          <w:lang w:eastAsia="zh-CN"/>
        </w:rPr>
        <w:t>牛</w:t>
      </w:r>
      <w:r>
        <w:rPr>
          <w:rFonts w:hint="eastAsia"/>
          <w:bCs/>
          <w:color w:val="auto"/>
          <w:sz w:val="24"/>
        </w:rPr>
        <w:t>舍空气中的</w:t>
      </w:r>
      <w:r>
        <w:rPr>
          <w:bCs/>
          <w:color w:val="auto"/>
          <w:sz w:val="24"/>
        </w:rPr>
        <w:t>60%-70%</w:t>
      </w:r>
      <w:r>
        <w:rPr>
          <w:rFonts w:hint="eastAsia"/>
          <w:bCs/>
          <w:color w:val="auto"/>
          <w:sz w:val="24"/>
        </w:rPr>
        <w:t>的氨来自堆积的粪便，其他的</w:t>
      </w:r>
      <w:r>
        <w:rPr>
          <w:bCs/>
          <w:color w:val="auto"/>
          <w:sz w:val="24"/>
        </w:rPr>
        <w:t>30%-40%</w:t>
      </w:r>
      <w:r>
        <w:rPr>
          <w:rFonts w:hint="eastAsia"/>
          <w:bCs/>
          <w:color w:val="auto"/>
          <w:sz w:val="24"/>
        </w:rPr>
        <w:t>来自</w:t>
      </w:r>
      <w:r>
        <w:rPr>
          <w:rFonts w:hint="eastAsia"/>
          <w:bCs/>
          <w:color w:val="auto"/>
          <w:sz w:val="24"/>
          <w:lang w:eastAsia="zh-CN"/>
        </w:rPr>
        <w:t>牛</w:t>
      </w:r>
      <w:r>
        <w:rPr>
          <w:rFonts w:hint="eastAsia"/>
          <w:bCs/>
          <w:color w:val="auto"/>
          <w:sz w:val="24"/>
        </w:rPr>
        <w:t>舍地面本身。本项目为种</w:t>
      </w:r>
      <w:r>
        <w:rPr>
          <w:rFonts w:hint="eastAsia"/>
          <w:bCs/>
          <w:color w:val="auto"/>
          <w:sz w:val="24"/>
          <w:lang w:eastAsia="zh-CN"/>
        </w:rPr>
        <w:t>牛</w:t>
      </w:r>
      <w:r>
        <w:rPr>
          <w:rFonts w:hint="eastAsia"/>
          <w:bCs/>
          <w:color w:val="auto"/>
          <w:sz w:val="24"/>
        </w:rPr>
        <w:t>场，成年种</w:t>
      </w:r>
      <w:r>
        <w:rPr>
          <w:rFonts w:hint="eastAsia"/>
          <w:bCs/>
          <w:color w:val="auto"/>
          <w:sz w:val="24"/>
          <w:lang w:eastAsia="zh-CN"/>
        </w:rPr>
        <w:t>牛</w:t>
      </w:r>
      <w:r>
        <w:rPr>
          <w:rFonts w:hint="eastAsia"/>
          <w:bCs/>
          <w:color w:val="auto"/>
          <w:sz w:val="24"/>
        </w:rPr>
        <w:t>粪便氨气排放量较大，因此合理设计</w:t>
      </w:r>
      <w:r>
        <w:rPr>
          <w:rFonts w:hint="eastAsia"/>
          <w:bCs/>
          <w:color w:val="auto"/>
          <w:sz w:val="24"/>
          <w:lang w:eastAsia="zh-CN"/>
        </w:rPr>
        <w:t>牛</w:t>
      </w:r>
      <w:r>
        <w:rPr>
          <w:rFonts w:hint="eastAsia"/>
          <w:bCs/>
          <w:color w:val="auto"/>
          <w:sz w:val="24"/>
        </w:rPr>
        <w:t>舍可抑制氨的产生。</w:t>
      </w:r>
    </w:p>
    <w:p>
      <w:pPr>
        <w:tabs>
          <w:tab w:val="left" w:pos="1220"/>
        </w:tabs>
        <w:spacing w:line="360" w:lineRule="auto"/>
        <w:ind w:firstLine="475" w:firstLineChars="198"/>
        <w:rPr>
          <w:bCs/>
          <w:color w:val="auto"/>
          <w:sz w:val="24"/>
        </w:rPr>
      </w:pPr>
      <w:r>
        <w:rPr>
          <w:rFonts w:hint="eastAsia"/>
          <w:bCs/>
          <w:color w:val="auto"/>
          <w:sz w:val="24"/>
        </w:rPr>
        <w:t>本项目采用干清粪工艺和尿泡粪工艺。干清粪工艺：</w:t>
      </w:r>
      <w:r>
        <w:rPr>
          <w:rFonts w:hint="eastAsia"/>
          <w:bCs/>
          <w:color w:val="auto"/>
          <w:sz w:val="24"/>
          <w:lang w:eastAsia="zh-CN"/>
        </w:rPr>
        <w:t>牛</w:t>
      </w:r>
      <w:r>
        <w:rPr>
          <w:rFonts w:hint="eastAsia"/>
          <w:bCs/>
          <w:color w:val="auto"/>
          <w:sz w:val="24"/>
        </w:rPr>
        <w:t>舍内产生的粪尿依靠重力进入漏缝地板下的粪沟内，粪沟具有一定的坡度，中间低洼处有一条集水沟，</w:t>
      </w:r>
      <w:r>
        <w:rPr>
          <w:rFonts w:hint="eastAsia"/>
          <w:bCs/>
          <w:color w:val="auto"/>
          <w:sz w:val="24"/>
          <w:lang w:eastAsia="zh-CN"/>
        </w:rPr>
        <w:t>牛</w:t>
      </w:r>
      <w:r>
        <w:rPr>
          <w:rFonts w:hint="eastAsia"/>
          <w:bCs/>
          <w:color w:val="auto"/>
          <w:sz w:val="24"/>
        </w:rPr>
        <w:t>只尿液及废水重力流入集水沟内排出；粪便则停留在斜坡上，一经产生便通过机械刮粪机排至地埋式排粪沟内排出；实现了</w:t>
      </w:r>
      <w:r>
        <w:rPr>
          <w:rFonts w:hint="eastAsia"/>
          <w:bCs/>
          <w:color w:val="auto"/>
          <w:sz w:val="24"/>
          <w:lang w:eastAsia="zh-CN"/>
        </w:rPr>
        <w:t>牛</w:t>
      </w:r>
      <w:r>
        <w:rPr>
          <w:rFonts w:hint="eastAsia"/>
          <w:bCs/>
          <w:color w:val="auto"/>
          <w:sz w:val="24"/>
        </w:rPr>
        <w:t>舍内污粪的日产日清，降低恶臭污染源源强。尿泡粪工艺：</w:t>
      </w:r>
      <w:r>
        <w:rPr>
          <w:rFonts w:hint="eastAsia"/>
          <w:bCs/>
          <w:color w:val="auto"/>
          <w:sz w:val="24"/>
          <w:lang w:eastAsia="zh-CN"/>
        </w:rPr>
        <w:t>牛</w:t>
      </w:r>
      <w:r>
        <w:rPr>
          <w:rFonts w:hint="eastAsia"/>
          <w:bCs/>
          <w:color w:val="auto"/>
          <w:sz w:val="24"/>
        </w:rPr>
        <w:t>舍内产生的粪尿依靠重力进入漏缝地板下的尿泡粪池内，由于有水隔绝空气，降低恶臭污染源强。</w:t>
      </w:r>
    </w:p>
    <w:p>
      <w:pPr>
        <w:tabs>
          <w:tab w:val="left" w:pos="1220"/>
        </w:tabs>
        <w:spacing w:line="360" w:lineRule="auto"/>
        <w:ind w:firstLine="475" w:firstLineChars="198"/>
        <w:rPr>
          <w:bCs/>
          <w:color w:val="auto"/>
          <w:sz w:val="24"/>
        </w:rPr>
      </w:pPr>
      <w:r>
        <w:rPr>
          <w:rFonts w:hint="eastAsia"/>
          <w:bCs/>
          <w:color w:val="auto"/>
          <w:sz w:val="24"/>
          <w:lang w:val="en-US" w:eastAsia="zh-CN"/>
        </w:rPr>
        <w:t>B</w:t>
      </w:r>
      <w:r>
        <w:rPr>
          <w:rFonts w:hint="eastAsia"/>
          <w:bCs/>
          <w:color w:val="auto"/>
          <w:sz w:val="24"/>
        </w:rPr>
        <w:t>.</w:t>
      </w:r>
      <w:r>
        <w:rPr>
          <w:rFonts w:hint="eastAsia"/>
          <w:bCs/>
          <w:color w:val="auto"/>
          <w:sz w:val="24"/>
          <w:lang w:eastAsia="zh-CN"/>
        </w:rPr>
        <w:t>牛</w:t>
      </w:r>
      <w:r>
        <w:rPr>
          <w:rFonts w:hint="eastAsia"/>
          <w:bCs/>
          <w:color w:val="auto"/>
          <w:sz w:val="24"/>
        </w:rPr>
        <w:t>舍降尘设施</w:t>
      </w:r>
    </w:p>
    <w:p>
      <w:pPr>
        <w:tabs>
          <w:tab w:val="left" w:pos="1220"/>
        </w:tabs>
        <w:spacing w:line="360" w:lineRule="auto"/>
        <w:ind w:firstLine="475" w:firstLineChars="198"/>
        <w:rPr>
          <w:bCs/>
          <w:color w:val="auto"/>
          <w:sz w:val="24"/>
        </w:rPr>
      </w:pPr>
      <w:r>
        <w:rPr>
          <w:rFonts w:hint="eastAsia"/>
          <w:bCs/>
          <w:color w:val="auto"/>
          <w:sz w:val="24"/>
        </w:rPr>
        <w:t>臭气与舍内尘埃也有关，去除空气中的尘埃可大幅度减少舍内臭气。因此建议厂方设置喷雾降温除尘器，要经常喷雾降尘。</w:t>
      </w:r>
    </w:p>
    <w:p>
      <w:pPr>
        <w:tabs>
          <w:tab w:val="left" w:pos="1220"/>
        </w:tabs>
        <w:spacing w:line="360" w:lineRule="auto"/>
        <w:ind w:firstLine="475" w:firstLineChars="198"/>
        <w:rPr>
          <w:bCs/>
          <w:color w:val="auto"/>
          <w:sz w:val="24"/>
        </w:rPr>
      </w:pPr>
      <w:r>
        <w:rPr>
          <w:rFonts w:hint="eastAsia"/>
          <w:bCs/>
          <w:color w:val="auto"/>
          <w:sz w:val="24"/>
          <w:lang w:val="en-US" w:eastAsia="zh-CN"/>
        </w:rPr>
        <w:t>C</w:t>
      </w:r>
      <w:r>
        <w:rPr>
          <w:rFonts w:hint="eastAsia"/>
          <w:bCs/>
          <w:color w:val="auto"/>
          <w:sz w:val="24"/>
        </w:rPr>
        <w:t>.排水系统</w:t>
      </w:r>
    </w:p>
    <w:p>
      <w:pPr>
        <w:tabs>
          <w:tab w:val="left" w:pos="1220"/>
        </w:tabs>
        <w:spacing w:line="360" w:lineRule="auto"/>
        <w:ind w:firstLine="475" w:firstLineChars="198"/>
        <w:rPr>
          <w:bCs/>
          <w:color w:val="auto"/>
          <w:sz w:val="24"/>
        </w:rPr>
      </w:pPr>
      <w:r>
        <w:rPr>
          <w:rFonts w:hint="eastAsia"/>
          <w:bCs/>
          <w:color w:val="auto"/>
          <w:sz w:val="24"/>
        </w:rPr>
        <w:t>养殖场的排水系统要实行雨水和污水收集输送系统分离以减少污水的产生量，在厂区内外设置的生产废水输送系统不得采取明沟布设。</w:t>
      </w:r>
    </w:p>
    <w:p>
      <w:pPr>
        <w:tabs>
          <w:tab w:val="left" w:pos="1220"/>
        </w:tabs>
        <w:spacing w:line="360" w:lineRule="auto"/>
        <w:ind w:firstLine="475" w:firstLineChars="198"/>
        <w:rPr>
          <w:bCs/>
          <w:color w:val="auto"/>
          <w:sz w:val="24"/>
        </w:rPr>
      </w:pPr>
      <w:r>
        <w:rPr>
          <w:rFonts w:hint="eastAsia"/>
          <w:bCs/>
          <w:color w:val="auto"/>
          <w:sz w:val="24"/>
          <w:lang w:val="en-US" w:eastAsia="zh-CN"/>
        </w:rPr>
        <w:t>D</w:t>
      </w:r>
      <w:r>
        <w:rPr>
          <w:rFonts w:hint="eastAsia"/>
          <w:bCs/>
          <w:color w:val="auto"/>
          <w:sz w:val="24"/>
        </w:rPr>
        <w:t>规范管理</w:t>
      </w:r>
    </w:p>
    <w:p>
      <w:pPr>
        <w:tabs>
          <w:tab w:val="left" w:pos="1220"/>
        </w:tabs>
        <w:spacing w:line="360" w:lineRule="auto"/>
        <w:ind w:firstLine="475" w:firstLineChars="198"/>
        <w:rPr>
          <w:bCs/>
          <w:color w:val="auto"/>
          <w:sz w:val="24"/>
        </w:rPr>
      </w:pPr>
      <w:r>
        <w:rPr>
          <w:rFonts w:hint="eastAsia"/>
          <w:bCs/>
          <w:color w:val="auto"/>
          <w:sz w:val="24"/>
          <w:lang w:eastAsia="zh-CN"/>
        </w:rPr>
        <w:t>牛</w:t>
      </w:r>
      <w:r>
        <w:rPr>
          <w:rFonts w:hint="eastAsia"/>
          <w:bCs/>
          <w:color w:val="auto"/>
          <w:sz w:val="24"/>
        </w:rPr>
        <w:t>舍内产生的粪污要做到日产日清，</w:t>
      </w:r>
      <w:r>
        <w:rPr>
          <w:rFonts w:hint="eastAsia"/>
          <w:bCs/>
          <w:color w:val="auto"/>
          <w:sz w:val="24"/>
          <w:lang w:eastAsia="zh-CN"/>
        </w:rPr>
        <w:t>牛</w:t>
      </w:r>
      <w:r>
        <w:rPr>
          <w:rFonts w:hint="eastAsia"/>
          <w:bCs/>
          <w:color w:val="auto"/>
          <w:sz w:val="24"/>
        </w:rPr>
        <w:t>粪及时运送，</w:t>
      </w:r>
      <w:r>
        <w:rPr>
          <w:rFonts w:hint="eastAsia"/>
          <w:bCs/>
          <w:color w:val="auto"/>
          <w:sz w:val="24"/>
          <w:lang w:eastAsia="zh-CN"/>
        </w:rPr>
        <w:t>牛</w:t>
      </w:r>
      <w:r>
        <w:rPr>
          <w:rFonts w:hint="eastAsia"/>
          <w:bCs/>
          <w:color w:val="auto"/>
          <w:sz w:val="24"/>
        </w:rPr>
        <w:t>尿液深度处理后综合利用，可以减少恶臭气体的产生和传播。</w:t>
      </w:r>
    </w:p>
    <w:p>
      <w:pPr>
        <w:tabs>
          <w:tab w:val="left" w:pos="1220"/>
        </w:tabs>
        <w:spacing w:line="360" w:lineRule="auto"/>
        <w:ind w:firstLine="475" w:firstLineChars="198"/>
        <w:rPr>
          <w:bCs/>
          <w:color w:val="auto"/>
          <w:sz w:val="24"/>
        </w:rPr>
      </w:pPr>
      <w:r>
        <w:rPr>
          <w:rFonts w:hint="eastAsia"/>
          <w:bCs/>
          <w:color w:val="auto"/>
          <w:sz w:val="24"/>
        </w:rPr>
        <w:t>注意通风换气，保持圈舍卫生，以减少恶臭的产生。</w:t>
      </w:r>
    </w:p>
    <w:p>
      <w:pPr>
        <w:tabs>
          <w:tab w:val="left" w:pos="1220"/>
        </w:tabs>
        <w:spacing w:line="360" w:lineRule="auto"/>
        <w:ind w:firstLine="475" w:firstLineChars="198"/>
        <w:rPr>
          <w:bCs/>
          <w:color w:val="auto"/>
          <w:sz w:val="24"/>
        </w:rPr>
      </w:pPr>
      <w:r>
        <w:rPr>
          <w:rFonts w:hint="eastAsia"/>
          <w:bCs/>
          <w:color w:val="auto"/>
          <w:sz w:val="24"/>
        </w:rPr>
        <w:t>注意消毒，防止产生氯代有机物及其它的二次污染物。</w:t>
      </w:r>
    </w:p>
    <w:p>
      <w:pPr>
        <w:tabs>
          <w:tab w:val="left" w:pos="1220"/>
        </w:tabs>
        <w:spacing w:line="360" w:lineRule="auto"/>
        <w:ind w:firstLine="475" w:firstLineChars="198"/>
        <w:rPr>
          <w:bCs/>
          <w:color w:val="auto"/>
          <w:sz w:val="24"/>
        </w:rPr>
      </w:pPr>
      <w:r>
        <w:rPr>
          <w:rFonts w:hint="eastAsia"/>
          <w:color w:val="auto"/>
          <w:sz w:val="24"/>
          <w:lang w:eastAsia="zh-CN"/>
        </w:rPr>
        <w:t>向粪便或舍内、牛舍出风口投（铺）放吸附剂减少臭气的散发，可采用沸石、锯末、膨润土以及秸秆、树皮、泥炭等含纤维素和木质素较多的材料，吸附剂上喷洒除臭剂（万洁芬）</w:t>
      </w:r>
      <w:r>
        <w:rPr>
          <w:rFonts w:hint="eastAsia"/>
          <w:bCs/>
          <w:color w:val="auto"/>
          <w:sz w:val="24"/>
        </w:rPr>
        <w:t>。</w:t>
      </w:r>
    </w:p>
    <w:p>
      <w:pPr>
        <w:tabs>
          <w:tab w:val="left" w:pos="1220"/>
        </w:tabs>
        <w:spacing w:line="360" w:lineRule="auto"/>
        <w:ind w:firstLine="475" w:firstLineChars="198"/>
        <w:rPr>
          <w:rFonts w:hint="eastAsia"/>
          <w:bCs/>
          <w:color w:val="auto"/>
          <w:sz w:val="24"/>
        </w:rPr>
      </w:pPr>
      <w:r>
        <w:rPr>
          <w:rFonts w:hint="eastAsia"/>
          <w:bCs/>
          <w:color w:val="auto"/>
          <w:sz w:val="24"/>
          <w:lang w:val="en-US" w:eastAsia="zh-CN"/>
        </w:rPr>
        <w:t>2</w:t>
      </w:r>
      <w:r>
        <w:rPr>
          <w:rFonts w:hint="eastAsia"/>
          <w:bCs/>
          <w:color w:val="auto"/>
          <w:sz w:val="24"/>
        </w:rPr>
        <w:t>、</w:t>
      </w:r>
      <w:r>
        <w:rPr>
          <w:rFonts w:hint="eastAsia"/>
          <w:color w:val="auto"/>
          <w:sz w:val="24"/>
          <w:lang w:val="en-US" w:eastAsia="zh-CN"/>
        </w:rPr>
        <w:t>发酵床</w:t>
      </w:r>
      <w:r>
        <w:rPr>
          <w:rFonts w:hint="eastAsia"/>
          <w:bCs/>
          <w:color w:val="auto"/>
          <w:sz w:val="24"/>
        </w:rPr>
        <w:t>恶臭</w:t>
      </w:r>
    </w:p>
    <w:p>
      <w:pPr>
        <w:tabs>
          <w:tab w:val="left" w:pos="1220"/>
        </w:tabs>
        <w:spacing w:line="360" w:lineRule="auto"/>
        <w:ind w:firstLine="475" w:firstLineChars="198"/>
        <w:rPr>
          <w:rFonts w:ascii="Times New Roman" w:hAnsi="Times New Roman" w:cs="Times New Roman"/>
          <w:color w:val="auto"/>
          <w:sz w:val="24"/>
          <w:szCs w:val="24"/>
          <w:lang w:eastAsia="zh-CN"/>
        </w:rPr>
      </w:pPr>
      <w:r>
        <w:rPr>
          <w:rFonts w:hint="eastAsia"/>
          <w:color w:val="auto"/>
          <w:sz w:val="24"/>
          <w:lang w:val="en-US" w:eastAsia="zh-CN"/>
        </w:rPr>
        <w:t>发酵床恶臭</w:t>
      </w:r>
      <w:r>
        <w:rPr>
          <w:rFonts w:hint="eastAsia"/>
          <w:color w:val="auto"/>
          <w:sz w:val="24"/>
        </w:rPr>
        <w:t>：周边定时喷洒除臭剂，同时加强周边绿化</w:t>
      </w:r>
      <w:r>
        <w:rPr>
          <w:rFonts w:ascii="Times New Roman" w:hAnsi="Times New Roman" w:cs="Times New Roman"/>
          <w:color w:val="auto"/>
          <w:sz w:val="24"/>
          <w:szCs w:val="24"/>
          <w:lang w:eastAsia="zh-CN"/>
        </w:rPr>
        <w:t>。</w:t>
      </w:r>
    </w:p>
    <w:p>
      <w:pPr>
        <w:tabs>
          <w:tab w:val="left" w:pos="1220"/>
        </w:tabs>
        <w:spacing w:line="360" w:lineRule="auto"/>
        <w:ind w:firstLine="475" w:firstLineChars="198"/>
        <w:rPr>
          <w:color w:val="auto"/>
          <w:sz w:val="24"/>
        </w:rPr>
      </w:pPr>
      <w:r>
        <w:rPr>
          <w:rFonts w:hint="eastAsia"/>
          <w:bCs/>
          <w:color w:val="auto"/>
          <w:sz w:val="24"/>
          <w:lang w:val="en-US" w:eastAsia="zh-CN"/>
        </w:rPr>
        <w:t>3</w:t>
      </w:r>
      <w:r>
        <w:rPr>
          <w:rFonts w:hint="eastAsia"/>
          <w:bCs/>
          <w:color w:val="auto"/>
          <w:sz w:val="24"/>
        </w:rPr>
        <w:t>、</w:t>
      </w:r>
      <w:r>
        <w:rPr>
          <w:rFonts w:hint="eastAsia"/>
          <w:color w:val="auto"/>
          <w:sz w:val="24"/>
        </w:rPr>
        <w:t>食堂油烟</w:t>
      </w:r>
    </w:p>
    <w:p>
      <w:pPr>
        <w:pStyle w:val="1255"/>
        <w:tabs>
          <w:tab w:val="left" w:pos="2127"/>
        </w:tabs>
        <w:spacing w:line="360" w:lineRule="auto"/>
        <w:ind w:firstLine="480"/>
        <w:rPr>
          <w:color w:val="auto"/>
        </w:rPr>
      </w:pPr>
      <w:r>
        <w:rPr>
          <w:rFonts w:hint="eastAsia"/>
          <w:color w:val="auto"/>
        </w:rPr>
        <w:t>本项目食堂提供职工一日三餐，高峰期就餐人数最大为</w:t>
      </w:r>
      <w:r>
        <w:rPr>
          <w:rFonts w:hint="eastAsia"/>
          <w:color w:val="auto"/>
          <w:lang w:val="en-US" w:eastAsia="zh-CN"/>
        </w:rPr>
        <w:t>12</w:t>
      </w:r>
      <w:r>
        <w:rPr>
          <w:rFonts w:hint="eastAsia"/>
          <w:color w:val="auto"/>
        </w:rPr>
        <w:t>人。</w:t>
      </w:r>
      <w:r>
        <w:rPr>
          <w:rFonts w:hint="eastAsia"/>
          <w:color w:val="auto"/>
          <w:lang w:val="en-US" w:eastAsia="zh-CN"/>
        </w:rPr>
        <w:t>考虑到厂内人数较少，食堂油烟量少，要求企业安装油烟净化器处理后排放</w:t>
      </w:r>
      <w:r>
        <w:rPr>
          <w:rFonts w:hint="eastAsia"/>
          <w:color w:val="auto"/>
        </w:rPr>
        <w:t>。</w:t>
      </w:r>
    </w:p>
    <w:p>
      <w:pPr>
        <w:tabs>
          <w:tab w:val="left" w:pos="1220"/>
        </w:tabs>
        <w:spacing w:line="360" w:lineRule="auto"/>
        <w:ind w:firstLine="475" w:firstLineChars="198"/>
        <w:rPr>
          <w:color w:val="auto"/>
        </w:rPr>
      </w:pPr>
      <w:r>
        <w:rPr>
          <w:rFonts w:hint="eastAsia"/>
          <w:color w:val="auto"/>
          <w:sz w:val="24"/>
          <w:lang w:val="en-US" w:eastAsia="zh-CN"/>
        </w:rPr>
        <w:t>4、</w:t>
      </w:r>
      <w:r>
        <w:rPr>
          <w:rFonts w:hint="eastAsia"/>
          <w:color w:val="auto"/>
          <w:sz w:val="24"/>
        </w:rPr>
        <w:t>发电机废气</w:t>
      </w:r>
      <w:r>
        <w:rPr>
          <w:rFonts w:hint="eastAsia"/>
          <w:color w:val="auto"/>
        </w:rPr>
        <w:t>。</w:t>
      </w:r>
    </w:p>
    <w:p>
      <w:pPr>
        <w:tabs>
          <w:tab w:val="left" w:pos="1220"/>
        </w:tabs>
        <w:spacing w:line="360" w:lineRule="auto"/>
        <w:ind w:firstLine="475" w:firstLineChars="198"/>
        <w:rPr>
          <w:rFonts w:hint="eastAsia" w:ascii="Times New Roman" w:hAnsi="Times New Roman" w:eastAsia="宋体" w:cs="Times New Roman"/>
          <w:color w:val="auto"/>
          <w:kern w:val="2"/>
          <w:sz w:val="24"/>
          <w:szCs w:val="30"/>
          <w:lang w:val="en-US" w:eastAsia="zh-CN" w:bidi="ar-SA"/>
        </w:rPr>
      </w:pPr>
      <w:r>
        <w:rPr>
          <w:rFonts w:hint="eastAsia" w:ascii="Times New Roman" w:hAnsi="Times New Roman" w:eastAsia="宋体" w:cs="Times New Roman"/>
          <w:color w:val="auto"/>
          <w:kern w:val="2"/>
          <w:sz w:val="24"/>
          <w:szCs w:val="30"/>
          <w:lang w:val="en-US" w:eastAsia="zh-CN" w:bidi="ar-SA"/>
        </w:rPr>
        <w:t>柴油发电机在使用过程中会产生发电机烟气，与汽车尾气相似，其主要成分为CO、HC、NO</w:t>
      </w:r>
      <w:r>
        <w:rPr>
          <w:rFonts w:hint="eastAsia" w:ascii="Times New Roman" w:hAnsi="Times New Roman" w:eastAsia="宋体" w:cs="Times New Roman"/>
          <w:color w:val="auto"/>
          <w:kern w:val="2"/>
          <w:sz w:val="24"/>
          <w:szCs w:val="30"/>
          <w:vertAlign w:val="subscript"/>
          <w:lang w:val="en-US" w:eastAsia="zh-CN" w:bidi="ar-SA"/>
        </w:rPr>
        <w:t>2</w:t>
      </w:r>
      <w:r>
        <w:rPr>
          <w:rFonts w:hint="eastAsia" w:ascii="Times New Roman" w:hAnsi="Times New Roman" w:eastAsia="宋体" w:cs="Times New Roman"/>
          <w:color w:val="auto"/>
          <w:kern w:val="2"/>
          <w:sz w:val="24"/>
          <w:szCs w:val="30"/>
          <w:lang w:val="en-US" w:eastAsia="zh-CN" w:bidi="ar-SA"/>
        </w:rPr>
        <w:t>，发电机房采用机械送、排风的形式，发电机房内保持着良好的通风性，柴油发电机产生的废气先由自身携带的废气净化装置处理，处理后经抽排风系统抽至机房顶排放，排风口应朝向绿地，避开</w:t>
      </w:r>
      <w:r>
        <w:rPr>
          <w:rFonts w:hint="eastAsia" w:cs="Times New Roman"/>
          <w:color w:val="auto"/>
          <w:kern w:val="2"/>
          <w:sz w:val="24"/>
          <w:szCs w:val="30"/>
          <w:lang w:val="en-US" w:eastAsia="zh-CN" w:bidi="ar-SA"/>
        </w:rPr>
        <w:t>牛</w:t>
      </w:r>
      <w:r>
        <w:rPr>
          <w:rFonts w:hint="eastAsia" w:ascii="Times New Roman" w:hAnsi="Times New Roman" w:eastAsia="宋体" w:cs="Times New Roman"/>
          <w:color w:val="auto"/>
          <w:kern w:val="2"/>
          <w:sz w:val="24"/>
          <w:szCs w:val="30"/>
          <w:lang w:val="en-US" w:eastAsia="zh-CN" w:bidi="ar-SA"/>
        </w:rPr>
        <w:t>舍及生活区。由于应急柴油发电机只有在停电时使用，使用的频率很小、排放量少、排放间断性强，采用上述措施后完全能够做到达标排放，对周围环境影响很小</w:t>
      </w:r>
      <w:r>
        <w:rPr>
          <w:rFonts w:hint="eastAsia" w:cs="Times New Roman"/>
          <w:color w:val="auto"/>
          <w:kern w:val="2"/>
          <w:sz w:val="24"/>
          <w:szCs w:val="30"/>
          <w:lang w:val="en-US" w:eastAsia="zh-CN" w:bidi="ar-SA"/>
        </w:rPr>
        <w:t>。</w:t>
      </w:r>
    </w:p>
    <w:p>
      <w:pPr>
        <w:tabs>
          <w:tab w:val="left" w:pos="1220"/>
        </w:tabs>
        <w:spacing w:line="360" w:lineRule="auto"/>
        <w:ind w:firstLine="475" w:firstLineChars="198"/>
        <w:rPr>
          <w:rFonts w:hint="eastAsia"/>
          <w:color w:val="auto"/>
        </w:rPr>
      </w:pPr>
      <w:r>
        <w:rPr>
          <w:rFonts w:hint="eastAsia"/>
          <w:color w:val="auto"/>
          <w:sz w:val="24"/>
          <w:lang w:val="en-US" w:eastAsia="zh-CN"/>
        </w:rPr>
        <w:t>5、饲料加工</w:t>
      </w:r>
      <w:r>
        <w:rPr>
          <w:rFonts w:hint="eastAsia"/>
          <w:color w:val="auto"/>
          <w:sz w:val="24"/>
        </w:rPr>
        <w:t>废气</w:t>
      </w:r>
      <w:r>
        <w:rPr>
          <w:rFonts w:hint="eastAsia"/>
          <w:color w:val="auto"/>
        </w:rPr>
        <w:t>。</w:t>
      </w:r>
    </w:p>
    <w:p>
      <w:pPr>
        <w:tabs>
          <w:tab w:val="left" w:pos="1220"/>
        </w:tabs>
        <w:spacing w:line="360" w:lineRule="auto"/>
        <w:ind w:firstLine="475" w:firstLineChars="198"/>
        <w:rPr>
          <w:rFonts w:hint="eastAsia" w:ascii="Times New Roman" w:hAnsi="Times New Roman" w:eastAsia="宋体" w:cs="Times New Roman"/>
          <w:color w:val="auto"/>
          <w:kern w:val="2"/>
          <w:sz w:val="24"/>
          <w:szCs w:val="30"/>
          <w:lang w:val="en-US" w:eastAsia="zh-CN" w:bidi="ar-SA"/>
        </w:rPr>
      </w:pPr>
      <w:r>
        <w:rPr>
          <w:rFonts w:hint="eastAsia"/>
          <w:color w:val="auto"/>
          <w:sz w:val="24"/>
          <w:lang w:val="en-US" w:eastAsia="zh-CN"/>
        </w:rPr>
        <w:t>饲料加工废气（颗粒物）</w:t>
      </w:r>
      <w:r>
        <w:rPr>
          <w:rFonts w:hint="eastAsia"/>
          <w:color w:val="auto"/>
          <w:sz w:val="24"/>
        </w:rPr>
        <w:t>经</w:t>
      </w:r>
      <w:r>
        <w:rPr>
          <w:rFonts w:hint="eastAsia" w:cs="Times New Roman"/>
          <w:color w:val="auto"/>
          <w:sz w:val="24"/>
          <w:szCs w:val="32"/>
          <w:lang w:val="en-US" w:eastAsia="zh-CN"/>
        </w:rPr>
        <w:t>布袋除尘器+15m高排气筒（</w:t>
      </w:r>
      <w:r>
        <w:rPr>
          <w:rFonts w:hint="default" w:ascii="Times New Roman" w:hAnsi="Times New Roman" w:eastAsia="宋体" w:cs="Times New Roman"/>
          <w:color w:val="auto"/>
          <w:sz w:val="24"/>
          <w:szCs w:val="24"/>
          <w:lang w:eastAsia="zh-CN"/>
        </w:rPr>
        <w:t>风量</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eastAsia="zh-CN"/>
        </w:rPr>
        <w:t>00m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/h</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收集效率取90%，处理效率取99%</w:t>
      </w:r>
      <w:r>
        <w:rPr>
          <w:rFonts w:hint="eastAsia" w:cs="Times New Roman"/>
          <w:color w:val="auto"/>
          <w:sz w:val="24"/>
          <w:szCs w:val="24"/>
          <w:lang w:eastAsia="zh-CN"/>
        </w:rPr>
        <w:t>，</w:t>
      </w:r>
      <w:r>
        <w:rPr>
          <w:rFonts w:hint="eastAsia" w:cs="Times New Roman"/>
          <w:color w:val="auto"/>
          <w:sz w:val="24"/>
          <w:szCs w:val="32"/>
          <w:lang w:val="en-US" w:eastAsia="zh-CN"/>
        </w:rPr>
        <w:t>DA001）</w:t>
      </w:r>
      <w:r>
        <w:rPr>
          <w:rFonts w:hint="eastAsia"/>
          <w:color w:val="auto"/>
          <w:sz w:val="24"/>
        </w:rPr>
        <w:t>处理后排放</w:t>
      </w:r>
      <w:r>
        <w:rPr>
          <w:rFonts w:hint="eastAsia" w:cs="Times New Roman"/>
          <w:color w:val="auto"/>
          <w:kern w:val="2"/>
          <w:sz w:val="24"/>
          <w:szCs w:val="30"/>
          <w:lang w:val="en-US" w:eastAsia="zh-CN" w:bidi="ar-SA"/>
        </w:rPr>
        <w:t>。</w:t>
      </w:r>
    </w:p>
    <w:p>
      <w:pPr>
        <w:spacing w:line="360" w:lineRule="auto"/>
        <w:ind w:firstLine="482" w:firstLineChars="200"/>
        <w:rPr>
          <w:b/>
          <w:color w:val="auto"/>
          <w:sz w:val="24"/>
          <w:szCs w:val="28"/>
        </w:rPr>
      </w:pPr>
      <w:r>
        <w:rPr>
          <w:b/>
          <w:color w:val="auto"/>
          <w:sz w:val="24"/>
          <w:szCs w:val="28"/>
        </w:rPr>
        <w:t>综上，废气可得到有效处理，提出的治理措施技术、经济可行。</w:t>
      </w:r>
    </w:p>
    <w:p>
      <w:pPr>
        <w:pStyle w:val="180"/>
        <w:rPr>
          <w:rFonts w:hint="default" w:ascii="Times New Roman" w:hAnsi="Times New Roman" w:cs="Times New Roman" w:eastAsiaTheme="majorEastAsia"/>
          <w:b/>
          <w:bCs w:val="0"/>
          <w:color w:val="auto"/>
          <w:sz w:val="24"/>
          <w:szCs w:val="24"/>
        </w:rPr>
      </w:pPr>
      <w:bookmarkStart w:id="508" w:name="_Toc218962683"/>
      <w:bookmarkStart w:id="509" w:name="_Toc12308"/>
      <w:bookmarkStart w:id="510" w:name="_Toc265160082"/>
      <w:bookmarkStart w:id="511" w:name="_Toc205009370"/>
      <w:r>
        <w:rPr>
          <w:rFonts w:hint="default" w:ascii="Times New Roman" w:hAnsi="Times New Roman" w:cs="Times New Roman" w:eastAsiaTheme="majorEastAsia"/>
          <w:b/>
          <w:bCs w:val="0"/>
          <w:color w:val="auto"/>
          <w:sz w:val="24"/>
          <w:szCs w:val="24"/>
        </w:rPr>
        <w:t>营运期噪声</w:t>
      </w:r>
      <w:bookmarkEnd w:id="508"/>
      <w:bookmarkEnd w:id="509"/>
      <w:bookmarkEnd w:id="510"/>
      <w:bookmarkEnd w:id="511"/>
    </w:p>
    <w:p>
      <w:pPr>
        <w:autoSpaceDE w:val="0"/>
        <w:autoSpaceDN w:val="0"/>
        <w:adjustRightInd w:val="0"/>
        <w:spacing w:line="360" w:lineRule="auto"/>
        <w:ind w:firstLine="539"/>
        <w:jc w:val="left"/>
        <w:rPr>
          <w:color w:val="auto"/>
          <w:sz w:val="24"/>
        </w:rPr>
      </w:pPr>
      <w:r>
        <w:rPr>
          <w:color w:val="auto"/>
          <w:sz w:val="24"/>
        </w:rPr>
        <w:t>本项目营运期噪声主要包括</w:t>
      </w:r>
      <w:r>
        <w:rPr>
          <w:rFonts w:hint="eastAsia"/>
          <w:color w:val="auto"/>
          <w:sz w:val="24"/>
          <w:szCs w:val="28"/>
          <w:lang w:eastAsia="zh-CN"/>
        </w:rPr>
        <w:t>牛</w:t>
      </w:r>
      <w:r>
        <w:rPr>
          <w:color w:val="auto"/>
          <w:sz w:val="24"/>
          <w:szCs w:val="28"/>
        </w:rPr>
        <w:t>叫声、</w:t>
      </w:r>
      <w:r>
        <w:rPr>
          <w:rFonts w:hint="eastAsia"/>
          <w:color w:val="auto"/>
          <w:sz w:val="24"/>
          <w:szCs w:val="28"/>
          <w:lang w:eastAsia="zh-CN"/>
        </w:rPr>
        <w:t>牛</w:t>
      </w:r>
      <w:r>
        <w:rPr>
          <w:color w:val="auto"/>
          <w:sz w:val="24"/>
          <w:szCs w:val="28"/>
        </w:rPr>
        <w:t>舍排气扇、备用发电机、水泵和各类风机</w:t>
      </w:r>
      <w:r>
        <w:rPr>
          <w:color w:val="auto"/>
          <w:sz w:val="24"/>
        </w:rPr>
        <w:t>。主要采取以下降噪措施：</w:t>
      </w:r>
    </w:p>
    <w:p>
      <w:pPr>
        <w:autoSpaceDE w:val="0"/>
        <w:autoSpaceDN w:val="0"/>
        <w:adjustRightInd w:val="0"/>
        <w:spacing w:line="360" w:lineRule="auto"/>
        <w:ind w:firstLine="539"/>
        <w:jc w:val="left"/>
        <w:rPr>
          <w:color w:val="auto"/>
          <w:sz w:val="24"/>
        </w:rPr>
      </w:pPr>
      <w:r>
        <w:rPr>
          <w:color w:val="auto"/>
          <w:sz w:val="24"/>
        </w:rPr>
        <w:t>（1）水泵加装减振器，进水管道设可曲挠管道橡胶伸缩接头以减小水锤冲击和水泵震动产生的噪声，连接水泵进出口的水管、进出隔墙处与运转设备连接的管道均采用减震吊架。</w:t>
      </w:r>
    </w:p>
    <w:p>
      <w:pPr>
        <w:autoSpaceDE w:val="0"/>
        <w:autoSpaceDN w:val="0"/>
        <w:adjustRightInd w:val="0"/>
        <w:spacing w:line="360" w:lineRule="auto"/>
        <w:ind w:firstLine="539"/>
        <w:jc w:val="left"/>
        <w:rPr>
          <w:color w:val="auto"/>
          <w:sz w:val="24"/>
        </w:rPr>
      </w:pPr>
      <w:r>
        <w:rPr>
          <w:color w:val="auto"/>
          <w:sz w:val="24"/>
        </w:rPr>
        <w:t>（2）应急柴油发电机，选用低噪声设备、对发电机组基础安装减振垫，发电机房安装隔声、吸声材料，出风口设置消声器。</w:t>
      </w:r>
    </w:p>
    <w:p>
      <w:pPr>
        <w:autoSpaceDE w:val="0"/>
        <w:autoSpaceDN w:val="0"/>
        <w:adjustRightInd w:val="0"/>
        <w:spacing w:line="360" w:lineRule="auto"/>
        <w:ind w:firstLine="539"/>
        <w:jc w:val="left"/>
        <w:rPr>
          <w:color w:val="auto"/>
          <w:sz w:val="24"/>
        </w:rPr>
      </w:pPr>
      <w:r>
        <w:rPr>
          <w:color w:val="auto"/>
          <w:sz w:val="24"/>
        </w:rPr>
        <w:t>（3）排气扇选用低噪声型，基础安装减振垫。</w:t>
      </w:r>
    </w:p>
    <w:p>
      <w:pPr>
        <w:autoSpaceDE w:val="0"/>
        <w:autoSpaceDN w:val="0"/>
        <w:adjustRightInd w:val="0"/>
        <w:spacing w:line="360" w:lineRule="auto"/>
        <w:ind w:firstLine="539"/>
        <w:jc w:val="left"/>
        <w:rPr>
          <w:color w:val="auto"/>
          <w:sz w:val="24"/>
        </w:rPr>
      </w:pPr>
      <w:r>
        <w:rPr>
          <w:color w:val="auto"/>
          <w:sz w:val="24"/>
        </w:rPr>
        <w:t>（</w:t>
      </w:r>
      <w:r>
        <w:rPr>
          <w:rFonts w:hint="eastAsia"/>
          <w:color w:val="auto"/>
          <w:sz w:val="24"/>
          <w:lang w:val="en-US" w:eastAsia="zh-CN"/>
        </w:rPr>
        <w:t>4</w:t>
      </w:r>
      <w:r>
        <w:rPr>
          <w:color w:val="auto"/>
          <w:sz w:val="24"/>
        </w:rPr>
        <w:t>）</w:t>
      </w:r>
      <w:r>
        <w:rPr>
          <w:rFonts w:hint="eastAsia"/>
          <w:color w:val="auto"/>
          <w:sz w:val="24"/>
          <w:lang w:eastAsia="zh-CN"/>
        </w:rPr>
        <w:t>牛</w:t>
      </w:r>
      <w:r>
        <w:rPr>
          <w:color w:val="auto"/>
          <w:sz w:val="24"/>
        </w:rPr>
        <w:t>叫声属于间断性噪声源，养殖场通过合理安排饲养时间、注意管理，防止</w:t>
      </w:r>
      <w:r>
        <w:rPr>
          <w:rFonts w:hint="eastAsia"/>
          <w:color w:val="auto"/>
          <w:sz w:val="24"/>
          <w:lang w:eastAsia="zh-CN"/>
        </w:rPr>
        <w:t>牛</w:t>
      </w:r>
      <w:r>
        <w:rPr>
          <w:color w:val="auto"/>
          <w:sz w:val="24"/>
        </w:rPr>
        <w:t>受到惊吓造成鸣叫而扰民；将</w:t>
      </w:r>
      <w:r>
        <w:rPr>
          <w:rFonts w:hint="eastAsia"/>
          <w:color w:val="auto"/>
          <w:sz w:val="24"/>
          <w:lang w:eastAsia="zh-CN"/>
        </w:rPr>
        <w:t>牛</w:t>
      </w:r>
      <w:r>
        <w:rPr>
          <w:color w:val="auto"/>
          <w:sz w:val="24"/>
        </w:rPr>
        <w:t>运进和运出的时间安排在昼间，尽可能的减少</w:t>
      </w:r>
      <w:r>
        <w:rPr>
          <w:rFonts w:hint="eastAsia"/>
          <w:color w:val="auto"/>
          <w:sz w:val="24"/>
          <w:lang w:eastAsia="zh-CN"/>
        </w:rPr>
        <w:t>牛</w:t>
      </w:r>
      <w:r>
        <w:rPr>
          <w:color w:val="auto"/>
          <w:sz w:val="24"/>
        </w:rPr>
        <w:t>叫噪声对周围居民的影响。</w:t>
      </w:r>
    </w:p>
    <w:p>
      <w:pPr>
        <w:autoSpaceDE w:val="0"/>
        <w:autoSpaceDN w:val="0"/>
        <w:adjustRightInd w:val="0"/>
        <w:spacing w:line="360" w:lineRule="auto"/>
        <w:ind w:firstLine="539"/>
        <w:jc w:val="left"/>
        <w:rPr>
          <w:color w:val="auto"/>
          <w:sz w:val="24"/>
        </w:rPr>
      </w:pPr>
      <w:r>
        <w:rPr>
          <w:color w:val="auto"/>
          <w:sz w:val="24"/>
        </w:rPr>
        <w:t>（</w:t>
      </w:r>
      <w:r>
        <w:rPr>
          <w:rFonts w:hint="eastAsia"/>
          <w:color w:val="auto"/>
          <w:sz w:val="24"/>
          <w:lang w:val="en-US" w:eastAsia="zh-CN"/>
        </w:rPr>
        <w:t>5</w:t>
      </w:r>
      <w:r>
        <w:rPr>
          <w:color w:val="auto"/>
          <w:sz w:val="24"/>
        </w:rPr>
        <w:t>）场内对车辆采取限速、禁鸣的要求，可以有效降低车辆运输带来的噪声；另外，运输车辆沿途必须按规范操作，尽量少鸣笛，以免对周围村民生活造成影响或因鸣笛使</w:t>
      </w:r>
      <w:r>
        <w:rPr>
          <w:rFonts w:hint="eastAsia"/>
          <w:color w:val="auto"/>
          <w:sz w:val="24"/>
          <w:lang w:eastAsia="zh-CN"/>
        </w:rPr>
        <w:t>牛</w:t>
      </w:r>
      <w:r>
        <w:rPr>
          <w:color w:val="auto"/>
          <w:sz w:val="24"/>
        </w:rPr>
        <w:t>只受到惊吓而鸣叫，从而产生扰民。</w:t>
      </w:r>
    </w:p>
    <w:p>
      <w:pPr>
        <w:autoSpaceDE w:val="0"/>
        <w:autoSpaceDN w:val="0"/>
        <w:adjustRightInd w:val="0"/>
        <w:spacing w:line="360" w:lineRule="auto"/>
        <w:ind w:firstLine="539"/>
        <w:jc w:val="left"/>
        <w:rPr>
          <w:color w:val="auto"/>
          <w:sz w:val="24"/>
        </w:rPr>
      </w:pPr>
      <w:r>
        <w:rPr>
          <w:color w:val="auto"/>
          <w:sz w:val="24"/>
        </w:rPr>
        <w:t>（</w:t>
      </w:r>
      <w:r>
        <w:rPr>
          <w:rFonts w:hint="eastAsia"/>
          <w:color w:val="auto"/>
          <w:sz w:val="24"/>
          <w:lang w:val="en-US" w:eastAsia="zh-CN"/>
        </w:rPr>
        <w:t>6</w:t>
      </w:r>
      <w:r>
        <w:rPr>
          <w:color w:val="auto"/>
          <w:sz w:val="24"/>
        </w:rPr>
        <w:t>）加强场区内绿化，充分利用建筑物、绿化带阻隔声波传播。</w:t>
      </w:r>
    </w:p>
    <w:p>
      <w:pPr>
        <w:autoSpaceDE w:val="0"/>
        <w:autoSpaceDN w:val="0"/>
        <w:adjustRightInd w:val="0"/>
        <w:spacing w:line="360" w:lineRule="auto"/>
        <w:ind w:firstLine="539"/>
        <w:jc w:val="left"/>
        <w:rPr>
          <w:color w:val="auto"/>
          <w:sz w:val="24"/>
        </w:rPr>
      </w:pPr>
      <w:r>
        <w:rPr>
          <w:color w:val="auto"/>
          <w:sz w:val="24"/>
        </w:rPr>
        <w:t>以上措施是实用可行的，可收到较好的防噪、降噪效果。噪声防治投资约10万元，噪声防治措施经济技术可行。</w:t>
      </w:r>
    </w:p>
    <w:p>
      <w:pPr>
        <w:pStyle w:val="180"/>
        <w:rPr>
          <w:rFonts w:hint="default" w:ascii="Times New Roman" w:hAnsi="Times New Roman" w:cs="Times New Roman" w:eastAsiaTheme="majorEastAsia"/>
          <w:b/>
          <w:bCs w:val="0"/>
          <w:color w:val="auto"/>
          <w:sz w:val="24"/>
          <w:szCs w:val="24"/>
        </w:rPr>
      </w:pPr>
      <w:bookmarkStart w:id="512" w:name="_Toc205009371"/>
      <w:bookmarkStart w:id="513" w:name="_Toc265160083"/>
      <w:bookmarkStart w:id="514" w:name="_Toc218962684"/>
      <w:bookmarkStart w:id="515" w:name="_Toc14175"/>
      <w:r>
        <w:rPr>
          <w:rFonts w:hint="default" w:ascii="Times New Roman" w:hAnsi="Times New Roman" w:cs="Times New Roman" w:eastAsiaTheme="majorEastAsia"/>
          <w:b/>
          <w:bCs w:val="0"/>
          <w:color w:val="auto"/>
          <w:sz w:val="24"/>
          <w:szCs w:val="24"/>
        </w:rPr>
        <w:t>营运期固废</w:t>
      </w:r>
      <w:bookmarkEnd w:id="512"/>
      <w:bookmarkEnd w:id="513"/>
      <w:bookmarkEnd w:id="514"/>
      <w:bookmarkEnd w:id="515"/>
    </w:p>
    <w:p>
      <w:pPr>
        <w:pStyle w:val="1256"/>
        <w:spacing w:line="360" w:lineRule="auto"/>
        <w:ind w:firstLine="480"/>
        <w:rPr>
          <w:color w:val="auto"/>
        </w:rPr>
      </w:pPr>
      <w:r>
        <w:rPr>
          <w:rFonts w:hint="eastAsia"/>
          <w:color w:val="auto"/>
        </w:rPr>
        <w:t>项目固体废物主要为</w:t>
      </w:r>
      <w:r>
        <w:rPr>
          <w:rFonts w:hint="eastAsia"/>
          <w:color w:val="auto"/>
          <w:lang w:eastAsia="zh-CN"/>
        </w:rPr>
        <w:t>牛</w:t>
      </w:r>
      <w:r>
        <w:rPr>
          <w:rFonts w:hint="eastAsia"/>
          <w:color w:val="auto"/>
        </w:rPr>
        <w:t>粪、病死牛及分娩废物、畜禽医疗垃圾、废包装材料、生活垃圾、</w:t>
      </w:r>
      <w:r>
        <w:rPr>
          <w:rFonts w:hint="eastAsia"/>
          <w:color w:val="auto"/>
          <w:lang w:eastAsia="zh-CN"/>
        </w:rPr>
        <w:t>预处理池</w:t>
      </w:r>
      <w:r>
        <w:rPr>
          <w:rFonts w:hint="eastAsia"/>
          <w:color w:val="auto"/>
        </w:rPr>
        <w:t>污泥、隔油池浮油，其中畜禽医疗垃圾为危险废物。</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6</w:t>
      </w:r>
      <w:r>
        <w:rPr>
          <w:rFonts w:hint="eastAsia" w:eastAsia="黑体"/>
          <w:color w:val="auto"/>
        </w:rPr>
        <w:t>.2</w:t>
      </w:r>
      <w:r>
        <w:rPr>
          <w:rFonts w:eastAsia="黑体"/>
          <w:color w:val="auto"/>
        </w:rPr>
        <w:noBreakHyphen/>
      </w:r>
      <w:r>
        <w:rPr>
          <w:rFonts w:eastAsia="黑体"/>
          <w:color w:val="auto"/>
        </w:rPr>
        <w:fldChar w:fldCharType="begin"/>
      </w:r>
      <w:r>
        <w:rPr>
          <w:rFonts w:eastAsia="黑体"/>
          <w:color w:val="auto"/>
        </w:rPr>
        <w:instrText xml:space="preserve"> SEQ 表 \* ARABIC \s 1 </w:instrText>
      </w:r>
      <w:r>
        <w:rPr>
          <w:rFonts w:eastAsia="黑体"/>
          <w:color w:val="auto"/>
        </w:rPr>
        <w:fldChar w:fldCharType="separate"/>
      </w:r>
      <w:r>
        <w:rPr>
          <w:rFonts w:eastAsia="黑体"/>
          <w:color w:val="auto"/>
        </w:rPr>
        <w:t>1</w:t>
      </w:r>
      <w:r>
        <w:rPr>
          <w:rFonts w:eastAsia="黑体"/>
          <w:color w:val="auto"/>
        </w:rPr>
        <w:fldChar w:fldCharType="end"/>
      </w:r>
      <w:r>
        <w:rPr>
          <w:rFonts w:eastAsia="黑体"/>
          <w:color w:val="auto"/>
        </w:rPr>
        <w:t xml:space="preserve">  本项目</w:t>
      </w:r>
      <w:r>
        <w:rPr>
          <w:rFonts w:hint="eastAsia" w:eastAsia="黑体"/>
          <w:color w:val="auto"/>
        </w:rPr>
        <w:t>固体废弃物汇总表</w:t>
      </w:r>
    </w:p>
    <w:tbl>
      <w:tblPr>
        <w:tblStyle w:val="89"/>
        <w:tblW w:w="878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5"/>
        <w:gridCol w:w="333"/>
        <w:gridCol w:w="2050"/>
        <w:gridCol w:w="920"/>
        <w:gridCol w:w="1110"/>
        <w:gridCol w:w="1002"/>
        <w:gridCol w:w="278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585"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类别</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序号</w:t>
            </w:r>
          </w:p>
        </w:tc>
        <w:tc>
          <w:tcPr>
            <w:tcW w:w="205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废弃物名称</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产生量</w:t>
            </w:r>
          </w:p>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（t/a）</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来源</w:t>
            </w:r>
          </w:p>
        </w:tc>
        <w:tc>
          <w:tcPr>
            <w:tcW w:w="1002"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毒性鉴别</w:t>
            </w:r>
          </w:p>
        </w:tc>
        <w:tc>
          <w:tcPr>
            <w:tcW w:w="2788" w:type="dxa"/>
            <w:shd w:val="clear" w:color="auto" w:fill="auto"/>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ottom"/>
              <w:rPr>
                <w:rFonts w:hint="default"/>
                <w:b/>
                <w:color w:val="auto"/>
                <w:kern w:val="0"/>
                <w:szCs w:val="21"/>
              </w:rPr>
            </w:pPr>
            <w:r>
              <w:rPr>
                <w:rFonts w:hint="default"/>
                <w:b/>
                <w:color w:val="auto"/>
                <w:kern w:val="0"/>
                <w:szCs w:val="21"/>
              </w:rPr>
              <w:t>处理方法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4" w:hRule="atLeast"/>
          <w:jc w:val="center"/>
        </w:trPr>
        <w:tc>
          <w:tcPr>
            <w:tcW w:w="585" w:type="dxa"/>
            <w:vMerge w:val="restart"/>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w:t>
            </w:r>
          </w:p>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szCs w:val="21"/>
              </w:rPr>
            </w:pPr>
            <w:r>
              <w:rPr>
                <w:rFonts w:hint="default"/>
                <w:color w:val="auto"/>
                <w:kern w:val="0"/>
                <w:szCs w:val="21"/>
              </w:rPr>
              <w:t>废物</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1</w:t>
            </w:r>
          </w:p>
        </w:tc>
        <w:tc>
          <w:tcPr>
            <w:tcW w:w="205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lang w:val="en-US" w:eastAsia="zh-CN"/>
              </w:rPr>
            </w:pPr>
            <w:r>
              <w:rPr>
                <w:rFonts w:hint="eastAsia"/>
                <w:color w:val="auto"/>
                <w:kern w:val="0"/>
                <w:szCs w:val="21"/>
                <w:lang w:val="en-US" w:eastAsia="zh-CN"/>
              </w:rPr>
              <w:t>牛粪</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eastAsia"/>
                <w:color w:val="auto"/>
                <w:kern w:val="0"/>
                <w:szCs w:val="21"/>
                <w:lang w:val="en-US" w:eastAsia="zh-CN"/>
              </w:rPr>
              <w:t>38657.15</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val="en-US" w:eastAsia="zh-CN"/>
              </w:rPr>
              <w:t>牛舍</w:t>
            </w:r>
          </w:p>
        </w:tc>
        <w:tc>
          <w:tcPr>
            <w:tcW w:w="1002"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rPr>
              <w:t>一般废物</w:t>
            </w:r>
          </w:p>
        </w:tc>
        <w:tc>
          <w:tcPr>
            <w:tcW w:w="2788"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经发酵床处理后，外售做有机肥原料。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w:t>
            </w:r>
          </w:p>
        </w:tc>
        <w:tc>
          <w:tcPr>
            <w:tcW w:w="2050" w:type="dxa"/>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default"/>
                <w:color w:val="auto"/>
                <w:kern w:val="0"/>
                <w:szCs w:val="21"/>
              </w:rPr>
              <w:t>病死牛及分娩废物</w:t>
            </w:r>
          </w:p>
        </w:tc>
        <w:tc>
          <w:tcPr>
            <w:tcW w:w="920"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23.4</w:t>
            </w:r>
          </w:p>
        </w:tc>
        <w:tc>
          <w:tcPr>
            <w:tcW w:w="1110"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牛</w:t>
            </w:r>
            <w:r>
              <w:rPr>
                <w:rFonts w:hint="eastAsia"/>
                <w:color w:val="auto"/>
                <w:kern w:val="0"/>
                <w:szCs w:val="21"/>
              </w:rPr>
              <w:t>舍</w:t>
            </w:r>
          </w:p>
        </w:tc>
        <w:tc>
          <w:tcPr>
            <w:tcW w:w="1002"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kern w:val="0"/>
                <w:szCs w:val="21"/>
                <w:lang w:val="en-US" w:eastAsia="zh-CN"/>
              </w:rPr>
            </w:pPr>
            <w:r>
              <w:rPr>
                <w:rFonts w:hint="eastAsia"/>
                <w:color w:val="auto"/>
                <w:kern w:val="0"/>
                <w:szCs w:val="21"/>
              </w:rPr>
              <w:t>一般废物</w:t>
            </w:r>
          </w:p>
        </w:tc>
        <w:tc>
          <w:tcPr>
            <w:tcW w:w="2788"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lang w:val="en-US" w:eastAsia="zh-CN"/>
              </w:rPr>
            </w:pPr>
            <w:r>
              <w:rPr>
                <w:rFonts w:hint="eastAsia"/>
                <w:color w:val="auto"/>
                <w:kern w:val="0"/>
                <w:szCs w:val="21"/>
                <w:lang w:val="en-US" w:eastAsia="zh-CN"/>
              </w:rPr>
              <w:t>经高温无害化处理后交由有机肥厂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3</w:t>
            </w:r>
          </w:p>
        </w:tc>
        <w:tc>
          <w:tcPr>
            <w:tcW w:w="205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废包装材料</w:t>
            </w:r>
          </w:p>
        </w:tc>
        <w:tc>
          <w:tcPr>
            <w:tcW w:w="92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1.2</w:t>
            </w:r>
          </w:p>
        </w:tc>
        <w:tc>
          <w:tcPr>
            <w:tcW w:w="1110"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原辅料</w:t>
            </w:r>
          </w:p>
        </w:tc>
        <w:tc>
          <w:tcPr>
            <w:tcW w:w="1002"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lang w:val="en-US" w:eastAsia="zh-CN"/>
              </w:rPr>
              <w:t>暂存于一般固废间</w:t>
            </w:r>
            <w:r>
              <w:rPr>
                <w:rFonts w:hint="eastAsia"/>
                <w:color w:val="auto"/>
                <w:kern w:val="0"/>
                <w:szCs w:val="21"/>
                <w:lang w:eastAsia="zh-CN"/>
              </w:rPr>
              <w:t>，</w:t>
            </w:r>
            <w:r>
              <w:rPr>
                <w:rFonts w:hint="default"/>
                <w:color w:val="auto"/>
                <w:kern w:val="0"/>
                <w:szCs w:val="21"/>
              </w:rPr>
              <w:t>由厂家回收处置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1" w:hRule="atLeast"/>
          <w:jc w:val="center"/>
        </w:trPr>
        <w:tc>
          <w:tcPr>
            <w:tcW w:w="585" w:type="dxa"/>
            <w:vMerge w:val="continue"/>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4</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布袋除尘器收集的粉尘</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lang w:val="en-US" w:eastAsia="zh-CN"/>
              </w:rPr>
            </w:pPr>
            <w:r>
              <w:rPr>
                <w:rFonts w:hint="eastAsia"/>
                <w:color w:val="auto"/>
                <w:kern w:val="0"/>
                <w:szCs w:val="21"/>
                <w:lang w:val="en-US" w:eastAsia="zh-CN"/>
              </w:rPr>
              <w:t>1.61</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cs="Times New Roman"/>
                <w:color w:val="auto"/>
                <w:kern w:val="0"/>
                <w:sz w:val="21"/>
                <w:szCs w:val="21"/>
                <w:lang w:val="en-US" w:eastAsia="zh-CN" w:bidi="ar-SA"/>
              </w:rPr>
            </w:pPr>
            <w:r>
              <w:rPr>
                <w:rFonts w:hint="eastAsia"/>
                <w:color w:val="auto"/>
                <w:kern w:val="0"/>
                <w:szCs w:val="21"/>
                <w:lang w:val="en-US" w:eastAsia="zh-CN"/>
              </w:rPr>
              <w:t>布袋除尘器</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default"/>
                <w:color w:val="auto"/>
                <w:kern w:val="0"/>
                <w:szCs w:val="21"/>
                <w:lang w:val="en-US" w:eastAsia="zh-CN"/>
              </w:rPr>
            </w:pPr>
            <w:r>
              <w:rPr>
                <w:rFonts w:hint="eastAsia"/>
                <w:color w:val="auto"/>
                <w:kern w:val="0"/>
                <w:szCs w:val="21"/>
                <w:lang w:val="en-US" w:eastAsia="zh-CN"/>
              </w:rPr>
              <w:t>暂存于一般固废间</w:t>
            </w:r>
            <w:r>
              <w:rPr>
                <w:rFonts w:hint="eastAsia"/>
                <w:color w:val="auto"/>
                <w:kern w:val="0"/>
                <w:szCs w:val="21"/>
                <w:lang w:eastAsia="zh-CN"/>
              </w:rPr>
              <w:t>，</w:t>
            </w:r>
            <w:r>
              <w:rPr>
                <w:rFonts w:hint="eastAsia"/>
                <w:color w:val="auto"/>
                <w:kern w:val="0"/>
                <w:szCs w:val="21"/>
                <w:lang w:val="en-US" w:eastAsia="zh-CN"/>
              </w:rPr>
              <w:t>外售有机肥厂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8" w:hRule="atLeast"/>
          <w:jc w:val="center"/>
        </w:trPr>
        <w:tc>
          <w:tcPr>
            <w:tcW w:w="585" w:type="dxa"/>
            <w:tcBorders>
              <w:top w:val="single" w:color="auto" w:sz="4" w:space="0"/>
            </w:tcBorders>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危险</w:t>
            </w:r>
          </w:p>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szCs w:val="21"/>
              </w:rPr>
              <w:t>废物</w:t>
            </w:r>
          </w:p>
        </w:tc>
        <w:tc>
          <w:tcPr>
            <w:tcW w:w="333"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w:t>
            </w:r>
          </w:p>
        </w:tc>
        <w:tc>
          <w:tcPr>
            <w:tcW w:w="205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畜禽医疗垃圾</w:t>
            </w:r>
          </w:p>
        </w:tc>
        <w:tc>
          <w:tcPr>
            <w:tcW w:w="92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0.8</w:t>
            </w:r>
          </w:p>
        </w:tc>
        <w:tc>
          <w:tcPr>
            <w:tcW w:w="1110"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疫苗注射、健康体检等</w:t>
            </w:r>
          </w:p>
        </w:tc>
        <w:tc>
          <w:tcPr>
            <w:tcW w:w="1002" w:type="dxa"/>
            <w:shd w:val="clear" w:color="auto" w:fill="auto"/>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危险废物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snapToGrid w:val="0"/>
              <w:spacing w:before="0" w:beforeAutospacing="0" w:after="0" w:afterAutospacing="0"/>
              <w:ind w:left="0" w:right="0"/>
              <w:jc w:val="center"/>
              <w:rPr>
                <w:rFonts w:hint="default"/>
                <w:color w:val="auto"/>
                <w:kern w:val="0"/>
                <w:szCs w:val="21"/>
              </w:rPr>
            </w:pPr>
            <w:r>
              <w:rPr>
                <w:rFonts w:hint="default"/>
                <w:color w:val="auto"/>
              </w:rPr>
              <w:t>交有资质单位处理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585" w:type="dxa"/>
            <w:vMerge w:val="restart"/>
            <w:tcBorders>
              <w:top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生活</w:t>
            </w:r>
          </w:p>
        </w:tc>
        <w:tc>
          <w:tcPr>
            <w:tcW w:w="333"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6</w:t>
            </w:r>
          </w:p>
        </w:tc>
        <w:tc>
          <w:tcPr>
            <w:tcW w:w="205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办公生活垃圾</w:t>
            </w:r>
          </w:p>
        </w:tc>
        <w:tc>
          <w:tcPr>
            <w:tcW w:w="92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eastAsia"/>
                <w:color w:val="auto"/>
                <w:kern w:val="0"/>
                <w:szCs w:val="21"/>
                <w:lang w:val="en-US" w:eastAsia="zh-CN"/>
              </w:rPr>
              <w:t>3.65</w:t>
            </w:r>
          </w:p>
        </w:tc>
        <w:tc>
          <w:tcPr>
            <w:tcW w:w="1110"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定期交由环卫部门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585" w:type="dxa"/>
            <w:vMerge w:val="continue"/>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7</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eastAsia"/>
                <w:color w:val="auto"/>
                <w:kern w:val="0"/>
                <w:szCs w:val="21"/>
                <w:lang w:eastAsia="zh-CN"/>
              </w:rPr>
              <w:t>预处理池</w:t>
            </w:r>
            <w:r>
              <w:rPr>
                <w:rFonts w:hint="default"/>
                <w:color w:val="auto"/>
                <w:kern w:val="0"/>
                <w:szCs w:val="21"/>
              </w:rPr>
              <w:t>污泥</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eastAsia" w:eastAsia="宋体"/>
                <w:color w:val="auto"/>
                <w:kern w:val="0"/>
                <w:szCs w:val="21"/>
                <w:lang w:val="en-US" w:eastAsia="zh-CN"/>
              </w:rPr>
            </w:pPr>
            <w:r>
              <w:rPr>
                <w:rFonts w:hint="eastAsia"/>
                <w:color w:val="auto"/>
                <w:kern w:val="0"/>
                <w:szCs w:val="21"/>
                <w:lang w:val="en-US" w:eastAsia="zh-CN"/>
              </w:rPr>
              <w:t>0.1</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定期交由环卫部门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85" w:type="dxa"/>
            <w:vMerge w:val="continue"/>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333"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8</w:t>
            </w:r>
          </w:p>
        </w:tc>
        <w:tc>
          <w:tcPr>
            <w:tcW w:w="205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隔油池浮油</w:t>
            </w:r>
          </w:p>
        </w:tc>
        <w:tc>
          <w:tcPr>
            <w:tcW w:w="92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eastAsia="宋体"/>
                <w:color w:val="auto"/>
                <w:kern w:val="0"/>
                <w:szCs w:val="21"/>
                <w:lang w:val="en-US" w:eastAsia="zh-CN"/>
              </w:rPr>
            </w:pPr>
            <w:r>
              <w:rPr>
                <w:rFonts w:hint="default"/>
                <w:color w:val="auto"/>
                <w:kern w:val="0"/>
                <w:szCs w:val="21"/>
              </w:rPr>
              <w:t>0.0</w:t>
            </w:r>
            <w:r>
              <w:rPr>
                <w:rFonts w:hint="eastAsia"/>
                <w:color w:val="auto"/>
                <w:kern w:val="0"/>
                <w:szCs w:val="21"/>
                <w:lang w:val="en-US" w:eastAsia="zh-CN"/>
              </w:rPr>
              <w:t>2</w:t>
            </w:r>
          </w:p>
        </w:tc>
        <w:tc>
          <w:tcPr>
            <w:tcW w:w="1110"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办公生活</w:t>
            </w:r>
          </w:p>
        </w:tc>
        <w:tc>
          <w:tcPr>
            <w:tcW w:w="1002"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一般废物</w:t>
            </w:r>
          </w:p>
        </w:tc>
        <w:tc>
          <w:tcPr>
            <w:tcW w:w="2788" w:type="dxa"/>
            <w:tcBorders>
              <w:top w:val="single" w:color="auto" w:sz="4" w:space="0"/>
              <w:bottom w:val="single" w:color="auto" w:sz="4" w:space="0"/>
            </w:tcBorders>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送三方资质单位处理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2968" w:type="dxa"/>
            <w:gridSpan w:val="3"/>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r>
              <w:rPr>
                <w:rFonts w:hint="default"/>
                <w:color w:val="auto"/>
                <w:kern w:val="0"/>
                <w:szCs w:val="21"/>
              </w:rPr>
              <w:t>合计</w:t>
            </w:r>
          </w:p>
        </w:tc>
        <w:tc>
          <w:tcPr>
            <w:tcW w:w="92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38687.93</w:t>
            </w:r>
          </w:p>
        </w:tc>
        <w:tc>
          <w:tcPr>
            <w:tcW w:w="1110"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ascii="Times New Roman" w:hAnsi="Times New Roman" w:eastAsia="宋体" w:cs="Times New Roman"/>
                <w:color w:val="auto"/>
                <w:kern w:val="0"/>
                <w:szCs w:val="21"/>
              </w:rPr>
            </w:pPr>
          </w:p>
        </w:tc>
        <w:tc>
          <w:tcPr>
            <w:tcW w:w="1002"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c>
          <w:tcPr>
            <w:tcW w:w="2788" w:type="dxa"/>
            <w:shd w:val="clear" w:color="auto" w:fill="auto"/>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textAlignment w:val="bottom"/>
              <w:rPr>
                <w:rFonts w:hint="default"/>
                <w:color w:val="auto"/>
                <w:kern w:val="0"/>
                <w:szCs w:val="21"/>
              </w:rPr>
            </w:pPr>
          </w:p>
        </w:tc>
      </w:tr>
    </w:tbl>
    <w:p>
      <w:pPr>
        <w:tabs>
          <w:tab w:val="left" w:pos="1220"/>
        </w:tabs>
        <w:spacing w:line="360" w:lineRule="auto"/>
        <w:ind w:firstLine="520" w:firstLineChars="210"/>
        <w:rPr>
          <w:bCs/>
          <w:color w:val="auto"/>
          <w:sz w:val="24"/>
        </w:rPr>
      </w:pPr>
      <w:r>
        <w:rPr>
          <w:rFonts w:hint="eastAsia"/>
          <w:color w:val="auto"/>
          <w:spacing w:val="4"/>
          <w:sz w:val="24"/>
        </w:rPr>
        <w:t>综上，本项目产生的固体废物均得到了妥善处置，符合《畜禽养殖业污染防治技术规范》（</w:t>
      </w:r>
      <w:r>
        <w:rPr>
          <w:color w:val="auto"/>
          <w:spacing w:val="4"/>
          <w:sz w:val="24"/>
        </w:rPr>
        <w:t>HJ/T81-2001</w:t>
      </w:r>
      <w:r>
        <w:rPr>
          <w:rFonts w:hint="eastAsia"/>
          <w:color w:val="auto"/>
          <w:spacing w:val="4"/>
          <w:sz w:val="24"/>
        </w:rPr>
        <w:t>）中有关要求，不向环境排放，不会对环境产生有害影响，不会对环境造成二次污染。</w:t>
      </w:r>
    </w:p>
    <w:p>
      <w:pPr>
        <w:autoSpaceDE w:val="0"/>
        <w:autoSpaceDN w:val="0"/>
        <w:adjustRightInd w:val="0"/>
        <w:spacing w:line="360" w:lineRule="auto"/>
        <w:ind w:firstLine="539"/>
        <w:jc w:val="left"/>
        <w:rPr>
          <w:color w:val="auto"/>
          <w:sz w:val="24"/>
        </w:rPr>
      </w:pPr>
      <w:r>
        <w:rPr>
          <w:color w:val="auto"/>
          <w:sz w:val="24"/>
        </w:rPr>
        <w:t>综上，本项目固体废物处置措施是合理的。</w:t>
      </w:r>
    </w:p>
    <w:p>
      <w:pPr>
        <w:autoSpaceDE w:val="0"/>
        <w:autoSpaceDN w:val="0"/>
        <w:adjustRightInd w:val="0"/>
        <w:spacing w:line="360" w:lineRule="auto"/>
        <w:ind w:firstLine="539"/>
        <w:jc w:val="left"/>
        <w:rPr>
          <w:color w:val="auto"/>
          <w:sz w:val="24"/>
        </w:rPr>
      </w:pPr>
      <w:r>
        <w:rPr>
          <w:color w:val="auto"/>
          <w:sz w:val="24"/>
        </w:rPr>
        <w:t>环评要求项目在建成在投入试生产前，各类废渣必须按照环评要求的处理方法，与相应单位签订正式废渣处理处置协议。</w:t>
      </w:r>
    </w:p>
    <w:p>
      <w:pPr>
        <w:autoSpaceDE w:val="0"/>
        <w:autoSpaceDN w:val="0"/>
        <w:adjustRightInd w:val="0"/>
        <w:spacing w:line="360" w:lineRule="auto"/>
        <w:ind w:firstLine="539"/>
        <w:jc w:val="left"/>
        <w:rPr>
          <w:rFonts w:hint="eastAsia" w:eastAsia="宋体"/>
          <w:color w:val="auto"/>
          <w:sz w:val="24"/>
          <w:lang w:eastAsia="zh-CN"/>
        </w:rPr>
      </w:pPr>
      <w:r>
        <w:rPr>
          <w:color w:val="auto"/>
          <w:sz w:val="24"/>
        </w:rPr>
        <w:t>本项目各类固体废弃物处置方法均较为成熟，可以确保安全处置，不会产生二次污染，技术、经济可行</w:t>
      </w:r>
      <w:r>
        <w:rPr>
          <w:rFonts w:hint="eastAsia"/>
          <w:color w:val="auto"/>
          <w:sz w:val="24"/>
          <w:lang w:eastAsia="zh-CN"/>
        </w:rPr>
        <w:t>。</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16" w:name="_Toc1163"/>
      <w:r>
        <w:rPr>
          <w:rFonts w:hint="eastAsia" w:ascii="Times New Roman" w:hAnsi="Times New Roman" w:cs="Times New Roman" w:eastAsiaTheme="majorEastAsia"/>
          <w:bCs/>
          <w:color w:val="auto"/>
          <w:kern w:val="2"/>
          <w:szCs w:val="32"/>
          <w:lang w:val="en-US" w:eastAsia="zh-CN"/>
        </w:rPr>
        <w:t>土壤污染防治措施</w:t>
      </w:r>
      <w:bookmarkEnd w:id="516"/>
    </w:p>
    <w:p>
      <w:pPr>
        <w:autoSpaceDE w:val="0"/>
        <w:autoSpaceDN w:val="0"/>
        <w:adjustRightInd w:val="0"/>
        <w:spacing w:line="360" w:lineRule="auto"/>
        <w:ind w:firstLine="539"/>
        <w:jc w:val="left"/>
        <w:rPr>
          <w:color w:val="auto"/>
          <w:sz w:val="24"/>
        </w:rPr>
      </w:pPr>
      <w:r>
        <w:rPr>
          <w:rFonts w:hint="eastAsia"/>
          <w:color w:val="auto"/>
          <w:sz w:val="24"/>
        </w:rPr>
        <w:t>本项目营运期养殖过程中粪</w:t>
      </w:r>
      <w:r>
        <w:rPr>
          <w:rFonts w:hint="eastAsia"/>
          <w:color w:val="auto"/>
          <w:sz w:val="24"/>
          <w:lang w:val="en-US" w:eastAsia="zh-CN"/>
        </w:rPr>
        <w:t>污经发酵床处理后，外售有机肥厂</w:t>
      </w:r>
      <w:r>
        <w:rPr>
          <w:rFonts w:hint="eastAsia"/>
          <w:color w:val="auto"/>
          <w:sz w:val="24"/>
        </w:rPr>
        <w:t>，不直接排入周边土壤，不会对周边土地造成影响。</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17" w:name="_Toc218962685"/>
      <w:bookmarkStart w:id="518" w:name="_Toc205009372"/>
      <w:bookmarkStart w:id="519" w:name="_Toc27754"/>
      <w:bookmarkStart w:id="520" w:name="_Toc265160084"/>
      <w:bookmarkStart w:id="521" w:name="_Toc688"/>
      <w:bookmarkStart w:id="522" w:name="_Toc5200"/>
      <w:r>
        <w:rPr>
          <w:rFonts w:ascii="Times New Roman" w:hAnsi="Times New Roman" w:cs="Times New Roman" w:eastAsiaTheme="majorEastAsia"/>
          <w:bCs/>
          <w:color w:val="auto"/>
          <w:kern w:val="2"/>
          <w:szCs w:val="32"/>
          <w:lang w:val="en-US" w:eastAsia="zh-CN"/>
        </w:rPr>
        <w:t>绿化措施及建议</w:t>
      </w:r>
      <w:bookmarkEnd w:id="517"/>
      <w:bookmarkEnd w:id="518"/>
      <w:bookmarkEnd w:id="519"/>
      <w:bookmarkEnd w:id="520"/>
      <w:bookmarkEnd w:id="521"/>
      <w:bookmarkEnd w:id="522"/>
    </w:p>
    <w:p>
      <w:pPr>
        <w:autoSpaceDE w:val="0"/>
        <w:autoSpaceDN w:val="0"/>
        <w:adjustRightInd w:val="0"/>
        <w:spacing w:line="360" w:lineRule="auto"/>
        <w:ind w:firstLine="539"/>
        <w:jc w:val="left"/>
        <w:rPr>
          <w:color w:val="auto"/>
          <w:sz w:val="24"/>
        </w:rPr>
      </w:pPr>
      <w:r>
        <w:rPr>
          <w:color w:val="auto"/>
          <w:sz w:val="24"/>
        </w:rPr>
        <w:t>加强厂区及周围的绿化，既可美化环境，同时也能减轻生产排污对环境的污染影响。由于植物能吸收富集大气中的有害污染物，因此，植物对环境中的低浓度污染物有较大的净化作用。建议在项目建设区周围及其厂界附近利用空地大力开展植树绿化工作。</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23" w:name="_Toc218962686"/>
      <w:bookmarkStart w:id="524" w:name="_Toc5607"/>
      <w:bookmarkStart w:id="525" w:name="_Toc25122"/>
      <w:bookmarkStart w:id="526" w:name="_Toc24024"/>
      <w:bookmarkStart w:id="527" w:name="_Toc265160085"/>
      <w:bookmarkStart w:id="528" w:name="_Toc205009376"/>
      <w:r>
        <w:rPr>
          <w:rFonts w:ascii="Times New Roman" w:hAnsi="Times New Roman" w:cs="Times New Roman" w:eastAsiaTheme="majorEastAsia"/>
          <w:bCs/>
          <w:color w:val="auto"/>
          <w:kern w:val="2"/>
          <w:szCs w:val="32"/>
          <w:lang w:val="en-US" w:eastAsia="zh-CN"/>
        </w:rPr>
        <w:t>其他防范措施</w:t>
      </w:r>
      <w:bookmarkEnd w:id="523"/>
      <w:bookmarkEnd w:id="524"/>
      <w:bookmarkEnd w:id="525"/>
      <w:bookmarkEnd w:id="526"/>
      <w:bookmarkEnd w:id="527"/>
      <w:bookmarkEnd w:id="528"/>
    </w:p>
    <w:p>
      <w:pPr>
        <w:autoSpaceDE w:val="0"/>
        <w:autoSpaceDN w:val="0"/>
        <w:adjustRightInd w:val="0"/>
        <w:spacing w:line="360" w:lineRule="auto"/>
        <w:ind w:firstLine="539"/>
        <w:jc w:val="left"/>
        <w:rPr>
          <w:color w:val="auto"/>
          <w:sz w:val="24"/>
        </w:rPr>
      </w:pPr>
      <w:r>
        <w:rPr>
          <w:color w:val="auto"/>
          <w:sz w:val="24"/>
        </w:rPr>
        <w:t>1)加强污染治理设施的管理，保证治理设施与生产装置同时正常运行时防治环境污染的关键。</w:t>
      </w:r>
    </w:p>
    <w:p>
      <w:pPr>
        <w:autoSpaceDE w:val="0"/>
        <w:autoSpaceDN w:val="0"/>
        <w:adjustRightInd w:val="0"/>
        <w:spacing w:line="360" w:lineRule="auto"/>
        <w:ind w:firstLine="539"/>
        <w:jc w:val="left"/>
        <w:rPr>
          <w:color w:val="auto"/>
          <w:sz w:val="24"/>
        </w:rPr>
      </w:pPr>
      <w:r>
        <w:rPr>
          <w:color w:val="auto"/>
          <w:sz w:val="24"/>
        </w:rPr>
        <w:t>2)加强厂内环境监测工作。为了及时掌握水、气污染物的排放情况，出现问题及时处理，建设单位应具备环境监测的能力，并配合区域环保部门及环监站搞好环境监测和控制。</w:t>
      </w:r>
    </w:p>
    <w:p>
      <w:pPr>
        <w:autoSpaceDE w:val="0"/>
        <w:autoSpaceDN w:val="0"/>
        <w:adjustRightInd w:val="0"/>
        <w:spacing w:line="360" w:lineRule="auto"/>
        <w:ind w:firstLine="539"/>
        <w:jc w:val="left"/>
        <w:rPr>
          <w:color w:val="auto"/>
          <w:sz w:val="24"/>
        </w:rPr>
      </w:pPr>
      <w:r>
        <w:rPr>
          <w:color w:val="auto"/>
          <w:sz w:val="24"/>
        </w:rPr>
        <w:t>3)加强化学品管理，特别是危废的运输和保管，减少化学品的流失，杜绝危废对环境的污染。</w:t>
      </w:r>
    </w:p>
    <w:p>
      <w:pPr>
        <w:autoSpaceDE w:val="0"/>
        <w:autoSpaceDN w:val="0"/>
        <w:adjustRightInd w:val="0"/>
        <w:spacing w:line="360" w:lineRule="auto"/>
        <w:ind w:firstLine="539"/>
        <w:jc w:val="left"/>
        <w:rPr>
          <w:color w:val="auto"/>
          <w:sz w:val="24"/>
        </w:rPr>
      </w:pPr>
      <w:r>
        <w:rPr>
          <w:color w:val="auto"/>
          <w:sz w:val="24"/>
        </w:rPr>
        <w:t>4)对厂区实施绿化，根据工程排污特点，选择抗污染能力强，适应当地气候、土壤条件的花草树木。</w:t>
      </w:r>
    </w:p>
    <w:p>
      <w:pPr>
        <w:autoSpaceDE w:val="0"/>
        <w:autoSpaceDN w:val="0"/>
        <w:adjustRightInd w:val="0"/>
        <w:spacing w:line="360" w:lineRule="auto"/>
        <w:ind w:firstLine="539"/>
        <w:jc w:val="left"/>
        <w:rPr>
          <w:color w:val="auto"/>
          <w:sz w:val="24"/>
        </w:rPr>
      </w:pPr>
      <w:r>
        <w:rPr>
          <w:color w:val="auto"/>
          <w:sz w:val="24"/>
        </w:rPr>
        <w:t>5)建设单位应建立健全的各项规章制度、环保操作规程和岗位责任制度，避免事故的发生，或将事故发生的概率降到最低程度。</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29" w:name="_Toc15016"/>
      <w:bookmarkStart w:id="530" w:name="_Toc24520"/>
      <w:bookmarkStart w:id="531" w:name="_Toc265160086"/>
      <w:bookmarkStart w:id="532" w:name="_Toc218962687"/>
      <w:bookmarkStart w:id="533" w:name="_Toc28829"/>
      <w:bookmarkStart w:id="534" w:name="_Toc205009377"/>
      <w:r>
        <w:rPr>
          <w:rFonts w:ascii="Times New Roman" w:hAnsi="Times New Roman" w:cs="Times New Roman" w:eastAsiaTheme="majorEastAsia"/>
          <w:bCs/>
          <w:color w:val="auto"/>
          <w:kern w:val="2"/>
          <w:szCs w:val="32"/>
          <w:lang w:val="en-US" w:eastAsia="zh-CN"/>
        </w:rPr>
        <w:t>项目污染防治措施及投资估算</w:t>
      </w:r>
      <w:bookmarkEnd w:id="529"/>
      <w:bookmarkEnd w:id="530"/>
      <w:bookmarkEnd w:id="531"/>
      <w:bookmarkEnd w:id="532"/>
      <w:bookmarkEnd w:id="533"/>
      <w:bookmarkEnd w:id="534"/>
    </w:p>
    <w:p>
      <w:pPr>
        <w:autoSpaceDE w:val="0"/>
        <w:autoSpaceDN w:val="0"/>
        <w:adjustRightInd w:val="0"/>
        <w:spacing w:line="360" w:lineRule="auto"/>
        <w:ind w:firstLine="539"/>
        <w:jc w:val="left"/>
        <w:rPr>
          <w:color w:val="auto"/>
          <w:sz w:val="24"/>
        </w:rPr>
      </w:pPr>
      <w:r>
        <w:rPr>
          <w:color w:val="auto"/>
          <w:sz w:val="24"/>
        </w:rPr>
        <w:t>项目主要污染物治理环保投资约</w:t>
      </w:r>
      <w:r>
        <w:rPr>
          <w:rFonts w:hint="eastAsia"/>
          <w:color w:val="auto"/>
          <w:sz w:val="24"/>
          <w:lang w:val="en-US" w:eastAsia="zh-CN"/>
        </w:rPr>
        <w:t>1143.9</w:t>
      </w:r>
      <w:r>
        <w:rPr>
          <w:color w:val="auto"/>
          <w:sz w:val="24"/>
        </w:rPr>
        <w:t>万元，占项目总投资</w:t>
      </w:r>
      <w:r>
        <w:rPr>
          <w:rFonts w:hint="eastAsia"/>
          <w:color w:val="auto"/>
          <w:sz w:val="24"/>
          <w:lang w:val="en-US" w:eastAsia="zh-CN"/>
        </w:rPr>
        <w:t>19685.37</w:t>
      </w:r>
      <w:r>
        <w:rPr>
          <w:color w:val="auto"/>
          <w:sz w:val="24"/>
        </w:rPr>
        <w:t>万元的</w:t>
      </w:r>
      <w:r>
        <w:rPr>
          <w:rFonts w:hint="eastAsia" w:cs="Times New Roman"/>
          <w:color w:val="auto"/>
          <w:sz w:val="24"/>
          <w:lang w:val="en-US" w:eastAsia="zh-CN"/>
        </w:rPr>
        <w:t>5.81</w:t>
      </w:r>
      <w:r>
        <w:rPr>
          <w:rFonts w:hint="eastAsia" w:ascii="Times New Roman" w:hAnsi="Times New Roman" w:cs="Times New Roman"/>
          <w:color w:val="auto"/>
          <w:sz w:val="24"/>
          <w:lang w:val="en-US" w:eastAsia="zh-CN"/>
        </w:rPr>
        <w:t>%</w:t>
      </w:r>
      <w:r>
        <w:rPr>
          <w:color w:val="auto"/>
          <w:sz w:val="24"/>
        </w:rPr>
        <w:t>。项目主要污染防治措施投资及项目竣工环保“三同时”验收内容汇总见表</w:t>
      </w:r>
      <w:r>
        <w:rPr>
          <w:rFonts w:hint="eastAsia"/>
          <w:color w:val="auto"/>
          <w:sz w:val="24"/>
          <w:lang w:val="en-US" w:eastAsia="zh-CN"/>
        </w:rPr>
        <w:t>6.5</w:t>
      </w:r>
      <w:r>
        <w:rPr>
          <w:color w:val="auto"/>
          <w:sz w:val="24"/>
        </w:rPr>
        <w:t>-</w:t>
      </w:r>
      <w:r>
        <w:rPr>
          <w:rFonts w:hint="eastAsia"/>
          <w:color w:val="auto"/>
          <w:sz w:val="24"/>
          <w:lang w:val="en-US" w:eastAsia="zh-CN"/>
        </w:rPr>
        <w:t>1</w:t>
      </w:r>
      <w:r>
        <w:rPr>
          <w:color w:val="auto"/>
          <w:sz w:val="24"/>
        </w:rPr>
        <w:t>。</w:t>
      </w:r>
    </w:p>
    <w:p>
      <w:pPr>
        <w:ind w:firstLine="840" w:firstLineChars="400"/>
        <w:jc w:val="center"/>
        <w:rPr>
          <w:rFonts w:eastAsia="黑体"/>
          <w:color w:val="auto"/>
        </w:rPr>
      </w:pPr>
      <w:r>
        <w:rPr>
          <w:rFonts w:eastAsia="黑体"/>
          <w:color w:val="auto"/>
        </w:rPr>
        <w:t>表</w:t>
      </w:r>
      <w:r>
        <w:rPr>
          <w:rFonts w:hint="eastAsia" w:eastAsia="黑体"/>
          <w:color w:val="auto"/>
          <w:lang w:val="en-US" w:eastAsia="zh-CN"/>
        </w:rPr>
        <w:t>6</w:t>
      </w:r>
      <w:r>
        <w:rPr>
          <w:rFonts w:hint="eastAsia" w:eastAsia="黑体"/>
          <w:color w:val="auto"/>
        </w:rPr>
        <w:t>.5</w:t>
      </w:r>
      <w:r>
        <w:rPr>
          <w:rFonts w:eastAsia="黑体"/>
          <w:color w:val="auto"/>
        </w:rPr>
        <w:t>-</w:t>
      </w:r>
      <w:r>
        <w:rPr>
          <w:rFonts w:hint="eastAsia" w:eastAsia="黑体"/>
          <w:color w:val="auto"/>
        </w:rPr>
        <w:t>1</w:t>
      </w:r>
      <w:r>
        <w:rPr>
          <w:rFonts w:eastAsia="黑体"/>
          <w:color w:val="auto"/>
        </w:rPr>
        <w:t>项目污染防治措施、投资及环保验收内容汇总一览表</w:t>
      </w:r>
    </w:p>
    <w:tbl>
      <w:tblPr>
        <w:tblStyle w:val="89"/>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49"/>
        <w:gridCol w:w="541"/>
        <w:gridCol w:w="1302"/>
        <w:gridCol w:w="4250"/>
        <w:gridCol w:w="1079"/>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gridSpan w:val="3"/>
            <w:vAlign w:val="center"/>
          </w:tcPr>
          <w:p>
            <w:pPr>
              <w:keepNext w:val="0"/>
              <w:keepLines w:val="0"/>
              <w:suppressLineNumbers w:val="0"/>
              <w:spacing w:before="0" w:beforeAutospacing="0" w:after="72" w:afterAutospacing="0"/>
              <w:ind w:left="0" w:right="0"/>
              <w:jc w:val="center"/>
              <w:rPr>
                <w:rFonts w:hint="default"/>
                <w:b/>
                <w:bCs/>
                <w:color w:val="auto"/>
                <w:szCs w:val="21"/>
              </w:rPr>
            </w:pPr>
            <w:r>
              <w:rPr>
                <w:rFonts w:hint="default"/>
                <w:b/>
                <w:bCs/>
                <w:color w:val="auto"/>
                <w:szCs w:val="21"/>
              </w:rPr>
              <w:t>类别</w:t>
            </w:r>
          </w:p>
        </w:tc>
        <w:tc>
          <w:tcPr>
            <w:tcW w:w="1302" w:type="dxa"/>
            <w:vAlign w:val="center"/>
          </w:tcPr>
          <w:p>
            <w:pPr>
              <w:keepNext w:val="0"/>
              <w:keepLines w:val="0"/>
              <w:suppressLineNumbers w:val="0"/>
              <w:spacing w:before="0" w:beforeAutospacing="0" w:after="72" w:afterAutospacing="0"/>
              <w:ind w:left="0" w:right="0"/>
              <w:jc w:val="center"/>
              <w:rPr>
                <w:rFonts w:hint="default"/>
                <w:b/>
                <w:bCs/>
                <w:color w:val="auto"/>
                <w:szCs w:val="21"/>
              </w:rPr>
            </w:pPr>
            <w:r>
              <w:rPr>
                <w:rFonts w:hint="default"/>
                <w:b/>
                <w:bCs/>
                <w:color w:val="auto"/>
                <w:szCs w:val="21"/>
              </w:rPr>
              <w:t>防治对象</w:t>
            </w:r>
          </w:p>
        </w:tc>
        <w:tc>
          <w:tcPr>
            <w:tcW w:w="4250" w:type="dxa"/>
            <w:vAlign w:val="center"/>
          </w:tcPr>
          <w:p>
            <w:pPr>
              <w:keepNext w:val="0"/>
              <w:keepLines w:val="0"/>
              <w:suppressLineNumbers w:val="0"/>
              <w:spacing w:before="0" w:beforeAutospacing="0" w:after="72" w:afterAutospacing="0"/>
              <w:ind w:left="0" w:right="0"/>
              <w:jc w:val="center"/>
              <w:rPr>
                <w:rFonts w:hint="default"/>
                <w:b/>
                <w:bCs/>
                <w:color w:val="auto"/>
                <w:szCs w:val="21"/>
              </w:rPr>
            </w:pPr>
            <w:r>
              <w:rPr>
                <w:rFonts w:hint="default"/>
                <w:b/>
                <w:bCs/>
                <w:color w:val="auto"/>
                <w:szCs w:val="21"/>
              </w:rPr>
              <w:t>环保设施名称</w:t>
            </w:r>
          </w:p>
        </w:tc>
        <w:tc>
          <w:tcPr>
            <w:tcW w:w="1079" w:type="dxa"/>
            <w:vAlign w:val="center"/>
          </w:tcPr>
          <w:p>
            <w:pPr>
              <w:keepNext w:val="0"/>
              <w:keepLines w:val="0"/>
              <w:suppressLineNumbers w:val="0"/>
              <w:spacing w:before="0" w:beforeAutospacing="0" w:after="72" w:afterAutospacing="0"/>
              <w:ind w:left="0" w:right="0"/>
              <w:jc w:val="center"/>
              <w:rPr>
                <w:rFonts w:hint="default"/>
                <w:b/>
                <w:bCs/>
                <w:color w:val="auto"/>
                <w:szCs w:val="21"/>
              </w:rPr>
            </w:pPr>
            <w:r>
              <w:rPr>
                <w:rFonts w:hint="default"/>
                <w:b/>
                <w:bCs/>
                <w:color w:val="auto"/>
                <w:szCs w:val="21"/>
              </w:rPr>
              <w:t>投资估算 (万元)</w:t>
            </w:r>
          </w:p>
        </w:tc>
        <w:tc>
          <w:tcPr>
            <w:tcW w:w="1101" w:type="dxa"/>
            <w:vAlign w:val="center"/>
          </w:tcPr>
          <w:p>
            <w:pPr>
              <w:keepNext w:val="0"/>
              <w:keepLines w:val="0"/>
              <w:suppressLineNumbers w:val="0"/>
              <w:spacing w:before="0" w:beforeAutospacing="0" w:after="72" w:afterAutospacing="0"/>
              <w:ind w:left="0" w:right="0"/>
              <w:jc w:val="center"/>
              <w:rPr>
                <w:rFonts w:hint="default"/>
                <w:b/>
                <w:bCs/>
                <w:color w:val="auto"/>
                <w:szCs w:val="21"/>
              </w:rPr>
            </w:pPr>
            <w:r>
              <w:rPr>
                <w:rFonts w:hint="default"/>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216" w:type="dxa"/>
            <w:gridSpan w:val="3"/>
            <w:vMerge w:val="restart"/>
            <w:vAlign w:val="center"/>
          </w:tcPr>
          <w:p>
            <w:pPr>
              <w:keepNext w:val="0"/>
              <w:keepLines w:val="0"/>
              <w:suppressLineNumbers w:val="0"/>
              <w:spacing w:before="0" w:beforeAutospacing="0" w:after="72" w:afterAutospacing="0"/>
              <w:ind w:left="0" w:right="0"/>
              <w:jc w:val="center"/>
              <w:rPr>
                <w:rFonts w:hint="default"/>
                <w:color w:val="auto"/>
                <w:szCs w:val="21"/>
              </w:rPr>
            </w:pPr>
            <w:r>
              <w:rPr>
                <w:rFonts w:hint="default"/>
                <w:color w:val="auto"/>
                <w:szCs w:val="21"/>
              </w:rPr>
              <w:t>废气</w:t>
            </w:r>
          </w:p>
        </w:tc>
        <w:tc>
          <w:tcPr>
            <w:tcW w:w="1302" w:type="dxa"/>
            <w:vAlign w:val="center"/>
          </w:tcPr>
          <w:p>
            <w:pPr>
              <w:keepNext w:val="0"/>
              <w:keepLines w:val="0"/>
              <w:suppressLineNumbers w:val="0"/>
              <w:spacing w:before="0" w:beforeAutospacing="0" w:after="72" w:afterAutospacing="0"/>
              <w:ind w:left="0" w:right="0"/>
              <w:jc w:val="center"/>
              <w:rPr>
                <w:rFonts w:hint="default"/>
                <w:color w:val="auto"/>
                <w:szCs w:val="21"/>
              </w:rPr>
            </w:pPr>
            <w:r>
              <w:rPr>
                <w:rFonts w:hint="eastAsia"/>
                <w:color w:val="auto"/>
                <w:szCs w:val="21"/>
                <w:lang w:val="en-US" w:eastAsia="zh-CN"/>
              </w:rPr>
              <w:t>牛舍</w:t>
            </w:r>
            <w:r>
              <w:rPr>
                <w:rFonts w:hint="default"/>
                <w:color w:val="auto"/>
                <w:szCs w:val="21"/>
              </w:rPr>
              <w:t>恶臭</w:t>
            </w:r>
          </w:p>
        </w:tc>
        <w:tc>
          <w:tcPr>
            <w:tcW w:w="4250" w:type="dxa"/>
            <w:vAlign w:val="center"/>
          </w:tcPr>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畜禽科学饲喂技术</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喷雾除臭</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喷洒除臭剂</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eastAsia" w:cs="Times New Roman"/>
                <w:color w:val="auto"/>
                <w:szCs w:val="21"/>
                <w:lang w:val="en-US" w:eastAsia="zh-CN"/>
              </w:rPr>
              <w:t>牛</w:t>
            </w:r>
            <w:r>
              <w:rPr>
                <w:rFonts w:hint="eastAsia" w:ascii="Times New Roman" w:hAnsi="Times New Roman" w:cs="Times New Roman"/>
                <w:color w:val="auto"/>
                <w:szCs w:val="21"/>
                <w:lang w:val="en-US" w:eastAsia="zh-CN"/>
              </w:rPr>
              <w:t>舍出风口加吸附剂</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加强厂区绿化</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设置卫生防护距离</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合理布局和规划养殖场</w:t>
            </w:r>
          </w:p>
          <w:p>
            <w:pPr>
              <w:keepNext w:val="0"/>
              <w:keepLines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合理设计</w:t>
            </w:r>
            <w:r>
              <w:rPr>
                <w:rFonts w:hint="eastAsia" w:cs="Times New Roman"/>
                <w:color w:val="auto"/>
                <w:szCs w:val="21"/>
                <w:lang w:eastAsia="zh-CN"/>
              </w:rPr>
              <w:t>牛</w:t>
            </w:r>
            <w:r>
              <w:rPr>
                <w:rFonts w:hint="default" w:ascii="Times New Roman" w:hAnsi="Times New Roman" w:cs="Times New Roman"/>
                <w:color w:val="auto"/>
                <w:szCs w:val="21"/>
              </w:rPr>
              <w:t>舍结构及设施</w:t>
            </w:r>
          </w:p>
          <w:p>
            <w:pPr>
              <w:keepNext w:val="0"/>
              <w:keepLines w:val="0"/>
              <w:suppressLineNumbers w:val="0"/>
              <w:spacing w:before="0" w:beforeAutospacing="0" w:after="0" w:afterAutospacing="0"/>
              <w:ind w:left="0" w:right="0"/>
              <w:jc w:val="center"/>
              <w:rPr>
                <w:rFonts w:hint="default"/>
                <w:color w:val="auto"/>
                <w:szCs w:val="21"/>
              </w:rPr>
            </w:pPr>
            <w:r>
              <w:rPr>
                <w:rFonts w:hint="default" w:ascii="Times New Roman" w:hAnsi="Times New Roman" w:cs="Times New Roman"/>
                <w:color w:val="auto"/>
                <w:szCs w:val="21"/>
              </w:rPr>
              <w:t>规范管理等</w:t>
            </w:r>
          </w:p>
        </w:tc>
        <w:tc>
          <w:tcPr>
            <w:tcW w:w="1079" w:type="dxa"/>
            <w:vAlign w:val="center"/>
          </w:tcPr>
          <w:p>
            <w:pPr>
              <w:keepNext w:val="0"/>
              <w:keepLines w:val="0"/>
              <w:suppressLineNumbers w:val="0"/>
              <w:spacing w:before="0" w:beforeAutospacing="0" w:after="72"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180</w:t>
            </w:r>
          </w:p>
        </w:tc>
        <w:tc>
          <w:tcPr>
            <w:tcW w:w="1101" w:type="dxa"/>
            <w:vAlign w:val="center"/>
          </w:tcPr>
          <w:p>
            <w:pPr>
              <w:keepNext w:val="0"/>
              <w:keepLines w:val="0"/>
              <w:suppressLineNumbers w:val="0"/>
              <w:spacing w:before="0" w:beforeAutospacing="0" w:after="72" w:afterAutospacing="0"/>
              <w:ind w:left="0" w:right="0"/>
              <w:jc w:val="center"/>
              <w:rPr>
                <w:rFonts w:hint="default" w:eastAsia="宋体"/>
                <w:color w:val="auto"/>
                <w:szCs w:val="21"/>
                <w:lang w:val="en-US" w:eastAsia="zh-CN"/>
              </w:rPr>
            </w:pPr>
            <w:r>
              <w:rPr>
                <w:rFonts w:hint="eastAsia"/>
                <w:color w:val="auto"/>
                <w:szCs w:val="21"/>
                <w:lang w:val="en-US" w:eastAsia="zh-CN"/>
              </w:rPr>
              <w:t>1143.9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216" w:type="dxa"/>
            <w:gridSpan w:val="3"/>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1302" w:type="dxa"/>
            <w:vAlign w:val="center"/>
          </w:tcPr>
          <w:p>
            <w:pPr>
              <w:keepNext w:val="0"/>
              <w:keepLines w:val="0"/>
              <w:suppressLineNumbers w:val="0"/>
              <w:spacing w:before="0" w:beforeAutospacing="0" w:after="72" w:afterAutospacing="0"/>
              <w:ind w:left="0" w:right="0"/>
              <w:jc w:val="center"/>
              <w:rPr>
                <w:rFonts w:hint="default"/>
                <w:color w:val="auto"/>
                <w:szCs w:val="21"/>
                <w:lang w:val="en-US" w:eastAsia="zh-CN"/>
              </w:rPr>
            </w:pPr>
            <w:r>
              <w:rPr>
                <w:rFonts w:hint="eastAsia"/>
                <w:color w:val="auto"/>
                <w:szCs w:val="21"/>
                <w:lang w:val="en-US" w:eastAsia="zh-CN"/>
              </w:rPr>
              <w:t>发酵床恶臭</w:t>
            </w:r>
          </w:p>
        </w:tc>
        <w:tc>
          <w:tcPr>
            <w:tcW w:w="42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rPr>
              <w:t>周边定时喷洒除臭剂，同时加强周边绿化</w:t>
            </w:r>
          </w:p>
        </w:tc>
        <w:tc>
          <w:tcPr>
            <w:tcW w:w="1079" w:type="dxa"/>
            <w:vAlign w:val="center"/>
          </w:tcPr>
          <w:p>
            <w:pPr>
              <w:keepNext w:val="0"/>
              <w:keepLines w:val="0"/>
              <w:suppressLineNumbers w:val="0"/>
              <w:spacing w:before="0" w:beforeAutospacing="0" w:after="72"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20</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216" w:type="dxa"/>
            <w:gridSpan w:val="3"/>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1302"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rPr>
              <w:t>油烟</w:t>
            </w:r>
          </w:p>
        </w:tc>
        <w:tc>
          <w:tcPr>
            <w:tcW w:w="4250" w:type="dxa"/>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lang w:val="en-US" w:eastAsia="zh-CN" w:bidi="ar-SA"/>
              </w:rPr>
            </w:pPr>
            <w:r>
              <w:rPr>
                <w:rFonts w:hint="eastAsia"/>
                <w:color w:val="auto"/>
              </w:rPr>
              <w:t>安装</w:t>
            </w:r>
            <w:r>
              <w:rPr>
                <w:rFonts w:hint="eastAsia"/>
                <w:color w:val="auto"/>
                <w:lang w:val="en-US" w:eastAsia="zh-CN"/>
              </w:rPr>
              <w:t>油烟净化器一套</w:t>
            </w:r>
          </w:p>
        </w:tc>
        <w:tc>
          <w:tcPr>
            <w:tcW w:w="1079" w:type="dxa"/>
            <w:shd w:val="clear" w:color="auto" w:fill="auto"/>
            <w:vAlign w:val="center"/>
          </w:tcPr>
          <w:p>
            <w:pPr>
              <w:keepNext w:val="0"/>
              <w:keepLines w:val="0"/>
              <w:suppressLineNumbers w:val="0"/>
              <w:spacing w:before="0" w:beforeAutospacing="0" w:after="72"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16" w:type="dxa"/>
            <w:gridSpan w:val="3"/>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1302" w:type="dxa"/>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rPr>
              <w:t>发电机废气</w:t>
            </w:r>
          </w:p>
        </w:tc>
        <w:tc>
          <w:tcPr>
            <w:tcW w:w="4250" w:type="dxa"/>
            <w:vAlign w:val="center"/>
          </w:tcPr>
          <w:p>
            <w:pPr>
              <w:keepNext w:val="0"/>
              <w:keepLines w:val="0"/>
              <w:suppressLineNumbers w:val="0"/>
              <w:spacing w:before="0" w:beforeAutospacing="0" w:after="0" w:afterAutospacing="0"/>
              <w:ind w:left="0" w:right="0"/>
              <w:jc w:val="left"/>
              <w:rPr>
                <w:rFonts w:hint="default"/>
                <w:color w:val="auto"/>
                <w:kern w:val="0"/>
                <w:szCs w:val="21"/>
              </w:rPr>
            </w:pPr>
            <w:r>
              <w:rPr>
                <w:rFonts w:hint="eastAsia"/>
                <w:color w:val="auto"/>
              </w:rPr>
              <w:t>由柴油发电机自身携带的废气净化装置处理</w:t>
            </w:r>
          </w:p>
        </w:tc>
        <w:tc>
          <w:tcPr>
            <w:tcW w:w="1079" w:type="dxa"/>
            <w:shd w:val="clear" w:color="auto" w:fill="auto"/>
            <w:vAlign w:val="center"/>
          </w:tcPr>
          <w:p>
            <w:pPr>
              <w:keepNext w:val="0"/>
              <w:keepLines w:val="0"/>
              <w:suppressLineNumbers w:val="0"/>
              <w:spacing w:before="0" w:beforeAutospacing="0" w:after="72"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16" w:type="dxa"/>
            <w:gridSpan w:val="3"/>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1302" w:type="dxa"/>
            <w:vAlign w:val="center"/>
          </w:tcPr>
          <w:p>
            <w:pPr>
              <w:keepNext w:val="0"/>
              <w:keepLines w:val="0"/>
              <w:suppressLineNumbers w:val="0"/>
              <w:spacing w:before="0" w:beforeAutospacing="0" w:after="0" w:afterAutospacing="0"/>
              <w:ind w:left="0" w:right="0"/>
              <w:jc w:val="center"/>
              <w:rPr>
                <w:rFonts w:hint="default"/>
                <w:color w:val="auto"/>
                <w:kern w:val="0"/>
              </w:rPr>
            </w:pPr>
            <w:r>
              <w:rPr>
                <w:rFonts w:hint="eastAsia"/>
                <w:color w:val="auto"/>
                <w:sz w:val="21"/>
                <w:szCs w:val="21"/>
                <w:lang w:val="en-US" w:eastAsia="zh-CN"/>
              </w:rPr>
              <w:t>饲料加工废气（颗粒物）</w:t>
            </w:r>
          </w:p>
        </w:tc>
        <w:tc>
          <w:tcPr>
            <w:tcW w:w="4250" w:type="dxa"/>
            <w:vAlign w:val="center"/>
          </w:tcPr>
          <w:p>
            <w:pPr>
              <w:keepNext w:val="0"/>
              <w:keepLines w:val="0"/>
              <w:suppressLineNumbers w:val="0"/>
              <w:spacing w:before="0" w:beforeAutospacing="0" w:after="0" w:afterAutospacing="0"/>
              <w:ind w:left="0" w:right="0"/>
              <w:jc w:val="left"/>
              <w:rPr>
                <w:rFonts w:hint="eastAsia"/>
                <w:color w:val="auto"/>
              </w:rPr>
            </w:pPr>
            <w:r>
              <w:rPr>
                <w:rFonts w:hint="eastAsia" w:cs="Times New Roman"/>
                <w:color w:val="auto"/>
                <w:sz w:val="21"/>
                <w:szCs w:val="24"/>
                <w:lang w:val="en-US" w:eastAsia="zh-CN"/>
              </w:rPr>
              <w:t>布袋除尘器+15m高排气筒（</w:t>
            </w:r>
            <w:r>
              <w:rPr>
                <w:rFonts w:hint="default" w:ascii="Times New Roman" w:hAnsi="Times New Roman" w:eastAsia="宋体" w:cs="Times New Roman"/>
                <w:color w:val="auto"/>
                <w:sz w:val="21"/>
                <w:szCs w:val="21"/>
                <w:lang w:eastAsia="zh-CN"/>
              </w:rPr>
              <w:t>风量</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00m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收集效率取90%，处理效率取99%</w:t>
            </w:r>
            <w:r>
              <w:rPr>
                <w:rFonts w:hint="eastAsia" w:cs="Times New Roman"/>
                <w:color w:val="auto"/>
                <w:sz w:val="21"/>
                <w:szCs w:val="21"/>
                <w:lang w:eastAsia="zh-CN"/>
              </w:rPr>
              <w:t>，</w:t>
            </w:r>
            <w:r>
              <w:rPr>
                <w:rFonts w:hint="eastAsia" w:cs="Times New Roman"/>
                <w:color w:val="auto"/>
                <w:sz w:val="21"/>
                <w:szCs w:val="24"/>
                <w:lang w:val="en-US" w:eastAsia="zh-CN"/>
              </w:rPr>
              <w:t>DA001）</w:t>
            </w:r>
          </w:p>
        </w:tc>
        <w:tc>
          <w:tcPr>
            <w:tcW w:w="1079" w:type="dxa"/>
            <w:shd w:val="clear" w:color="auto" w:fill="auto"/>
            <w:vAlign w:val="center"/>
          </w:tcPr>
          <w:p>
            <w:pPr>
              <w:keepNext w:val="0"/>
              <w:keepLines w:val="0"/>
              <w:suppressLineNumbers w:val="0"/>
              <w:spacing w:before="0" w:beforeAutospacing="0" w:after="72"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gridSpan w:val="3"/>
            <w:vMerge w:val="restart"/>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废水</w:t>
            </w:r>
          </w:p>
        </w:tc>
        <w:tc>
          <w:tcPr>
            <w:tcW w:w="1302" w:type="dxa"/>
            <w:vMerge w:val="restart"/>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污水</w:t>
            </w:r>
          </w:p>
        </w:tc>
        <w:tc>
          <w:tcPr>
            <w:tcW w:w="4250"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节水工程：饮水：采用不锈钢饮水槽，精确控制在同一水面，再配合水位计精确控制液面高度。</w:t>
            </w:r>
          </w:p>
          <w:p>
            <w:pPr>
              <w:keepNext w:val="0"/>
              <w:keepLines w:val="0"/>
              <w:suppressLineNumbers w:val="0"/>
              <w:spacing w:before="0" w:beforeAutospacing="0" w:after="0" w:afterAutospacing="0"/>
              <w:ind w:left="0" w:right="0"/>
              <w:rPr>
                <w:rFonts w:hint="default"/>
                <w:color w:val="auto"/>
              </w:rPr>
            </w:pPr>
            <w:r>
              <w:rPr>
                <w:rFonts w:hint="default"/>
                <w:color w:val="auto"/>
              </w:rPr>
              <w:t>节水型清粪技术：采用干清粪模式。</w:t>
            </w:r>
          </w:p>
          <w:p>
            <w:pPr>
              <w:keepNext w:val="0"/>
              <w:keepLines w:val="0"/>
              <w:suppressLineNumbers w:val="0"/>
              <w:spacing w:before="0" w:beforeAutospacing="0" w:after="0" w:afterAutospacing="0"/>
              <w:ind w:left="0" w:right="0"/>
              <w:rPr>
                <w:rFonts w:hint="default"/>
                <w:color w:val="auto"/>
              </w:rPr>
            </w:pPr>
            <w:r>
              <w:rPr>
                <w:rFonts w:hint="default"/>
                <w:color w:val="auto"/>
              </w:rPr>
              <w:t>冲洗：采用高压冲洗设备。</w:t>
            </w:r>
          </w:p>
          <w:p>
            <w:pPr>
              <w:keepNext w:val="0"/>
              <w:keepLines w:val="0"/>
              <w:suppressLineNumbers w:val="0"/>
              <w:spacing w:before="0" w:beforeAutospacing="0" w:after="0" w:afterAutospacing="0"/>
              <w:ind w:left="0" w:right="0"/>
              <w:jc w:val="center"/>
              <w:rPr>
                <w:rFonts w:hint="default"/>
                <w:color w:val="auto"/>
              </w:rPr>
            </w:pPr>
            <w:r>
              <w:rPr>
                <w:rFonts w:hint="default"/>
                <w:color w:val="auto"/>
              </w:rPr>
              <w:t>管理：各圈舍分别</w:t>
            </w:r>
            <w:r>
              <w:rPr>
                <w:rFonts w:hint="eastAsia"/>
                <w:color w:val="auto"/>
                <w:lang w:eastAsia="zh-CN"/>
              </w:rPr>
              <w:t>安装</w:t>
            </w:r>
            <w:r>
              <w:rPr>
                <w:rFonts w:hint="default"/>
                <w:color w:val="auto"/>
              </w:rPr>
              <w:t>水表，实行节水考核制度。</w:t>
            </w:r>
          </w:p>
        </w:tc>
        <w:tc>
          <w:tcPr>
            <w:tcW w:w="107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cs="Times New Roman"/>
                <w:color w:val="auto"/>
                <w:lang w:val="en-US" w:eastAsia="zh-CN"/>
              </w:rPr>
              <w:t>200</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gridSpan w:val="3"/>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1302" w:type="dxa"/>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4250" w:type="dxa"/>
            <w:vAlign w:val="center"/>
          </w:tcPr>
          <w:p>
            <w:pPr>
              <w:keepNext w:val="0"/>
              <w:keepLines w:val="0"/>
              <w:suppressLineNumbers w:val="0"/>
              <w:spacing w:before="0" w:beforeAutospacing="0" w:after="72" w:afterAutospacing="0"/>
              <w:ind w:left="0" w:right="0"/>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rPr>
              <w:t>废水处理系统一套，采用</w:t>
            </w:r>
            <w:r>
              <w:rPr>
                <w:rFonts w:hint="eastAsia" w:cs="Times New Roman"/>
                <w:color w:val="auto"/>
                <w:lang w:val="en-US" w:eastAsia="zh-CN"/>
              </w:rPr>
              <w:t>发酵床</w:t>
            </w:r>
            <w:r>
              <w:rPr>
                <w:rFonts w:hint="default" w:ascii="Times New Roman" w:hAnsi="Times New Roman" w:cs="Times New Roman"/>
                <w:color w:val="auto"/>
              </w:rPr>
              <w:t>工艺</w:t>
            </w:r>
            <w:r>
              <w:rPr>
                <w:rFonts w:hint="eastAsia" w:cs="Times New Roman"/>
                <w:color w:val="auto"/>
                <w:lang w:eastAsia="zh-CN"/>
              </w:rPr>
              <w:t>：</w:t>
            </w:r>
            <w:r>
              <w:rPr>
                <w:rFonts w:hint="default" w:ascii="Times New Roman" w:hAnsi="Times New Roman" w:cs="Times New Roman"/>
                <w:color w:val="auto"/>
              </w:rPr>
              <w:t>设计能力</w:t>
            </w:r>
            <w:r>
              <w:rPr>
                <w:rFonts w:hint="eastAsia" w:cs="Times New Roman"/>
                <w:color w:val="auto"/>
                <w:lang w:val="en-US" w:eastAsia="zh-CN"/>
              </w:rPr>
              <w:t>300t</w:t>
            </w:r>
            <w:r>
              <w:rPr>
                <w:rFonts w:hint="default" w:ascii="Times New Roman" w:hAnsi="Times New Roman" w:cs="Times New Roman"/>
                <w:color w:val="auto"/>
              </w:rPr>
              <w:t>/d；</w:t>
            </w:r>
            <w:r>
              <w:rPr>
                <w:rFonts w:hint="eastAsia" w:cs="Times New Roman"/>
                <w:color w:val="auto"/>
                <w:lang w:val="en-US" w:eastAsia="zh-CN"/>
              </w:rPr>
              <w:t>收集：</w:t>
            </w:r>
            <w:r>
              <w:rPr>
                <w:rFonts w:hint="eastAsia" w:ascii="Times New Roman" w:hAnsi="Times New Roman" w:cs="Times New Roman"/>
                <w:color w:val="auto"/>
              </w:rPr>
              <w:t>粪尿收集</w:t>
            </w:r>
            <w:r>
              <w:rPr>
                <w:rFonts w:hint="eastAsia" w:cs="Times New Roman"/>
                <w:color w:val="auto"/>
                <w:lang w:val="en-US" w:eastAsia="zh-CN"/>
              </w:rPr>
              <w:t>槽</w:t>
            </w:r>
            <w:r>
              <w:rPr>
                <w:rFonts w:hint="eastAsia" w:ascii="Times New Roman" w:hAnsi="Times New Roman" w:cs="Times New Roman"/>
                <w:color w:val="auto"/>
              </w:rPr>
              <w:t>（</w:t>
            </w:r>
            <w:r>
              <w:rPr>
                <w:rFonts w:hint="eastAsia" w:cs="Times New Roman"/>
                <w:color w:val="auto"/>
                <w:lang w:val="en-US" w:eastAsia="zh-CN"/>
              </w:rPr>
              <w:t>4个</w:t>
            </w:r>
            <w:r>
              <w:rPr>
                <w:rFonts w:hint="eastAsia" w:ascii="Times New Roman" w:hAnsi="Times New Roman" w:cs="Times New Roman"/>
                <w:color w:val="auto"/>
              </w:rPr>
              <w:t>，</w:t>
            </w:r>
            <w:r>
              <w:rPr>
                <w:rFonts w:hint="eastAsia" w:cs="Times New Roman"/>
                <w:color w:val="auto"/>
                <w:lang w:val="en-US" w:eastAsia="zh-CN"/>
              </w:rPr>
              <w:t>单个</w:t>
            </w:r>
            <w:r>
              <w:rPr>
                <w:rFonts w:hint="default" w:ascii="Times New Roman" w:hAnsi="Times New Roman" w:cs="Times New Roman"/>
                <w:color w:val="auto"/>
              </w:rPr>
              <w:t>容积为</w:t>
            </w:r>
            <w:r>
              <w:rPr>
                <w:rFonts w:hint="eastAsia"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ascii="Times New Roman" w:hAnsi="Times New Roman" w:cs="Times New Roman"/>
                <w:color w:val="auto"/>
              </w:rPr>
              <w:t>、</w:t>
            </w:r>
            <w:r>
              <w:rPr>
                <w:rFonts w:hint="eastAsia" w:cs="Times New Roman"/>
                <w:color w:val="auto"/>
                <w:lang w:val="en-US" w:eastAsia="zh-CN"/>
              </w:rPr>
              <w:t>调节</w:t>
            </w:r>
            <w:r>
              <w:rPr>
                <w:rFonts w:hint="eastAsia" w:ascii="Times New Roman" w:hAnsi="Times New Roman" w:cs="Times New Roman"/>
                <w:color w:val="auto"/>
              </w:rPr>
              <w:t>池（</w:t>
            </w:r>
            <w:r>
              <w:rPr>
                <w:rFonts w:hint="eastAsia" w:cs="Times New Roman"/>
                <w:color w:val="auto"/>
                <w:lang w:val="en-US" w:eastAsia="zh-CN"/>
              </w:rPr>
              <w:t>4</w:t>
            </w:r>
            <w:r>
              <w:rPr>
                <w:rFonts w:hint="eastAsia" w:ascii="Times New Roman" w:hAnsi="Times New Roman" w:cs="Times New Roman"/>
                <w:color w:val="auto"/>
              </w:rPr>
              <w:t>个，</w:t>
            </w:r>
            <w:r>
              <w:rPr>
                <w:rFonts w:hint="eastAsia"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ascii="Times New Roman" w:hAnsi="Times New Roman" w:cs="Times New Roman"/>
                <w:color w:val="auto"/>
              </w:rPr>
              <w:t>）</w:t>
            </w:r>
            <w:r>
              <w:rPr>
                <w:rFonts w:hint="eastAsia" w:cs="Times New Roman"/>
                <w:color w:val="auto"/>
                <w:lang w:eastAsia="zh-CN"/>
              </w:rPr>
              <w:t>、</w:t>
            </w:r>
            <w:r>
              <w:rPr>
                <w:rFonts w:hint="eastAsia" w:cs="Times New Roman"/>
                <w:color w:val="auto"/>
                <w:lang w:val="en-US" w:eastAsia="zh-CN"/>
              </w:rPr>
              <w:t>喷淋池（4个</w:t>
            </w:r>
            <w:r>
              <w:rPr>
                <w:rFonts w:hint="eastAsia" w:ascii="Times New Roman" w:hAnsi="Times New Roman" w:cs="Times New Roman"/>
                <w:color w:val="auto"/>
              </w:rPr>
              <w:t>，</w:t>
            </w:r>
            <w:r>
              <w:rPr>
                <w:rFonts w:hint="eastAsia" w:cs="Times New Roman"/>
                <w:color w:val="auto"/>
                <w:lang w:val="en-US" w:eastAsia="zh-CN"/>
              </w:rPr>
              <w:t>单个</w:t>
            </w:r>
            <w:r>
              <w:rPr>
                <w:rFonts w:hint="default" w:ascii="Times New Roman" w:hAnsi="Times New Roman" w:cs="Times New Roman"/>
                <w:color w:val="auto"/>
              </w:rPr>
              <w:t>容积为</w:t>
            </w:r>
            <w:r>
              <w:rPr>
                <w:rFonts w:hint="eastAsia" w:cs="Times New Roman"/>
                <w:color w:val="auto"/>
                <w:lang w:val="en-US" w:eastAsia="zh-CN"/>
              </w:rPr>
              <w:t>200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val="en-US" w:eastAsia="zh-CN"/>
              </w:rPr>
              <w:t>）粪污暂存池（4个，单个</w:t>
            </w:r>
            <w:r>
              <w:rPr>
                <w:rFonts w:hint="default" w:ascii="Times New Roman" w:hAnsi="Times New Roman" w:cs="Times New Roman"/>
                <w:color w:val="auto"/>
              </w:rPr>
              <w:t>容积为</w:t>
            </w:r>
            <w:r>
              <w:rPr>
                <w:rFonts w:hint="eastAsia" w:cs="Times New Roman"/>
                <w:color w:val="auto"/>
                <w:lang w:val="en-US" w:eastAsia="zh-CN"/>
              </w:rPr>
              <w:t>200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val="en-US" w:eastAsia="zh-CN"/>
              </w:rPr>
              <w:t>）</w:t>
            </w:r>
            <w:r>
              <w:rPr>
                <w:rFonts w:hint="eastAsia"/>
                <w:color w:val="auto"/>
                <w:lang w:eastAsia="zh-CN"/>
              </w:rPr>
              <w:t>。</w:t>
            </w:r>
          </w:p>
        </w:tc>
        <w:tc>
          <w:tcPr>
            <w:tcW w:w="10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500</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216" w:type="dxa"/>
            <w:gridSpan w:val="3"/>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1302" w:type="dxa"/>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4250" w:type="dxa"/>
            <w:vAlign w:val="center"/>
          </w:tcPr>
          <w:p>
            <w:pPr>
              <w:keepNext w:val="0"/>
              <w:keepLines w:val="0"/>
              <w:suppressLineNumbers w:val="0"/>
              <w:spacing w:before="0" w:beforeAutospacing="0" w:after="72" w:afterAutospacing="0"/>
              <w:ind w:left="0" w:right="0"/>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食堂设置一座隔油池（0.1m</w:t>
            </w:r>
            <w:r>
              <w:rPr>
                <w:rFonts w:hint="eastAsia" w:cs="Times New Roman"/>
                <w:color w:val="auto"/>
                <w:kern w:val="0"/>
                <w:vertAlign w:val="superscript"/>
                <w:lang w:val="en-US" w:eastAsia="zh-CN"/>
              </w:rPr>
              <w:t>3</w:t>
            </w:r>
            <w:r>
              <w:rPr>
                <w:rFonts w:hint="eastAsia" w:cs="Times New Roman"/>
                <w:color w:val="auto"/>
                <w:kern w:val="0"/>
                <w:lang w:val="en-US" w:eastAsia="zh-CN"/>
              </w:rPr>
              <w:t>）</w:t>
            </w:r>
          </w:p>
        </w:tc>
        <w:tc>
          <w:tcPr>
            <w:tcW w:w="1079" w:type="dxa"/>
            <w:vAlign w:val="center"/>
          </w:tcPr>
          <w:p>
            <w:pPr>
              <w:keepNext w:val="0"/>
              <w:keepLines w:val="0"/>
              <w:suppressLineNumbers w:val="0"/>
              <w:spacing w:before="0" w:beforeAutospacing="0" w:after="72"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0.5</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16" w:type="dxa"/>
            <w:gridSpan w:val="3"/>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1302" w:type="dxa"/>
            <w:vMerge w:val="continue"/>
            <w:vAlign w:val="center"/>
          </w:tcPr>
          <w:p>
            <w:pPr>
              <w:keepNext w:val="0"/>
              <w:keepLines w:val="0"/>
              <w:suppressLineNumbers w:val="0"/>
              <w:spacing w:before="0" w:beforeAutospacing="0" w:after="72" w:afterAutospacing="0"/>
              <w:ind w:left="0" w:right="0"/>
              <w:jc w:val="center"/>
              <w:rPr>
                <w:rFonts w:hint="default"/>
                <w:color w:val="auto"/>
                <w:szCs w:val="21"/>
              </w:rPr>
            </w:pPr>
          </w:p>
        </w:tc>
        <w:tc>
          <w:tcPr>
            <w:tcW w:w="4250" w:type="dxa"/>
            <w:vAlign w:val="center"/>
          </w:tcPr>
          <w:p>
            <w:pPr>
              <w:keepNext w:val="0"/>
              <w:keepLines w:val="0"/>
              <w:suppressLineNumbers w:val="0"/>
              <w:spacing w:before="0" w:beforeAutospacing="0" w:after="72" w:afterAutospacing="0"/>
              <w:ind w:left="0" w:right="0"/>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综合楼设置一座预处理池（10m</w:t>
            </w:r>
            <w:r>
              <w:rPr>
                <w:rFonts w:hint="eastAsia" w:cs="Times New Roman"/>
                <w:color w:val="auto"/>
                <w:kern w:val="0"/>
                <w:vertAlign w:val="superscript"/>
                <w:lang w:val="en-US" w:eastAsia="zh-CN"/>
              </w:rPr>
              <w:t>3</w:t>
            </w:r>
            <w:r>
              <w:rPr>
                <w:rFonts w:hint="eastAsia" w:cs="Times New Roman"/>
                <w:color w:val="auto"/>
                <w:kern w:val="0"/>
                <w:lang w:val="en-US" w:eastAsia="zh-CN"/>
              </w:rPr>
              <w:t>）</w:t>
            </w:r>
          </w:p>
        </w:tc>
        <w:tc>
          <w:tcPr>
            <w:tcW w:w="1079" w:type="dxa"/>
            <w:vAlign w:val="center"/>
          </w:tcPr>
          <w:p>
            <w:pPr>
              <w:keepNext w:val="0"/>
              <w:keepLines w:val="0"/>
              <w:suppressLineNumbers w:val="0"/>
              <w:spacing w:before="0" w:beforeAutospacing="0" w:after="72"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1</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gridSpan w:val="2"/>
            <w:vAlign w:val="center"/>
          </w:tcPr>
          <w:p>
            <w:pPr>
              <w:keepNext w:val="0"/>
              <w:keepLines w:val="0"/>
              <w:suppressLineNumbers w:val="0"/>
              <w:spacing w:before="0" w:beforeAutospacing="0" w:after="72" w:afterAutospacing="0"/>
              <w:ind w:left="0" w:right="0"/>
              <w:jc w:val="center"/>
              <w:rPr>
                <w:rFonts w:hint="default"/>
                <w:color w:val="auto"/>
                <w:szCs w:val="21"/>
              </w:rPr>
            </w:pPr>
            <w:r>
              <w:rPr>
                <w:rFonts w:hint="default"/>
                <w:color w:val="auto"/>
                <w:szCs w:val="21"/>
              </w:rPr>
              <w:t>地下水</w:t>
            </w:r>
          </w:p>
        </w:tc>
        <w:tc>
          <w:tcPr>
            <w:tcW w:w="6093" w:type="dxa"/>
            <w:gridSpan w:val="3"/>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default"/>
                <w:color w:val="auto"/>
              </w:rPr>
              <w:fldChar w:fldCharType="begin"/>
            </w:r>
            <w:r>
              <w:rPr>
                <w:rFonts w:hint="default"/>
                <w:color w:val="auto"/>
              </w:rPr>
              <w:instrText xml:space="preserve">= 1 \* GB3</w:instrText>
            </w:r>
            <w:r>
              <w:rPr>
                <w:rFonts w:hint="default"/>
                <w:color w:val="auto"/>
              </w:rPr>
              <w:fldChar w:fldCharType="separate"/>
            </w:r>
            <w:r>
              <w:rPr>
                <w:rFonts w:hint="default"/>
                <w:color w:val="auto"/>
              </w:rPr>
              <w:t>①</w:t>
            </w:r>
            <w:r>
              <w:rPr>
                <w:rFonts w:hint="default"/>
                <w:color w:val="auto"/>
              </w:rPr>
              <w:fldChar w:fldCharType="end"/>
            </w:r>
            <w:r>
              <w:rPr>
                <w:rFonts w:hint="eastAsia"/>
                <w:color w:val="auto"/>
                <w:kern w:val="0"/>
                <w:sz w:val="21"/>
                <w:szCs w:val="21"/>
                <w:lang w:val="en-US" w:eastAsia="zh-CN"/>
              </w:rPr>
              <w:t>医疗废物</w:t>
            </w:r>
            <w:r>
              <w:rPr>
                <w:rFonts w:hint="eastAsia"/>
                <w:color w:val="auto"/>
                <w:kern w:val="0"/>
                <w:sz w:val="21"/>
                <w:szCs w:val="21"/>
              </w:rPr>
              <w:t>暂存间、柴油发电机房</w:t>
            </w:r>
            <w:r>
              <w:rPr>
                <w:rFonts w:hint="default"/>
                <w:color w:val="auto"/>
                <w:kern w:val="0"/>
                <w:sz w:val="21"/>
                <w:szCs w:val="21"/>
              </w:rPr>
              <w:t>等</w:t>
            </w:r>
            <w:r>
              <w:rPr>
                <w:rFonts w:hint="default"/>
                <w:color w:val="auto"/>
                <w:sz w:val="21"/>
                <w:szCs w:val="21"/>
              </w:rPr>
              <w:t>设置为重点污染防治区，防渗技术要求：等效黏土防渗层 Mb≥6.0m，K≤1×10</w:t>
            </w:r>
            <w:r>
              <w:rPr>
                <w:rFonts w:hint="default"/>
                <w:color w:val="auto"/>
                <w:sz w:val="21"/>
                <w:szCs w:val="21"/>
                <w:vertAlign w:val="superscript"/>
              </w:rPr>
              <w:t>-7</w:t>
            </w:r>
            <w:r>
              <w:rPr>
                <w:rFonts w:hint="default"/>
                <w:color w:val="auto"/>
                <w:sz w:val="21"/>
                <w:szCs w:val="21"/>
              </w:rPr>
              <w:t>cm/s；或参照 GB18598执行。</w:t>
            </w:r>
            <w:r>
              <w:rPr>
                <w:rFonts w:hint="eastAsia"/>
                <w:color w:val="auto"/>
                <w:sz w:val="21"/>
                <w:szCs w:val="21"/>
              </w:rPr>
              <w:t>医疗废物</w:t>
            </w:r>
            <w:r>
              <w:rPr>
                <w:rFonts w:hint="default"/>
                <w:color w:val="auto"/>
                <w:sz w:val="21"/>
                <w:szCs w:val="21"/>
              </w:rPr>
              <w:t>暂存间</w:t>
            </w:r>
            <w:r>
              <w:rPr>
                <w:rFonts w:hint="eastAsia"/>
                <w:color w:val="auto"/>
                <w:sz w:val="21"/>
                <w:szCs w:val="21"/>
                <w:lang w:val="en-US" w:eastAsia="zh-CN"/>
              </w:rPr>
              <w:t>防渗要求为</w:t>
            </w:r>
            <w:r>
              <w:rPr>
                <w:rFonts w:hint="eastAsia"/>
                <w:color w:val="auto"/>
                <w:sz w:val="21"/>
                <w:szCs w:val="21"/>
              </w:rPr>
              <w:t>等效黏土防渗层Mb≥6.0m，渗透系数K≤10</w:t>
            </w:r>
            <w:r>
              <w:rPr>
                <w:rFonts w:hint="eastAsia"/>
                <w:color w:val="auto"/>
                <w:sz w:val="21"/>
                <w:szCs w:val="21"/>
                <w:vertAlign w:val="superscript"/>
              </w:rPr>
              <w:t>-10</w:t>
            </w:r>
            <w:r>
              <w:rPr>
                <w:rFonts w:hint="eastAsia"/>
                <w:color w:val="auto"/>
                <w:sz w:val="21"/>
                <w:szCs w:val="21"/>
              </w:rPr>
              <w:t>cm/s，</w:t>
            </w:r>
            <w:r>
              <w:rPr>
                <w:rFonts w:hint="default" w:ascii="Times New Roman" w:hAnsi="Times New Roman" w:cs="Times New Roman"/>
                <w:color w:val="auto"/>
                <w:kern w:val="0"/>
                <w:sz w:val="21"/>
                <w:szCs w:val="21"/>
              </w:rPr>
              <w:t>或参照GB18598 执行</w:t>
            </w:r>
            <w:r>
              <w:rPr>
                <w:rFonts w:hint="eastAsia"/>
                <w:color w:val="auto"/>
                <w:sz w:val="21"/>
                <w:szCs w:val="21"/>
                <w:lang w:eastAsia="zh-CN"/>
              </w:rPr>
              <w:t>；</w:t>
            </w:r>
          </w:p>
          <w:p>
            <w:pPr>
              <w:keepNext w:val="0"/>
              <w:keepLines w:val="0"/>
              <w:suppressLineNumbers w:val="0"/>
              <w:spacing w:before="0" w:beforeAutospacing="0" w:after="0" w:afterAutospacing="0"/>
              <w:ind w:left="0" w:right="0"/>
              <w:jc w:val="center"/>
              <w:rPr>
                <w:rFonts w:hint="default"/>
                <w:color w:val="auto"/>
              </w:rPr>
            </w:pPr>
            <w:r>
              <w:rPr>
                <w:rFonts w:hint="default"/>
                <w:color w:val="auto"/>
              </w:rPr>
              <w:t>②</w:t>
            </w:r>
            <w:r>
              <w:rPr>
                <w:rFonts w:hint="eastAsia"/>
                <w:color w:val="auto"/>
                <w:kern w:val="0"/>
                <w:sz w:val="21"/>
                <w:szCs w:val="21"/>
                <w:lang w:val="en-US" w:eastAsia="zh-CN"/>
              </w:rPr>
              <w:t>养殖牛舍、干草棚、种牛公舍、TMB管理中心、发酵床</w:t>
            </w:r>
            <w:r>
              <w:rPr>
                <w:rFonts w:hint="default"/>
                <w:color w:val="auto"/>
                <w:kern w:val="0"/>
                <w:sz w:val="21"/>
                <w:szCs w:val="21"/>
              </w:rPr>
              <w:t>等设置为一般污染防治区，防渗技术要求：等效黏土防渗层Mb≥1.5m，K≤1×10</w:t>
            </w:r>
            <w:r>
              <w:rPr>
                <w:rFonts w:hint="default"/>
                <w:color w:val="auto"/>
                <w:kern w:val="0"/>
                <w:sz w:val="21"/>
                <w:szCs w:val="21"/>
                <w:vertAlign w:val="superscript"/>
              </w:rPr>
              <w:t>-7</w:t>
            </w:r>
            <w:r>
              <w:rPr>
                <w:rFonts w:hint="default"/>
                <w:color w:val="auto"/>
                <w:kern w:val="0"/>
                <w:sz w:val="21"/>
                <w:szCs w:val="21"/>
              </w:rPr>
              <w:t>cm/s；或参照 GB16889 执行。本项目采用P8级混凝土铺设，混凝土厚度10～15cm。</w:t>
            </w:r>
          </w:p>
          <w:p>
            <w:pPr>
              <w:keepNext w:val="0"/>
              <w:keepLines w:val="0"/>
              <w:suppressLineNumbers w:val="0"/>
              <w:spacing w:before="0" w:beforeAutospacing="0" w:after="0" w:afterAutospacing="0"/>
              <w:ind w:left="0" w:right="0"/>
              <w:jc w:val="center"/>
              <w:rPr>
                <w:rFonts w:hint="default"/>
                <w:color w:val="auto"/>
              </w:rPr>
            </w:pPr>
            <w:r>
              <w:rPr>
                <w:rFonts w:hint="default"/>
                <w:color w:val="auto"/>
              </w:rPr>
              <w:t>③办公生活用房及道路等属简单污染防治区，可采取非铺砌地坪或普通混凝土地坪，不设置专门的防渗层，场内主要通道全部硬化处理；防渗技术要求：一般地面硬化。</w:t>
            </w:r>
          </w:p>
        </w:tc>
        <w:tc>
          <w:tcPr>
            <w:tcW w:w="107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75" w:type="dxa"/>
            <w:gridSpan w:val="2"/>
            <w:vMerge w:val="restart"/>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固体废物</w:t>
            </w:r>
          </w:p>
        </w:tc>
        <w:tc>
          <w:tcPr>
            <w:tcW w:w="1843" w:type="dxa"/>
            <w:gridSpan w:val="2"/>
            <w:vAlign w:val="center"/>
          </w:tcPr>
          <w:p>
            <w:pPr>
              <w:keepNext w:val="0"/>
              <w:keepLines w:val="0"/>
              <w:suppressLineNumbers w:val="0"/>
              <w:spacing w:before="0" w:beforeAutospacing="0" w:after="0" w:afterAutospacing="0"/>
              <w:ind w:left="0" w:leftChars="0" w:right="0" w:rightChars="0"/>
              <w:jc w:val="center"/>
              <w:rPr>
                <w:rFonts w:hint="default" w:eastAsia="宋体"/>
                <w:color w:val="auto"/>
                <w:szCs w:val="21"/>
                <w:lang w:val="en-US" w:eastAsia="zh-CN"/>
              </w:rPr>
            </w:pPr>
            <w:r>
              <w:rPr>
                <w:rFonts w:hint="eastAsia"/>
                <w:color w:val="auto"/>
                <w:kern w:val="0"/>
                <w:szCs w:val="21"/>
                <w:lang w:val="en-US" w:eastAsia="zh-CN"/>
              </w:rPr>
              <w:t>牛粪</w:t>
            </w:r>
          </w:p>
        </w:tc>
        <w:tc>
          <w:tcPr>
            <w:tcW w:w="4250" w:type="dxa"/>
            <w:vAlign w:val="center"/>
          </w:tcPr>
          <w:p>
            <w:pPr>
              <w:keepNext w:val="0"/>
              <w:keepLines w:val="0"/>
              <w:suppressLineNumbers w:val="0"/>
              <w:spacing w:before="0" w:beforeAutospacing="0" w:after="72" w:afterAutospacing="0"/>
              <w:ind w:left="0" w:right="0"/>
              <w:jc w:val="center"/>
              <w:rPr>
                <w:rFonts w:hint="default"/>
                <w:color w:val="auto"/>
                <w:szCs w:val="21"/>
              </w:rPr>
            </w:pPr>
            <w:r>
              <w:rPr>
                <w:rFonts w:hint="eastAsia"/>
                <w:color w:val="auto"/>
                <w:lang w:val="en-US" w:eastAsia="zh-CN"/>
              </w:rPr>
              <w:t>经发酵床处理后，外售做有机肥原料</w:t>
            </w:r>
          </w:p>
        </w:tc>
        <w:tc>
          <w:tcPr>
            <w:tcW w:w="10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lang w:val="en-US" w:eastAsia="zh-CN"/>
              </w:rPr>
              <w:t>计入发酵床处理措施</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75" w:type="dxa"/>
            <w:gridSpan w:val="2"/>
            <w:vMerge w:val="continue"/>
            <w:vAlign w:val="center"/>
          </w:tcPr>
          <w:p>
            <w:pPr>
              <w:keepNext w:val="0"/>
              <w:keepLines w:val="0"/>
              <w:suppressLineNumbers w:val="0"/>
              <w:spacing w:before="0" w:beforeAutospacing="0" w:after="72" w:afterAutospacing="0"/>
              <w:ind w:left="0" w:right="0"/>
              <w:rPr>
                <w:rFonts w:hint="default"/>
                <w:color w:val="auto"/>
                <w:szCs w:val="21"/>
              </w:rPr>
            </w:pPr>
          </w:p>
        </w:tc>
        <w:tc>
          <w:tcPr>
            <w:tcW w:w="1843" w:type="dxa"/>
            <w:gridSpan w:val="2"/>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rPr>
            </w:pPr>
            <w:r>
              <w:rPr>
                <w:rFonts w:hint="default"/>
                <w:color w:val="auto"/>
                <w:kern w:val="0"/>
                <w:szCs w:val="21"/>
              </w:rPr>
              <w:t>病死牛及分娩废物</w:t>
            </w:r>
          </w:p>
        </w:tc>
        <w:tc>
          <w:tcPr>
            <w:tcW w:w="4250" w:type="dxa"/>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lang w:val="en-US" w:eastAsia="zh-CN"/>
              </w:rPr>
              <w:t>经高温无害化处理后交由有机肥厂</w:t>
            </w:r>
          </w:p>
        </w:tc>
        <w:tc>
          <w:tcPr>
            <w:tcW w:w="10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lang w:val="en-US" w:eastAsia="zh-CN"/>
              </w:rPr>
              <w:t>30</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75" w:type="dxa"/>
            <w:gridSpan w:val="2"/>
            <w:vMerge w:val="continue"/>
            <w:vAlign w:val="center"/>
          </w:tcPr>
          <w:p>
            <w:pPr>
              <w:keepNext w:val="0"/>
              <w:keepLines w:val="0"/>
              <w:suppressLineNumbers w:val="0"/>
              <w:spacing w:before="0" w:beforeAutospacing="0" w:after="72" w:afterAutospacing="0"/>
              <w:ind w:left="0" w:right="0"/>
              <w:rPr>
                <w:rFonts w:hint="default"/>
                <w:color w:val="auto"/>
                <w:szCs w:val="21"/>
              </w:rPr>
            </w:pPr>
          </w:p>
        </w:tc>
        <w:tc>
          <w:tcPr>
            <w:tcW w:w="1843" w:type="dxa"/>
            <w:gridSpan w:val="2"/>
            <w:vAlign w:val="center"/>
          </w:tcPr>
          <w:p>
            <w:pPr>
              <w:keepNext w:val="0"/>
              <w:keepLines w:val="0"/>
              <w:suppressLineNumbers w:val="0"/>
              <w:spacing w:before="0" w:beforeAutospacing="0" w:after="0" w:afterAutospacing="0"/>
              <w:ind w:left="0" w:leftChars="0" w:right="0" w:rightChars="0"/>
              <w:jc w:val="center"/>
              <w:rPr>
                <w:rFonts w:hint="default"/>
                <w:color w:val="auto"/>
                <w:kern w:val="0"/>
                <w:szCs w:val="21"/>
              </w:rPr>
            </w:pPr>
            <w:r>
              <w:rPr>
                <w:rFonts w:hint="default"/>
                <w:color w:val="auto"/>
                <w:kern w:val="0"/>
                <w:szCs w:val="21"/>
              </w:rPr>
              <w:t>废包装材料</w:t>
            </w:r>
          </w:p>
        </w:tc>
        <w:tc>
          <w:tcPr>
            <w:tcW w:w="4250" w:type="dxa"/>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lang w:val="en-US" w:eastAsia="zh-CN"/>
              </w:rPr>
              <w:t>暂存于一般固废间</w:t>
            </w:r>
            <w:r>
              <w:rPr>
                <w:rFonts w:hint="eastAsia"/>
                <w:color w:val="auto"/>
                <w:kern w:val="0"/>
                <w:szCs w:val="21"/>
                <w:lang w:eastAsia="zh-CN"/>
              </w:rPr>
              <w:t>，</w:t>
            </w:r>
            <w:r>
              <w:rPr>
                <w:rFonts w:hint="default"/>
                <w:color w:val="auto"/>
                <w:kern w:val="0"/>
                <w:szCs w:val="21"/>
              </w:rPr>
              <w:t>由厂家回收处置</w:t>
            </w:r>
          </w:p>
        </w:tc>
        <w:tc>
          <w:tcPr>
            <w:tcW w:w="107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0.1</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75" w:type="dxa"/>
            <w:gridSpan w:val="2"/>
            <w:vMerge w:val="continue"/>
            <w:vAlign w:val="center"/>
          </w:tcPr>
          <w:p>
            <w:pPr>
              <w:keepNext w:val="0"/>
              <w:keepLines w:val="0"/>
              <w:suppressLineNumbers w:val="0"/>
              <w:spacing w:before="0" w:beforeAutospacing="0" w:after="72" w:afterAutospacing="0"/>
              <w:ind w:left="0" w:right="0"/>
              <w:rPr>
                <w:rFonts w:hint="default"/>
                <w:color w:val="auto"/>
                <w:szCs w:val="21"/>
              </w:rPr>
            </w:pPr>
          </w:p>
        </w:tc>
        <w:tc>
          <w:tcPr>
            <w:tcW w:w="1843" w:type="dxa"/>
            <w:gridSpan w:val="2"/>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布袋除尘器收集的粉尘</w:t>
            </w:r>
          </w:p>
        </w:tc>
        <w:tc>
          <w:tcPr>
            <w:tcW w:w="425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暂存于一般固废间</w:t>
            </w:r>
            <w:r>
              <w:rPr>
                <w:rFonts w:hint="eastAsia"/>
                <w:color w:val="auto"/>
                <w:kern w:val="0"/>
                <w:szCs w:val="21"/>
                <w:lang w:eastAsia="zh-CN"/>
              </w:rPr>
              <w:t>，</w:t>
            </w:r>
            <w:r>
              <w:rPr>
                <w:rFonts w:hint="eastAsia"/>
                <w:color w:val="auto"/>
                <w:kern w:val="0"/>
                <w:szCs w:val="21"/>
                <w:lang w:val="en-US" w:eastAsia="zh-CN"/>
              </w:rPr>
              <w:t>外售有机肥厂</w:t>
            </w:r>
          </w:p>
        </w:tc>
        <w:tc>
          <w:tcPr>
            <w:tcW w:w="1079" w:type="dxa"/>
            <w:vAlign w:val="center"/>
          </w:tcPr>
          <w:p>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0.1</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75" w:type="dxa"/>
            <w:gridSpan w:val="2"/>
            <w:vMerge w:val="continue"/>
            <w:vAlign w:val="center"/>
          </w:tcPr>
          <w:p>
            <w:pPr>
              <w:keepNext w:val="0"/>
              <w:keepLines w:val="0"/>
              <w:suppressLineNumbers w:val="0"/>
              <w:spacing w:before="0" w:beforeAutospacing="0" w:after="72" w:afterAutospacing="0"/>
              <w:ind w:left="0" w:right="0"/>
              <w:rPr>
                <w:rFonts w:hint="default"/>
                <w:color w:val="auto"/>
                <w:szCs w:val="21"/>
              </w:rPr>
            </w:pPr>
          </w:p>
        </w:tc>
        <w:tc>
          <w:tcPr>
            <w:tcW w:w="1843" w:type="dxa"/>
            <w:gridSpan w:val="2"/>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rPr>
            </w:pPr>
            <w:r>
              <w:rPr>
                <w:rFonts w:hint="default"/>
                <w:color w:val="auto"/>
                <w:kern w:val="0"/>
                <w:szCs w:val="21"/>
              </w:rPr>
              <w:t>畜禽医疗垃圾</w:t>
            </w:r>
          </w:p>
        </w:tc>
        <w:tc>
          <w:tcPr>
            <w:tcW w:w="4250"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rPr>
              <w:t>交有资质单位处理</w:t>
            </w:r>
          </w:p>
        </w:tc>
        <w:tc>
          <w:tcPr>
            <w:tcW w:w="10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1</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5" w:type="dxa"/>
            <w:gridSpan w:val="2"/>
            <w:vMerge w:val="continue"/>
            <w:vAlign w:val="center"/>
          </w:tcPr>
          <w:p>
            <w:pPr>
              <w:keepNext w:val="0"/>
              <w:keepLines w:val="0"/>
              <w:suppressLineNumbers w:val="0"/>
              <w:spacing w:before="0" w:beforeAutospacing="0" w:after="72" w:afterAutospacing="0"/>
              <w:ind w:left="0" w:right="0"/>
              <w:rPr>
                <w:rFonts w:hint="default"/>
                <w:color w:val="auto"/>
                <w:szCs w:val="21"/>
              </w:rPr>
            </w:pPr>
          </w:p>
        </w:tc>
        <w:tc>
          <w:tcPr>
            <w:tcW w:w="1843" w:type="dxa"/>
            <w:gridSpan w:val="2"/>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rPr>
            </w:pPr>
            <w:r>
              <w:rPr>
                <w:rFonts w:hint="default"/>
                <w:color w:val="auto"/>
                <w:kern w:val="0"/>
                <w:szCs w:val="21"/>
              </w:rPr>
              <w:t>办公生活垃圾</w:t>
            </w:r>
          </w:p>
        </w:tc>
        <w:tc>
          <w:tcPr>
            <w:tcW w:w="4250"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kern w:val="0"/>
                <w:szCs w:val="21"/>
              </w:rPr>
              <w:t>定期交由环卫部门</w:t>
            </w:r>
          </w:p>
        </w:tc>
        <w:tc>
          <w:tcPr>
            <w:tcW w:w="1079"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rPr>
              <w:t>0.1</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5" w:type="dxa"/>
            <w:gridSpan w:val="2"/>
            <w:vMerge w:val="continue"/>
            <w:vAlign w:val="center"/>
          </w:tcPr>
          <w:p>
            <w:pPr>
              <w:keepNext w:val="0"/>
              <w:keepLines w:val="0"/>
              <w:suppressLineNumbers w:val="0"/>
              <w:spacing w:before="0" w:beforeAutospacing="0" w:after="72" w:afterAutospacing="0"/>
              <w:ind w:left="0" w:right="0"/>
              <w:rPr>
                <w:rFonts w:hint="default"/>
                <w:color w:val="auto"/>
                <w:szCs w:val="21"/>
              </w:rPr>
            </w:pPr>
          </w:p>
        </w:tc>
        <w:tc>
          <w:tcPr>
            <w:tcW w:w="1843" w:type="dxa"/>
            <w:gridSpan w:val="2"/>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rPr>
            </w:pPr>
            <w:r>
              <w:rPr>
                <w:rFonts w:hint="eastAsia"/>
                <w:color w:val="auto"/>
                <w:kern w:val="0"/>
                <w:szCs w:val="21"/>
                <w:lang w:eastAsia="zh-CN"/>
              </w:rPr>
              <w:t>预处理池</w:t>
            </w:r>
            <w:r>
              <w:rPr>
                <w:rFonts w:hint="default"/>
                <w:color w:val="auto"/>
                <w:kern w:val="0"/>
                <w:szCs w:val="21"/>
              </w:rPr>
              <w:t>污泥</w:t>
            </w:r>
          </w:p>
        </w:tc>
        <w:tc>
          <w:tcPr>
            <w:tcW w:w="4250" w:type="dxa"/>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定期交由环卫部门</w:t>
            </w:r>
          </w:p>
        </w:tc>
        <w:tc>
          <w:tcPr>
            <w:tcW w:w="10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75" w:type="dxa"/>
            <w:gridSpan w:val="2"/>
            <w:vMerge w:val="continue"/>
            <w:vAlign w:val="center"/>
          </w:tcPr>
          <w:p>
            <w:pPr>
              <w:keepNext w:val="0"/>
              <w:keepLines w:val="0"/>
              <w:suppressLineNumbers w:val="0"/>
              <w:spacing w:before="0" w:beforeAutospacing="0" w:after="72" w:afterAutospacing="0"/>
              <w:ind w:left="0" w:right="0"/>
              <w:rPr>
                <w:rFonts w:hint="default"/>
                <w:color w:val="auto"/>
                <w:szCs w:val="21"/>
              </w:rPr>
            </w:pPr>
          </w:p>
        </w:tc>
        <w:tc>
          <w:tcPr>
            <w:tcW w:w="1843" w:type="dxa"/>
            <w:gridSpan w:val="2"/>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textAlignment w:val="bottom"/>
              <w:rPr>
                <w:rFonts w:hint="default"/>
                <w:color w:val="auto"/>
                <w:kern w:val="0"/>
                <w:szCs w:val="21"/>
              </w:rPr>
            </w:pPr>
            <w:r>
              <w:rPr>
                <w:rFonts w:hint="default"/>
                <w:color w:val="auto"/>
                <w:kern w:val="0"/>
                <w:szCs w:val="21"/>
              </w:rPr>
              <w:t>隔油池浮油</w:t>
            </w:r>
          </w:p>
        </w:tc>
        <w:tc>
          <w:tcPr>
            <w:tcW w:w="4250" w:type="dxa"/>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color w:val="auto"/>
                <w:kern w:val="0"/>
                <w:szCs w:val="21"/>
              </w:rPr>
              <w:t>送三方资质单位处理</w:t>
            </w:r>
          </w:p>
        </w:tc>
        <w:tc>
          <w:tcPr>
            <w:tcW w:w="10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1</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gridSpan w:val="2"/>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噪声</w:t>
            </w:r>
          </w:p>
        </w:tc>
        <w:tc>
          <w:tcPr>
            <w:tcW w:w="1843" w:type="dxa"/>
            <w:gridSpan w:val="2"/>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高噪声设备</w:t>
            </w:r>
          </w:p>
        </w:tc>
        <w:tc>
          <w:tcPr>
            <w:tcW w:w="4250" w:type="dxa"/>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采用减振、隔声、消声等降噪措施</w:t>
            </w:r>
          </w:p>
        </w:tc>
        <w:tc>
          <w:tcPr>
            <w:tcW w:w="1079" w:type="dxa"/>
            <w:vAlign w:val="center"/>
          </w:tcPr>
          <w:p>
            <w:pPr>
              <w:keepNext w:val="0"/>
              <w:keepLines w:val="0"/>
              <w:suppressLineNumbers w:val="0"/>
              <w:spacing w:before="0" w:beforeAutospacing="0" w:after="72"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80</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gridSpan w:val="4"/>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风险防范措施</w:t>
            </w:r>
          </w:p>
        </w:tc>
        <w:tc>
          <w:tcPr>
            <w:tcW w:w="4250" w:type="dxa"/>
            <w:vAlign w:val="center"/>
          </w:tcPr>
          <w:p>
            <w:pPr>
              <w:keepNext w:val="0"/>
              <w:keepLines w:val="0"/>
              <w:suppressLineNumbers w:val="0"/>
              <w:spacing w:before="0" w:beforeAutospacing="0" w:after="0" w:afterAutospacing="0"/>
              <w:ind w:left="0" w:right="0"/>
              <w:jc w:val="left"/>
              <w:rPr>
                <w:rFonts w:hint="default"/>
                <w:color w:val="auto"/>
              </w:rPr>
            </w:pPr>
            <w:r>
              <w:rPr>
                <w:rFonts w:hint="eastAsia"/>
                <w:color w:val="auto"/>
              </w:rPr>
              <w:t>每日对各废水池进行巡视一旦发生泄漏及时进行维修或更换。</w:t>
            </w:r>
          </w:p>
          <w:p>
            <w:pPr>
              <w:keepNext w:val="0"/>
              <w:keepLines w:val="0"/>
              <w:suppressLineNumbers w:val="0"/>
              <w:spacing w:before="0" w:beforeAutospacing="0" w:after="0" w:afterAutospacing="0"/>
              <w:ind w:left="0" w:right="0"/>
              <w:jc w:val="left"/>
              <w:rPr>
                <w:rFonts w:hint="default"/>
                <w:color w:val="auto"/>
                <w:szCs w:val="21"/>
              </w:rPr>
            </w:pPr>
            <w:r>
              <w:rPr>
                <w:rFonts w:hint="eastAsia"/>
                <w:color w:val="auto"/>
              </w:rPr>
              <w:t>若发生泄漏，将污水用专用管道排送（引流）至场内最近其他粪污收集池体或粪污暂存池</w:t>
            </w:r>
          </w:p>
        </w:tc>
        <w:tc>
          <w:tcPr>
            <w:tcW w:w="107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bCs/>
                <w:color w:val="auto"/>
                <w:lang w:val="en-US" w:eastAsia="zh-CN"/>
              </w:rPr>
              <w:t>20</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施工期</w:t>
            </w:r>
          </w:p>
        </w:tc>
        <w:tc>
          <w:tcPr>
            <w:tcW w:w="1892" w:type="dxa"/>
            <w:gridSpan w:val="3"/>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废水、扬尘、噪声、固废防治措施</w:t>
            </w:r>
          </w:p>
        </w:tc>
        <w:tc>
          <w:tcPr>
            <w:tcW w:w="4250" w:type="dxa"/>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加强管理，洒水降尘，及时清扫路面尘土；禁止夜间施工；废水沉淀处理后回用；妥善处理弃土。</w:t>
            </w:r>
          </w:p>
        </w:tc>
        <w:tc>
          <w:tcPr>
            <w:tcW w:w="1079" w:type="dxa"/>
            <w:vAlign w:val="center"/>
          </w:tcPr>
          <w:p>
            <w:pPr>
              <w:keepNext w:val="0"/>
              <w:keepLines w:val="0"/>
              <w:suppressLineNumbers w:val="0"/>
              <w:spacing w:before="0" w:beforeAutospacing="0" w:after="72"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c>
          <w:tcPr>
            <w:tcW w:w="1101" w:type="dxa"/>
            <w:vAlign w:val="center"/>
          </w:tcPr>
          <w:p>
            <w:pPr>
              <w:keepNext w:val="0"/>
              <w:keepLines w:val="0"/>
              <w:suppressLineNumbers w:val="0"/>
              <w:spacing w:before="0" w:beforeAutospacing="0" w:after="72" w:afterAutospacing="0"/>
              <w:ind w:left="0" w:right="0"/>
              <w:jc w:val="center"/>
              <w:rPr>
                <w:rFonts w:hint="default"/>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18" w:type="dxa"/>
            <w:gridSpan w:val="4"/>
            <w:vAlign w:val="center"/>
          </w:tcPr>
          <w:p>
            <w:pPr>
              <w:keepNext w:val="0"/>
              <w:keepLines w:val="0"/>
              <w:suppressLineNumbers w:val="0"/>
              <w:spacing w:before="0" w:beforeAutospacing="0" w:after="72" w:afterAutospacing="0"/>
              <w:ind w:left="0" w:right="0"/>
              <w:rPr>
                <w:rFonts w:hint="default"/>
                <w:color w:val="auto"/>
                <w:szCs w:val="21"/>
              </w:rPr>
            </w:pPr>
            <w:r>
              <w:rPr>
                <w:rFonts w:hint="default"/>
                <w:color w:val="auto"/>
                <w:szCs w:val="21"/>
              </w:rPr>
              <w:t>合计</w:t>
            </w:r>
          </w:p>
        </w:tc>
        <w:tc>
          <w:tcPr>
            <w:tcW w:w="4250" w:type="dxa"/>
            <w:vAlign w:val="center"/>
          </w:tcPr>
          <w:p>
            <w:pPr>
              <w:keepNext w:val="0"/>
              <w:keepLines w:val="0"/>
              <w:suppressLineNumbers w:val="0"/>
              <w:spacing w:before="0" w:beforeAutospacing="0" w:after="72" w:afterAutospacing="0"/>
              <w:ind w:left="0" w:right="0"/>
              <w:rPr>
                <w:rFonts w:hint="default"/>
                <w:color w:val="auto"/>
                <w:szCs w:val="21"/>
              </w:rPr>
            </w:pPr>
          </w:p>
        </w:tc>
        <w:tc>
          <w:tcPr>
            <w:tcW w:w="1079" w:type="dxa"/>
            <w:vAlign w:val="center"/>
          </w:tcPr>
          <w:p>
            <w:pPr>
              <w:keepNext w:val="0"/>
              <w:keepLines w:val="0"/>
              <w:suppressLineNumbers w:val="0"/>
              <w:spacing w:before="0" w:beforeAutospacing="0" w:after="72" w:afterAutospacing="0"/>
              <w:ind w:left="0" w:right="0"/>
              <w:jc w:val="center"/>
              <w:rPr>
                <w:rFonts w:hint="default" w:eastAsia="宋体"/>
                <w:color w:val="auto"/>
                <w:szCs w:val="21"/>
                <w:lang w:val="en-US" w:eastAsia="zh-CN"/>
              </w:rPr>
            </w:pPr>
            <w:r>
              <w:rPr>
                <w:rFonts w:hint="eastAsia"/>
                <w:color w:val="auto"/>
                <w:szCs w:val="21"/>
                <w:lang w:val="en-US" w:eastAsia="zh-CN"/>
              </w:rPr>
              <w:t>1143.9</w:t>
            </w:r>
          </w:p>
        </w:tc>
        <w:tc>
          <w:tcPr>
            <w:tcW w:w="1101" w:type="dxa"/>
            <w:vAlign w:val="center"/>
          </w:tcPr>
          <w:p>
            <w:pPr>
              <w:keepNext w:val="0"/>
              <w:keepLines w:val="0"/>
              <w:suppressLineNumbers w:val="0"/>
              <w:spacing w:before="0" w:beforeAutospacing="0" w:after="72" w:afterAutospacing="0"/>
              <w:ind w:left="0" w:right="0"/>
              <w:rPr>
                <w:rFonts w:hint="default"/>
                <w:color w:val="auto"/>
                <w:szCs w:val="21"/>
              </w:rPr>
            </w:pPr>
          </w:p>
        </w:tc>
      </w:tr>
    </w:tbl>
    <w:p>
      <w:pPr>
        <w:ind w:firstLine="840" w:firstLineChars="400"/>
        <w:jc w:val="center"/>
        <w:rPr>
          <w:rFonts w:eastAsia="黑体"/>
          <w:color w:val="auto"/>
        </w:rPr>
      </w:pPr>
    </w:p>
    <w:p>
      <w:pPr>
        <w:pStyle w:val="5"/>
        <w:rPr>
          <w:color w:val="auto"/>
        </w:rPr>
        <w:sectPr>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bookmarkStart w:id="535" w:name="_Toc12840"/>
    </w:p>
    <w:bookmarkEnd w:id="481"/>
    <w:bookmarkEnd w:id="482"/>
    <w:bookmarkEnd w:id="535"/>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36" w:name="_Toc25366"/>
      <w:bookmarkStart w:id="537" w:name="_Toc180824233"/>
      <w:bookmarkStart w:id="538" w:name="_Toc12881"/>
      <w:bookmarkStart w:id="539" w:name="_Toc3352"/>
      <w:bookmarkStart w:id="540" w:name="_Toc64081511"/>
      <w:bookmarkStart w:id="541" w:name="_Toc180817094"/>
      <w:bookmarkStart w:id="542" w:name="_Toc180824232"/>
      <w:bookmarkStart w:id="543" w:name="_Toc16007"/>
      <w:bookmarkStart w:id="544" w:name="_Toc180817093"/>
      <w:bookmarkStart w:id="545" w:name="_Toc64081510"/>
      <w:bookmarkStart w:id="546" w:name="_Toc7135"/>
      <w:r>
        <w:rPr>
          <w:rFonts w:ascii="Times New Roman" w:hAnsi="Times New Roman" w:cs="Times New Roman" w:eastAsiaTheme="majorEastAsia"/>
          <w:bCs/>
          <w:color w:val="auto"/>
          <w:kern w:val="2"/>
          <w:szCs w:val="32"/>
          <w:lang w:val="en-US" w:eastAsia="zh-CN"/>
        </w:rPr>
        <w:t>经济效益和社会效益</w:t>
      </w:r>
      <w:bookmarkEnd w:id="536"/>
      <w:bookmarkEnd w:id="537"/>
      <w:bookmarkEnd w:id="538"/>
      <w:bookmarkEnd w:id="539"/>
      <w:bookmarkEnd w:id="540"/>
      <w:bookmarkEnd w:id="541"/>
    </w:p>
    <w:p>
      <w:pPr>
        <w:pStyle w:val="180"/>
        <w:rPr>
          <w:rFonts w:hint="default" w:ascii="Times New Roman" w:hAnsi="Times New Roman" w:cs="Times New Roman" w:eastAsiaTheme="majorEastAsia"/>
          <w:b/>
          <w:bCs w:val="0"/>
          <w:color w:val="auto"/>
          <w:sz w:val="24"/>
          <w:szCs w:val="24"/>
        </w:rPr>
      </w:pPr>
      <w:bookmarkStart w:id="547" w:name="_Toc43528612"/>
      <w:bookmarkStart w:id="548" w:name="_Toc486664613"/>
      <w:bookmarkStart w:id="549" w:name="_Toc486663333"/>
      <w:bookmarkStart w:id="550" w:name="_Toc496072000"/>
      <w:bookmarkStart w:id="551" w:name="_Toc520080206"/>
      <w:bookmarkStart w:id="552" w:name="_Toc486212218"/>
      <w:bookmarkStart w:id="553" w:name="_Toc369334915"/>
      <w:bookmarkStart w:id="554" w:name="_Toc369191721"/>
      <w:bookmarkStart w:id="555" w:name="_Toc12692"/>
      <w:bookmarkStart w:id="556" w:name="_Toc506785297"/>
      <w:bookmarkStart w:id="557" w:name="_Toc486310253"/>
      <w:bookmarkStart w:id="558" w:name="_Toc514580419"/>
      <w:bookmarkStart w:id="559" w:name="_Toc369197891"/>
      <w:bookmarkStart w:id="560" w:name="_Toc514663060"/>
      <w:bookmarkStart w:id="561" w:name="_Toc514662813"/>
      <w:bookmarkStart w:id="562" w:name="_Toc525720806"/>
      <w:bookmarkStart w:id="563" w:name="_Toc506193383"/>
      <w:bookmarkStart w:id="564" w:name="_Toc180824234"/>
      <w:r>
        <w:rPr>
          <w:rFonts w:hint="default" w:ascii="Times New Roman" w:hAnsi="Times New Roman" w:cs="Times New Roman" w:eastAsiaTheme="majorEastAsia"/>
          <w:b/>
          <w:bCs w:val="0"/>
          <w:color w:val="auto"/>
          <w:sz w:val="24"/>
          <w:szCs w:val="24"/>
        </w:rPr>
        <w:t>经济效益</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pPr>
        <w:spacing w:line="360" w:lineRule="auto"/>
        <w:ind w:firstLine="525"/>
        <w:rPr>
          <w:color w:val="auto"/>
          <w:sz w:val="24"/>
        </w:rPr>
      </w:pPr>
      <w:r>
        <w:rPr>
          <w:color w:val="auto"/>
          <w:sz w:val="24"/>
        </w:rPr>
        <w:t>本项目的各项经济指标均较好，在生产经营上具有较高的抗风险能力，对各因素变化具有较强的承受能力，从经济角度看，本项目是可行的。项目建成后能促进当地产业结构的合理调整，寻找新的经济增长点，增加财政税源，壮大地方经济。</w:t>
      </w:r>
    </w:p>
    <w:p>
      <w:pPr>
        <w:pStyle w:val="180"/>
        <w:rPr>
          <w:rFonts w:hint="default" w:ascii="Times New Roman" w:hAnsi="Times New Roman" w:cs="Times New Roman" w:eastAsiaTheme="majorEastAsia"/>
          <w:b/>
          <w:bCs w:val="0"/>
          <w:color w:val="auto"/>
          <w:sz w:val="24"/>
          <w:szCs w:val="24"/>
        </w:rPr>
      </w:pPr>
      <w:bookmarkStart w:id="565" w:name="_Toc369197892"/>
      <w:bookmarkStart w:id="566" w:name="_Toc369191722"/>
      <w:bookmarkStart w:id="567" w:name="_Toc180824235"/>
      <w:bookmarkStart w:id="568" w:name="_Toc27530"/>
      <w:bookmarkStart w:id="569" w:name="_Toc369334916"/>
      <w:r>
        <w:rPr>
          <w:rFonts w:hint="default" w:ascii="Times New Roman" w:hAnsi="Times New Roman" w:cs="Times New Roman" w:eastAsiaTheme="majorEastAsia"/>
          <w:b/>
          <w:bCs w:val="0"/>
          <w:color w:val="auto"/>
          <w:sz w:val="24"/>
          <w:szCs w:val="24"/>
        </w:rPr>
        <w:t>社会效益</w:t>
      </w:r>
      <w:bookmarkEnd w:id="565"/>
      <w:bookmarkEnd w:id="566"/>
      <w:bookmarkEnd w:id="567"/>
      <w:bookmarkEnd w:id="568"/>
      <w:bookmarkEnd w:id="569"/>
    </w:p>
    <w:p>
      <w:pPr>
        <w:spacing w:line="360" w:lineRule="auto"/>
        <w:ind w:firstLine="525"/>
        <w:rPr>
          <w:color w:val="auto"/>
          <w:sz w:val="24"/>
        </w:rPr>
      </w:pPr>
      <w:r>
        <w:rPr>
          <w:color w:val="auto"/>
          <w:sz w:val="24"/>
        </w:rPr>
        <w:t>本项目的实施不仅可以大大增加当地的财政收入，同时，还可以为当地提供若干就业机会，增加居民的人均收入，促进社会稳定和经济繁荣。这不仅解决了部分剩余劳动力的就业问题，同时还可为周边农户提供就业的场地，缓解了社会就业压力，为辖区社会稳定将起到积极的作用。</w:t>
      </w:r>
    </w:p>
    <w:p>
      <w:pPr>
        <w:spacing w:line="360" w:lineRule="auto"/>
        <w:ind w:firstLine="525"/>
        <w:rPr>
          <w:color w:val="auto"/>
          <w:sz w:val="24"/>
        </w:rPr>
      </w:pPr>
      <w:r>
        <w:rPr>
          <w:color w:val="auto"/>
          <w:sz w:val="24"/>
        </w:rPr>
        <w:t>项目当地经济基础薄弱，群众经济收入低，随着项目的建设，从业者不仅可以直接获得经济收入，提高生活水平。同时，通过培训，应用先进技术，人员的素质得到提高，为当地经济建设与发展，培养了一批专业技术实用人才。</w:t>
      </w:r>
    </w:p>
    <w:p>
      <w:pPr>
        <w:spacing w:line="360" w:lineRule="auto"/>
        <w:ind w:firstLine="525"/>
        <w:rPr>
          <w:color w:val="auto"/>
          <w:sz w:val="24"/>
        </w:rPr>
      </w:pPr>
      <w:r>
        <w:rPr>
          <w:color w:val="auto"/>
          <w:sz w:val="24"/>
        </w:rPr>
        <w:t>本项目依托</w:t>
      </w:r>
      <w:r>
        <w:rPr>
          <w:rFonts w:hint="eastAsia"/>
          <w:color w:val="auto"/>
          <w:sz w:val="24"/>
          <w:lang w:val="en-US" w:eastAsia="zh-CN"/>
        </w:rPr>
        <w:t>巴中市</w:t>
      </w:r>
      <w:r>
        <w:rPr>
          <w:color w:val="auto"/>
          <w:sz w:val="24"/>
        </w:rPr>
        <w:t>土地的规划建设，以及现有的区位优势，位置优越、交通便捷，水、电、路俱通等优势，为本项目建设打下了较好的基础。项目建成后</w:t>
      </w:r>
      <w:r>
        <w:rPr>
          <w:rFonts w:hint="eastAsia"/>
          <w:color w:val="auto"/>
          <w:sz w:val="24"/>
        </w:rPr>
        <w:t>，</w:t>
      </w:r>
      <w:r>
        <w:rPr>
          <w:color w:val="auto"/>
          <w:sz w:val="24"/>
        </w:rPr>
        <w:t>有利于</w:t>
      </w:r>
      <w:r>
        <w:rPr>
          <w:rFonts w:hint="eastAsia"/>
          <w:color w:val="auto"/>
          <w:sz w:val="24"/>
          <w:lang w:val="en-US" w:eastAsia="zh-CN"/>
        </w:rPr>
        <w:t>巴中市</w:t>
      </w:r>
      <w:r>
        <w:rPr>
          <w:color w:val="auto"/>
          <w:sz w:val="24"/>
        </w:rPr>
        <w:t>的经济发展，同时对促进和带动就业具有积极的作用。</w:t>
      </w:r>
    </w:p>
    <w:p>
      <w:pPr>
        <w:spacing w:line="360" w:lineRule="auto"/>
        <w:ind w:firstLine="525"/>
        <w:rPr>
          <w:color w:val="auto"/>
          <w:sz w:val="24"/>
        </w:rPr>
      </w:pPr>
      <w:r>
        <w:rPr>
          <w:color w:val="auto"/>
          <w:sz w:val="24"/>
        </w:rPr>
        <w:t>本项目营运期间，有利于拉动当地经济的发展，提供就业机会，带动相关产业的发展，有明显的社会效益。</w:t>
      </w:r>
    </w:p>
    <w:p>
      <w:pPr>
        <w:pStyle w:val="5"/>
        <w:rPr>
          <w:rFonts w:hint="eastAsia" w:asciiTheme="majorEastAsia" w:hAnsiTheme="majorEastAsia" w:eastAsiaTheme="majorEastAsia" w:cstheme="majorEastAsia"/>
          <w:b/>
          <w:bCs/>
          <w:color w:val="auto"/>
          <w:sz w:val="32"/>
          <w:szCs w:val="32"/>
        </w:rPr>
      </w:pPr>
      <w:bookmarkStart w:id="570" w:name="_Toc28810"/>
      <w:r>
        <w:rPr>
          <w:rFonts w:hint="eastAsia" w:asciiTheme="majorEastAsia" w:hAnsiTheme="majorEastAsia" w:eastAsiaTheme="majorEastAsia" w:cstheme="majorEastAsia"/>
          <w:b/>
          <w:bCs/>
          <w:color w:val="auto"/>
          <w:sz w:val="32"/>
          <w:szCs w:val="32"/>
        </w:rPr>
        <w:t>环境影响经济损益分析</w:t>
      </w:r>
      <w:bookmarkEnd w:id="542"/>
      <w:bookmarkEnd w:id="543"/>
      <w:bookmarkEnd w:id="544"/>
      <w:bookmarkEnd w:id="545"/>
      <w:bookmarkEnd w:id="546"/>
      <w:bookmarkEnd w:id="570"/>
    </w:p>
    <w:p>
      <w:pPr>
        <w:spacing w:line="360" w:lineRule="auto"/>
        <w:ind w:firstLine="525"/>
        <w:rPr>
          <w:color w:val="auto"/>
          <w:sz w:val="24"/>
        </w:rPr>
      </w:pPr>
      <w:r>
        <w:rPr>
          <w:color w:val="auto"/>
          <w:sz w:val="24"/>
        </w:rPr>
        <w:t>对建设项目进行环境影响经济损益分析，目的是为了衡量该建设项目投入的环保投资所能收到的环保效果和经济实效，及可能收到的环境和社会效益，最大限度地控制污染，降低破坏环境的程度，合理利用自然资源，以最少的环境代价取得最大的经济效益和社会效益。</w:t>
      </w:r>
    </w:p>
    <w:p>
      <w:pPr>
        <w:spacing w:line="360" w:lineRule="auto"/>
        <w:ind w:firstLine="525"/>
        <w:rPr>
          <w:color w:val="auto"/>
          <w:sz w:val="24"/>
        </w:rPr>
      </w:pPr>
      <w:r>
        <w:rPr>
          <w:color w:val="auto"/>
          <w:sz w:val="24"/>
        </w:rPr>
        <w:t>根据有关的规定和标准，结合本项目的特点，本项目有关经济、社会和环境效益分析以资料分析为主，在详细了解本项目施工期间和营运期间概况以及各环境污染物及其影响程度和范围的基础上，运用费用—效益分析方法进行定性或者定量分析。根据分析对象的不同采用定量和定性两种方法对本项目的环境、社会和经济损益进行分析和讨论。</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71" w:name="_Toc265160093"/>
      <w:bookmarkStart w:id="572" w:name="_Toc205009384"/>
      <w:bookmarkStart w:id="573" w:name="_Toc31646"/>
      <w:bookmarkStart w:id="574" w:name="_Toc218962694"/>
      <w:bookmarkStart w:id="575" w:name="_Toc8017"/>
      <w:bookmarkStart w:id="576" w:name="_Toc15343"/>
      <w:r>
        <w:rPr>
          <w:rFonts w:ascii="Times New Roman" w:hAnsi="Times New Roman" w:cs="Times New Roman" w:eastAsiaTheme="majorEastAsia"/>
          <w:bCs/>
          <w:color w:val="auto"/>
          <w:kern w:val="2"/>
          <w:szCs w:val="32"/>
          <w:lang w:val="en-US" w:eastAsia="zh-CN"/>
        </w:rPr>
        <w:t>环境影响经济损益分析</w:t>
      </w:r>
      <w:bookmarkEnd w:id="571"/>
      <w:bookmarkEnd w:id="572"/>
      <w:bookmarkEnd w:id="573"/>
      <w:bookmarkEnd w:id="574"/>
      <w:bookmarkEnd w:id="575"/>
      <w:bookmarkEnd w:id="576"/>
    </w:p>
    <w:p>
      <w:pPr>
        <w:pStyle w:val="180"/>
        <w:rPr>
          <w:rFonts w:hint="default" w:ascii="Times New Roman" w:hAnsi="Times New Roman" w:cs="Times New Roman" w:eastAsiaTheme="majorEastAsia"/>
          <w:b/>
          <w:bCs w:val="0"/>
          <w:color w:val="auto"/>
          <w:sz w:val="24"/>
          <w:szCs w:val="24"/>
        </w:rPr>
      </w:pPr>
      <w:bookmarkStart w:id="577" w:name="_Toc5717"/>
      <w:r>
        <w:rPr>
          <w:rFonts w:hint="default" w:ascii="Times New Roman" w:hAnsi="Times New Roman" w:cs="Times New Roman" w:eastAsiaTheme="majorEastAsia"/>
          <w:b/>
          <w:bCs w:val="0"/>
          <w:color w:val="auto"/>
          <w:sz w:val="24"/>
          <w:szCs w:val="24"/>
        </w:rPr>
        <w:t>环保投资及运行费用分析</w:t>
      </w:r>
      <w:bookmarkEnd w:id="577"/>
    </w:p>
    <w:p>
      <w:pPr>
        <w:spacing w:line="360" w:lineRule="auto"/>
        <w:ind w:firstLine="525"/>
        <w:rPr>
          <w:color w:val="auto"/>
          <w:sz w:val="24"/>
        </w:rPr>
      </w:pPr>
      <w:r>
        <w:rPr>
          <w:color w:val="auto"/>
          <w:sz w:val="24"/>
        </w:rPr>
        <w:t>本项目环保工程</w:t>
      </w:r>
      <w:r>
        <w:rPr>
          <w:rFonts w:hint="eastAsia"/>
          <w:color w:val="auto"/>
          <w:sz w:val="24"/>
          <w:lang w:val="en-US" w:eastAsia="zh-CN"/>
        </w:rPr>
        <w:t>1143.9</w:t>
      </w:r>
      <w:r>
        <w:rPr>
          <w:color w:val="auto"/>
          <w:sz w:val="24"/>
        </w:rPr>
        <w:t>万元，占项目总投资的</w:t>
      </w:r>
      <w:r>
        <w:rPr>
          <w:rFonts w:hint="eastAsia"/>
          <w:color w:val="auto"/>
          <w:sz w:val="24"/>
          <w:lang w:val="en-US" w:eastAsia="zh-CN"/>
        </w:rPr>
        <w:t>5.81%</w:t>
      </w:r>
      <w:r>
        <w:rPr>
          <w:color w:val="auto"/>
          <w:sz w:val="24"/>
        </w:rPr>
        <w:t>。环保设施基本能满足有关污染治理方面的需要，投资合理，环保措施可以满足达标排放的要求。</w:t>
      </w:r>
    </w:p>
    <w:p>
      <w:pPr>
        <w:spacing w:line="360" w:lineRule="auto"/>
        <w:ind w:firstLine="525"/>
        <w:rPr>
          <w:color w:val="auto"/>
          <w:sz w:val="24"/>
        </w:rPr>
      </w:pPr>
      <w:r>
        <w:rPr>
          <w:color w:val="auto"/>
          <w:sz w:val="24"/>
        </w:rPr>
        <w:t>本项目在污染治理和控制方面有较大的投入，通过设施建设和日常运行，可保证各类污染物的达标排放。对预防和杜绝可能产生的潜在事故污染影响也能发挥明显的作用。因此，本项目环保投入比较合理，污染物经过各项设施处理后对周围环境影响比较小。</w:t>
      </w:r>
    </w:p>
    <w:p>
      <w:pPr>
        <w:pStyle w:val="180"/>
        <w:rPr>
          <w:rFonts w:hint="default" w:ascii="Times New Roman" w:hAnsi="Times New Roman" w:cs="Times New Roman" w:eastAsiaTheme="majorEastAsia"/>
          <w:b/>
          <w:bCs w:val="0"/>
          <w:color w:val="auto"/>
          <w:sz w:val="24"/>
          <w:szCs w:val="24"/>
        </w:rPr>
      </w:pPr>
      <w:bookmarkStart w:id="578" w:name="_Toc12588"/>
      <w:r>
        <w:rPr>
          <w:rFonts w:hint="default" w:ascii="Times New Roman" w:hAnsi="Times New Roman" w:cs="Times New Roman" w:eastAsiaTheme="majorEastAsia"/>
          <w:b/>
          <w:bCs w:val="0"/>
          <w:color w:val="auto"/>
          <w:sz w:val="24"/>
          <w:szCs w:val="24"/>
        </w:rPr>
        <w:t>环境损益分析</w:t>
      </w:r>
      <w:bookmarkEnd w:id="578"/>
    </w:p>
    <w:p>
      <w:pPr>
        <w:spacing w:line="360" w:lineRule="auto"/>
        <w:ind w:firstLine="525"/>
        <w:rPr>
          <w:color w:val="auto"/>
          <w:sz w:val="24"/>
        </w:rPr>
      </w:pPr>
      <w:r>
        <w:rPr>
          <w:color w:val="auto"/>
          <w:sz w:val="24"/>
        </w:rPr>
        <w:t>本项目的生产可带动了社会经济的发展，项目建成实施后，将增加就业岗位，同时有利于提高肉食的品质。环境保护与经济发展，是既对应又统一，互相影响制约，又相辅相成、互相促进的关系。因此协调好环保与经济发展之间的平衡是十分重要的。本评价采用定性方式进行讨论。</w:t>
      </w:r>
    </w:p>
    <w:p>
      <w:pPr>
        <w:snapToGrid w:val="0"/>
        <w:spacing w:line="360" w:lineRule="auto"/>
        <w:ind w:firstLine="480" w:firstLineChars="200"/>
        <w:rPr>
          <w:color w:val="auto"/>
          <w:sz w:val="24"/>
        </w:rPr>
      </w:pPr>
      <w:bookmarkStart w:id="579" w:name="_Toc196028235"/>
      <w:bookmarkStart w:id="580" w:name="_Toc265160094"/>
      <w:r>
        <w:rPr>
          <w:color w:val="auto"/>
          <w:sz w:val="24"/>
        </w:rPr>
        <w:t>本项目环境保护措施的经济效益大致可分为：</w:t>
      </w:r>
    </w:p>
    <w:p>
      <w:pPr>
        <w:snapToGrid w:val="0"/>
        <w:spacing w:line="360" w:lineRule="auto"/>
        <w:ind w:firstLine="480" w:firstLineChars="200"/>
        <w:rPr>
          <w:color w:val="auto"/>
          <w:sz w:val="24"/>
        </w:rPr>
      </w:pPr>
      <w:r>
        <w:rPr>
          <w:color w:val="auto"/>
          <w:sz w:val="24"/>
        </w:rPr>
        <w:t>1、可用市场价值估算的经济收益</w:t>
      </w:r>
    </w:p>
    <w:p>
      <w:pPr>
        <w:snapToGrid w:val="0"/>
        <w:spacing w:line="360" w:lineRule="auto"/>
        <w:ind w:firstLine="480" w:firstLineChars="200"/>
        <w:rPr>
          <w:color w:val="auto"/>
          <w:sz w:val="24"/>
        </w:rPr>
      </w:pPr>
      <w:r>
        <w:rPr>
          <w:color w:val="auto"/>
          <w:sz w:val="24"/>
        </w:rPr>
        <w:t>本项目废气、废水、噪声、固废等处理系统设备通用，稳定，处理效果好，能较大程度地削减废水、废气、固废等排放量，从而大幅度降低排污费。</w:t>
      </w:r>
    </w:p>
    <w:p>
      <w:pPr>
        <w:snapToGrid w:val="0"/>
        <w:spacing w:line="360" w:lineRule="auto"/>
        <w:ind w:firstLine="480" w:firstLineChars="200"/>
        <w:rPr>
          <w:color w:val="auto"/>
          <w:sz w:val="24"/>
        </w:rPr>
      </w:pPr>
      <w:r>
        <w:rPr>
          <w:color w:val="auto"/>
          <w:sz w:val="24"/>
        </w:rPr>
        <w:t>2、改善环境质量的非货币效益</w:t>
      </w:r>
    </w:p>
    <w:p>
      <w:pPr>
        <w:snapToGrid w:val="0"/>
        <w:spacing w:line="360" w:lineRule="auto"/>
        <w:ind w:firstLine="480" w:firstLineChars="200"/>
        <w:rPr>
          <w:color w:val="auto"/>
          <w:sz w:val="24"/>
        </w:rPr>
      </w:pPr>
      <w:r>
        <w:rPr>
          <w:color w:val="auto"/>
          <w:sz w:val="24"/>
        </w:rPr>
        <w:t>（1）通过对本工程的废气、废水、噪声进行治理，达标排放；对固体废物进行处置，去向明确，不会产生二次污染，降低了对周围环境的影响。</w:t>
      </w:r>
    </w:p>
    <w:p>
      <w:pPr>
        <w:snapToGrid w:val="0"/>
        <w:spacing w:line="360" w:lineRule="auto"/>
        <w:ind w:firstLine="480" w:firstLineChars="200"/>
        <w:rPr>
          <w:color w:val="auto"/>
          <w:sz w:val="24"/>
        </w:rPr>
      </w:pPr>
      <w:r>
        <w:rPr>
          <w:color w:val="auto"/>
          <w:sz w:val="24"/>
        </w:rPr>
        <w:t>（2）通过对本工程废气和噪声的排放源进行定期定点监测，即对其达标排放情况进行跟踪，可以及时发现异常情况，并得到必要的处理。</w:t>
      </w:r>
    </w:p>
    <w:p>
      <w:pPr>
        <w:snapToGrid w:val="0"/>
        <w:spacing w:line="360" w:lineRule="auto"/>
        <w:ind w:firstLine="480" w:firstLineChars="200"/>
        <w:rPr>
          <w:color w:val="auto"/>
          <w:sz w:val="24"/>
        </w:rPr>
      </w:pPr>
      <w:r>
        <w:rPr>
          <w:color w:val="auto"/>
          <w:sz w:val="24"/>
        </w:rPr>
        <w:t>（3）对动力设备采取的降噪措施，可很大程度地缓解噪声对人体的听力及正常生活的影响。</w:t>
      </w:r>
    </w:p>
    <w:p>
      <w:pPr>
        <w:snapToGrid w:val="0"/>
        <w:spacing w:line="360" w:lineRule="auto"/>
        <w:ind w:firstLine="480" w:firstLineChars="200"/>
        <w:rPr>
          <w:color w:val="auto"/>
          <w:sz w:val="24"/>
        </w:rPr>
      </w:pPr>
      <w:r>
        <w:rPr>
          <w:color w:val="auto"/>
          <w:sz w:val="24"/>
        </w:rPr>
        <w:t>本工程拟采取的环保治理措施全部落实到位以后将对工程所产生的废水、废气、废渣以及噪声进行比较彻底的治理，可以实现“达标排放”，污染物排放量较小。</w:t>
      </w:r>
    </w:p>
    <w:p>
      <w:pPr>
        <w:snapToGrid w:val="0"/>
        <w:spacing w:line="360" w:lineRule="auto"/>
        <w:ind w:firstLine="480" w:firstLineChars="200"/>
        <w:rPr>
          <w:color w:val="auto"/>
          <w:sz w:val="24"/>
        </w:rPr>
      </w:pPr>
      <w:r>
        <w:rPr>
          <w:color w:val="auto"/>
          <w:sz w:val="24"/>
        </w:rPr>
        <w:t>由此可见，工程在取得良好的经济效益和社会效益的前提下，对环境的影响比较小，从此角度讲，工程的环境效益是可行的。</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81" w:name="_Toc9234"/>
      <w:bookmarkStart w:id="582" w:name="_Toc15279"/>
      <w:bookmarkStart w:id="583" w:name="_Toc816"/>
      <w:r>
        <w:rPr>
          <w:rFonts w:ascii="Times New Roman" w:hAnsi="Times New Roman" w:cs="Times New Roman" w:eastAsiaTheme="majorEastAsia"/>
          <w:bCs/>
          <w:color w:val="auto"/>
          <w:kern w:val="2"/>
          <w:szCs w:val="32"/>
          <w:lang w:val="en-US" w:eastAsia="zh-CN"/>
        </w:rPr>
        <w:t>小结</w:t>
      </w:r>
      <w:bookmarkEnd w:id="579"/>
      <w:bookmarkEnd w:id="580"/>
      <w:bookmarkEnd w:id="581"/>
      <w:bookmarkEnd w:id="582"/>
      <w:bookmarkEnd w:id="583"/>
    </w:p>
    <w:p>
      <w:pPr>
        <w:spacing w:line="360" w:lineRule="auto"/>
        <w:ind w:firstLine="525"/>
        <w:rPr>
          <w:color w:val="auto"/>
          <w:sz w:val="24"/>
        </w:rPr>
      </w:pPr>
      <w:r>
        <w:rPr>
          <w:color w:val="auto"/>
          <w:sz w:val="24"/>
        </w:rPr>
        <w:t>结合本工程的社会经济效益、环保投入和环境效益进行综合分析得出，项目在创造良好经济效益和社会效益的同时，经采取污染防治措施后，对环境的影响较小，能够将工程带来的环境损失降到可接受程度。因此，本项目可以实现经济效益与环保效益的相统一。</w:t>
      </w:r>
    </w:p>
    <w:p>
      <w:pPr>
        <w:spacing w:line="360" w:lineRule="auto"/>
        <w:ind w:firstLine="525"/>
        <w:rPr>
          <w:color w:val="auto"/>
          <w:sz w:val="24"/>
        </w:rPr>
      </w:pPr>
      <w:r>
        <w:rPr>
          <w:b/>
          <w:color w:val="auto"/>
          <w:sz w:val="24"/>
        </w:rPr>
        <w:t>评价认为，其社会、环境、经济效益较为显著。</w:t>
      </w:r>
    </w:p>
    <w:p>
      <w:pPr>
        <w:rPr>
          <w:color w:val="auto"/>
        </w:rPr>
      </w:pPr>
      <w:bookmarkStart w:id="584" w:name="_Toc64081513"/>
      <w:bookmarkStart w:id="585" w:name="_Toc180824237"/>
      <w:bookmarkStart w:id="586" w:name="_Toc180817096"/>
      <w:r>
        <w:rPr>
          <w:color w:val="auto"/>
        </w:rPr>
        <w:br w:type="page"/>
      </w:r>
    </w:p>
    <w:p>
      <w:pPr>
        <w:pStyle w:val="5"/>
        <w:rPr>
          <w:rFonts w:hint="eastAsia" w:asciiTheme="majorEastAsia" w:hAnsiTheme="majorEastAsia" w:eastAsiaTheme="majorEastAsia" w:cstheme="majorEastAsia"/>
          <w:b/>
          <w:bCs/>
          <w:color w:val="auto"/>
          <w:sz w:val="32"/>
          <w:szCs w:val="32"/>
        </w:rPr>
      </w:pPr>
      <w:bookmarkStart w:id="587" w:name="_Toc32508"/>
      <w:bookmarkStart w:id="588" w:name="_Toc8704"/>
      <w:bookmarkStart w:id="589" w:name="_Toc32283"/>
      <w:r>
        <w:rPr>
          <w:rFonts w:hint="eastAsia" w:asciiTheme="majorEastAsia" w:hAnsiTheme="majorEastAsia" w:eastAsiaTheme="majorEastAsia" w:cstheme="majorEastAsia"/>
          <w:b/>
          <w:bCs/>
          <w:color w:val="auto"/>
          <w:sz w:val="32"/>
          <w:szCs w:val="32"/>
        </w:rPr>
        <w:t>建设</w:t>
      </w:r>
      <w:bookmarkEnd w:id="584"/>
      <w:bookmarkEnd w:id="585"/>
      <w:bookmarkEnd w:id="586"/>
      <w:r>
        <w:rPr>
          <w:rFonts w:hint="eastAsia" w:asciiTheme="majorEastAsia" w:hAnsiTheme="majorEastAsia" w:eastAsiaTheme="majorEastAsia" w:cstheme="majorEastAsia"/>
          <w:b/>
          <w:bCs/>
          <w:color w:val="auto"/>
          <w:sz w:val="32"/>
          <w:szCs w:val="32"/>
        </w:rPr>
        <w:t>管理与监测计划</w:t>
      </w:r>
      <w:bookmarkEnd w:id="587"/>
      <w:bookmarkEnd w:id="588"/>
      <w:bookmarkEnd w:id="589"/>
    </w:p>
    <w:p>
      <w:pPr>
        <w:pStyle w:val="4"/>
        <w:spacing w:line="360" w:lineRule="auto"/>
        <w:ind w:firstLine="480"/>
        <w:jc w:val="both"/>
        <w:rPr>
          <w:rFonts w:ascii="Times New Roman"/>
          <w:color w:val="auto"/>
          <w:szCs w:val="24"/>
        </w:rPr>
      </w:pPr>
      <w:r>
        <w:rPr>
          <w:rFonts w:ascii="Times New Roman"/>
          <w:color w:val="auto"/>
          <w:szCs w:val="24"/>
        </w:rPr>
        <w:t>加强环境管理和环境监测是执行有关环境保护法规的重要手段，也是实现建设项目社会效益、经济效益、环境效益协调发展的必要保障。通过环境管理和环境监测，可以监控本项目对区域地表水、环境空气、声环境和生态环境的影响，为本区域的环境管理、污染防治和生态保护提供依据。针对本项目所在地的敏感性，项目施工期及营运期必须加强环境管理和环境监测工作。施工期监控环境影响，并据此按保护要求对可能存在的不足之处采取必要的补充措施，以保证施工活动正常进行，减轻对生态环境与人文景观的影响。在营运期间监控项目区环境质量的变化动态，并作为环境保护工作的依据。</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90" w:name="_Toc180817097"/>
      <w:bookmarkStart w:id="591" w:name="_Toc180824238"/>
      <w:bookmarkStart w:id="592" w:name="_Toc24367"/>
      <w:bookmarkStart w:id="593" w:name="_Toc64081515"/>
      <w:bookmarkStart w:id="594" w:name="_Toc4369"/>
      <w:bookmarkStart w:id="595" w:name="_Toc27069"/>
      <w:r>
        <w:rPr>
          <w:rFonts w:ascii="Times New Roman" w:hAnsi="Times New Roman" w:cs="Times New Roman" w:eastAsiaTheme="majorEastAsia"/>
          <w:bCs/>
          <w:color w:val="auto"/>
          <w:kern w:val="2"/>
          <w:szCs w:val="32"/>
          <w:lang w:val="en-US" w:eastAsia="zh-CN"/>
        </w:rPr>
        <w:t>环境管理</w:t>
      </w:r>
      <w:bookmarkEnd w:id="590"/>
      <w:bookmarkEnd w:id="591"/>
      <w:bookmarkEnd w:id="592"/>
      <w:bookmarkEnd w:id="593"/>
      <w:bookmarkEnd w:id="594"/>
      <w:bookmarkEnd w:id="595"/>
    </w:p>
    <w:p>
      <w:pPr>
        <w:pStyle w:val="180"/>
        <w:rPr>
          <w:rFonts w:hint="default" w:ascii="Times New Roman" w:hAnsi="Times New Roman" w:cs="Times New Roman" w:eastAsiaTheme="majorEastAsia"/>
          <w:b/>
          <w:bCs w:val="0"/>
          <w:color w:val="auto"/>
          <w:sz w:val="24"/>
          <w:szCs w:val="24"/>
        </w:rPr>
      </w:pPr>
      <w:bookmarkStart w:id="596" w:name="_Toc13309"/>
      <w:r>
        <w:rPr>
          <w:rFonts w:hint="default" w:ascii="Times New Roman" w:hAnsi="Times New Roman" w:cs="Times New Roman" w:eastAsiaTheme="majorEastAsia"/>
          <w:b/>
          <w:bCs w:val="0"/>
          <w:color w:val="auto"/>
          <w:sz w:val="24"/>
          <w:szCs w:val="24"/>
        </w:rPr>
        <w:t>环境管理工作内容</w:t>
      </w:r>
      <w:bookmarkEnd w:id="596"/>
    </w:p>
    <w:p>
      <w:pPr>
        <w:pStyle w:val="4"/>
        <w:spacing w:line="360" w:lineRule="auto"/>
        <w:ind w:firstLine="480"/>
        <w:jc w:val="both"/>
        <w:rPr>
          <w:rFonts w:ascii="Times New Roman"/>
          <w:color w:val="auto"/>
          <w:szCs w:val="24"/>
        </w:rPr>
      </w:pPr>
      <w:r>
        <w:rPr>
          <w:rFonts w:ascii="Times New Roman"/>
          <w:color w:val="auto"/>
          <w:szCs w:val="24"/>
        </w:rPr>
        <w:t>项目建设单位应该安排专人或委托第三方机构负责环境管理和监督，做好污染控制和生态环境保护工作，并负责有关措施的落实，在施工期和运行期对项目区域生活污水、废气、固体废物等的处理、排放及环保设施运行状况进行监督，严格注意相关的排污情况，以便能够在出现异常或紧急情况时采取应急措施。</w:t>
      </w:r>
    </w:p>
    <w:p>
      <w:pPr>
        <w:pStyle w:val="4"/>
        <w:spacing w:line="360" w:lineRule="auto"/>
        <w:ind w:firstLine="480"/>
        <w:jc w:val="both"/>
        <w:rPr>
          <w:rFonts w:ascii="Times New Roman"/>
          <w:color w:val="auto"/>
          <w:szCs w:val="24"/>
        </w:rPr>
      </w:pPr>
      <w:r>
        <w:rPr>
          <w:rFonts w:ascii="Times New Roman"/>
          <w:color w:val="auto"/>
          <w:szCs w:val="24"/>
        </w:rPr>
        <w:t>环保负责机构和人员应该具有下列的职责：</w:t>
      </w:r>
    </w:p>
    <w:p>
      <w:pPr>
        <w:pStyle w:val="4"/>
        <w:spacing w:line="360" w:lineRule="auto"/>
        <w:ind w:firstLine="480"/>
        <w:jc w:val="both"/>
        <w:rPr>
          <w:rFonts w:ascii="Times New Roman"/>
          <w:color w:val="auto"/>
          <w:szCs w:val="24"/>
        </w:rPr>
      </w:pPr>
      <w:r>
        <w:rPr>
          <w:rFonts w:ascii="Times New Roman"/>
          <w:color w:val="auto"/>
          <w:szCs w:val="24"/>
        </w:rPr>
        <w:t>（1）宣传、贯彻执行环境保护法律、法规、条例和标准，并经常监督有关部门的执行情况；</w:t>
      </w:r>
    </w:p>
    <w:p>
      <w:pPr>
        <w:pStyle w:val="4"/>
        <w:spacing w:line="360" w:lineRule="auto"/>
        <w:ind w:firstLine="480"/>
        <w:jc w:val="both"/>
        <w:rPr>
          <w:rFonts w:ascii="Times New Roman"/>
          <w:color w:val="auto"/>
          <w:szCs w:val="24"/>
        </w:rPr>
      </w:pPr>
      <w:r>
        <w:rPr>
          <w:rFonts w:ascii="Times New Roman"/>
          <w:color w:val="auto"/>
          <w:szCs w:val="24"/>
        </w:rPr>
        <w:t>（2）负责项目区域的环境管理、环境保护和生态保护工作并监督各项环保措施的落实和执行情况；</w:t>
      </w:r>
    </w:p>
    <w:p>
      <w:pPr>
        <w:pStyle w:val="4"/>
        <w:spacing w:line="360" w:lineRule="auto"/>
        <w:ind w:firstLine="480"/>
        <w:jc w:val="both"/>
        <w:rPr>
          <w:rFonts w:ascii="Times New Roman"/>
          <w:color w:val="auto"/>
          <w:szCs w:val="24"/>
        </w:rPr>
      </w:pPr>
      <w:r>
        <w:rPr>
          <w:rFonts w:ascii="Times New Roman"/>
          <w:color w:val="auto"/>
          <w:szCs w:val="24"/>
        </w:rPr>
        <w:t>（3）按照规定进行环境监测，并协助有关单位的环境监测管理人员，建立监控档案和业务联系，接受指导和监督；</w:t>
      </w:r>
    </w:p>
    <w:p>
      <w:pPr>
        <w:pStyle w:val="4"/>
        <w:spacing w:line="360" w:lineRule="auto"/>
        <w:ind w:firstLine="480"/>
        <w:jc w:val="both"/>
        <w:rPr>
          <w:rFonts w:ascii="Times New Roman"/>
          <w:color w:val="auto"/>
          <w:szCs w:val="24"/>
        </w:rPr>
      </w:pPr>
      <w:r>
        <w:rPr>
          <w:rFonts w:ascii="Times New Roman"/>
          <w:color w:val="auto"/>
          <w:szCs w:val="24"/>
        </w:rPr>
        <w:t>（4）按照环境生态部门的有关规定和要求填写各种环境管理报表；</w:t>
      </w:r>
    </w:p>
    <w:p>
      <w:pPr>
        <w:pStyle w:val="4"/>
        <w:spacing w:line="360" w:lineRule="auto"/>
        <w:ind w:firstLine="480"/>
        <w:jc w:val="both"/>
        <w:rPr>
          <w:rFonts w:ascii="Times New Roman"/>
          <w:color w:val="auto"/>
          <w:szCs w:val="24"/>
        </w:rPr>
      </w:pPr>
      <w:r>
        <w:rPr>
          <w:rFonts w:ascii="Times New Roman"/>
          <w:color w:val="auto"/>
          <w:szCs w:val="24"/>
        </w:rPr>
        <w:t>（5）协助有关部门搞好项目区域内的环境和生态保护教育、技术培训，提高施工期间施工人员和运行期管理人员的素质和环境意识；</w:t>
      </w:r>
    </w:p>
    <w:p>
      <w:pPr>
        <w:pStyle w:val="4"/>
        <w:spacing w:line="360" w:lineRule="auto"/>
        <w:ind w:firstLine="480"/>
        <w:jc w:val="both"/>
        <w:rPr>
          <w:rFonts w:ascii="Times New Roman"/>
          <w:color w:val="auto"/>
          <w:szCs w:val="24"/>
        </w:rPr>
      </w:pPr>
      <w:r>
        <w:rPr>
          <w:rFonts w:ascii="Times New Roman"/>
          <w:color w:val="auto"/>
          <w:szCs w:val="24"/>
        </w:rPr>
        <w:t>（6）制定、实施、管理本项目区域内污染物排放和环境保护设施运转计划，并做好考核和统计等工作；</w:t>
      </w:r>
    </w:p>
    <w:p>
      <w:pPr>
        <w:pStyle w:val="4"/>
        <w:spacing w:line="360" w:lineRule="auto"/>
        <w:ind w:firstLine="480"/>
        <w:jc w:val="both"/>
        <w:rPr>
          <w:rFonts w:ascii="Times New Roman"/>
          <w:color w:val="auto"/>
          <w:szCs w:val="24"/>
        </w:rPr>
      </w:pPr>
      <w:r>
        <w:rPr>
          <w:rFonts w:ascii="Times New Roman"/>
          <w:color w:val="auto"/>
          <w:szCs w:val="24"/>
        </w:rPr>
        <w:t>（7）加强对环保设施的运行管理，如果出现运行故障，应该立即进行检修，严禁各项污染物非正常排放；</w:t>
      </w:r>
    </w:p>
    <w:p>
      <w:pPr>
        <w:pStyle w:val="4"/>
        <w:spacing w:line="360" w:lineRule="auto"/>
        <w:ind w:firstLine="480"/>
        <w:jc w:val="both"/>
        <w:rPr>
          <w:rFonts w:ascii="Times New Roman"/>
          <w:color w:val="auto"/>
          <w:szCs w:val="24"/>
        </w:rPr>
      </w:pPr>
      <w:r>
        <w:rPr>
          <w:rFonts w:ascii="Times New Roman"/>
          <w:color w:val="auto"/>
          <w:szCs w:val="24"/>
        </w:rPr>
        <w:t>（8）协调、处理因本项目的运营而产生的环境问题的投诉以及项目区域居民对周围环境的投诉，配合有关单位和部门对环境污染扰民事件进行调查、监督和分析，并提供相应的材料；协同当地环境生态局处理和解答与本项目有关的公众意见，并协调配合有关单位进行处理，达成相应的谅解。</w:t>
      </w:r>
    </w:p>
    <w:p>
      <w:pPr>
        <w:pStyle w:val="180"/>
        <w:rPr>
          <w:rFonts w:hint="default" w:ascii="Times New Roman" w:hAnsi="Times New Roman" w:cs="Times New Roman" w:eastAsiaTheme="majorEastAsia"/>
          <w:b/>
          <w:bCs w:val="0"/>
          <w:color w:val="auto"/>
          <w:sz w:val="24"/>
          <w:szCs w:val="24"/>
        </w:rPr>
      </w:pPr>
      <w:bookmarkStart w:id="597" w:name="_Toc1765"/>
      <w:r>
        <w:rPr>
          <w:rFonts w:hint="default" w:ascii="Times New Roman" w:hAnsi="Times New Roman" w:cs="Times New Roman" w:eastAsiaTheme="majorEastAsia"/>
          <w:b/>
          <w:bCs w:val="0"/>
          <w:color w:val="auto"/>
          <w:sz w:val="24"/>
          <w:szCs w:val="24"/>
        </w:rPr>
        <w:t>环境管理计划</w:t>
      </w:r>
      <w:bookmarkEnd w:id="597"/>
    </w:p>
    <w:p>
      <w:pPr>
        <w:pStyle w:val="4"/>
        <w:spacing w:line="360" w:lineRule="auto"/>
        <w:ind w:firstLine="480"/>
        <w:jc w:val="both"/>
        <w:rPr>
          <w:rFonts w:ascii="Times New Roman"/>
          <w:color w:val="auto"/>
          <w:szCs w:val="24"/>
        </w:rPr>
      </w:pPr>
      <w:r>
        <w:rPr>
          <w:rFonts w:ascii="Times New Roman"/>
          <w:color w:val="auto"/>
          <w:szCs w:val="24"/>
        </w:rPr>
        <w:t>为切实减轻环境影响，落实环评报告提出的环境保护计划，在项目施工和运行阶段应执行相应的环境管理计划。</w:t>
      </w:r>
    </w:p>
    <w:p>
      <w:pPr>
        <w:pStyle w:val="4"/>
        <w:spacing w:line="360" w:lineRule="auto"/>
        <w:ind w:firstLine="480"/>
        <w:jc w:val="both"/>
        <w:rPr>
          <w:rFonts w:ascii="Times New Roman"/>
          <w:color w:val="auto"/>
          <w:szCs w:val="24"/>
        </w:rPr>
      </w:pPr>
      <w:r>
        <w:rPr>
          <w:rFonts w:ascii="Times New Roman"/>
          <w:color w:val="auto"/>
          <w:szCs w:val="24"/>
        </w:rPr>
        <w:t>施工期：安排专职人员，依据设计文件及环评报告提出的要求，实施施工期的环境管理与监督，落实各项环保对策措施。</w:t>
      </w:r>
    </w:p>
    <w:p>
      <w:pPr>
        <w:pStyle w:val="4"/>
        <w:spacing w:line="360" w:lineRule="auto"/>
        <w:ind w:firstLine="480"/>
        <w:jc w:val="both"/>
        <w:rPr>
          <w:rFonts w:ascii="Times New Roman"/>
          <w:color w:val="auto"/>
          <w:szCs w:val="24"/>
        </w:rPr>
      </w:pPr>
      <w:r>
        <w:rPr>
          <w:rFonts w:ascii="Times New Roman"/>
          <w:color w:val="auto"/>
          <w:szCs w:val="24"/>
        </w:rPr>
        <w:t>营运期：专职人员负责日常环境管理及环保设施的维护；监测废气排放情况、水质变化情况、掌握环境质量变化过程。一旦发现潜在环境问题，立即提出相应的对策措施。</w:t>
      </w:r>
    </w:p>
    <w:p>
      <w:pPr>
        <w:spacing w:line="360" w:lineRule="auto"/>
        <w:ind w:firstLine="480"/>
        <w:jc w:val="center"/>
        <w:rPr>
          <w:rFonts w:eastAsia="黑体"/>
          <w:color w:val="auto"/>
        </w:rPr>
      </w:pPr>
      <w:r>
        <w:rPr>
          <w:rFonts w:eastAsia="黑体"/>
          <w:color w:val="auto"/>
        </w:rPr>
        <w:t>表8</w:t>
      </w:r>
      <w:r>
        <w:rPr>
          <w:rFonts w:hint="eastAsia" w:eastAsia="黑体"/>
          <w:color w:val="auto"/>
        </w:rPr>
        <w:t>.1</w:t>
      </w:r>
      <w:r>
        <w:rPr>
          <w:rFonts w:eastAsia="黑体"/>
          <w:color w:val="auto"/>
        </w:rPr>
        <w:t>-1 项目环境管理任务计划表</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707" w:type="dxa"/>
            <w:vAlign w:val="center"/>
          </w:tcPr>
          <w:p>
            <w:pPr>
              <w:keepNext w:val="0"/>
              <w:keepLines w:val="0"/>
              <w:suppressLineNumbers w:val="0"/>
              <w:spacing w:before="0" w:beforeAutospacing="0" w:after="0" w:afterAutospacing="0" w:line="240" w:lineRule="exact"/>
              <w:ind w:left="0" w:right="0"/>
              <w:rPr>
                <w:rFonts w:hint="default"/>
                <w:b/>
                <w:color w:val="auto"/>
                <w:szCs w:val="21"/>
              </w:rPr>
            </w:pPr>
            <w:r>
              <w:rPr>
                <w:rFonts w:hint="default"/>
                <w:b/>
                <w:color w:val="auto"/>
                <w:szCs w:val="21"/>
              </w:rPr>
              <w:t>阶段</w:t>
            </w:r>
          </w:p>
        </w:tc>
        <w:tc>
          <w:tcPr>
            <w:tcW w:w="8241" w:type="dxa"/>
            <w:vAlign w:val="center"/>
          </w:tcPr>
          <w:p>
            <w:pPr>
              <w:keepNext w:val="0"/>
              <w:keepLines w:val="0"/>
              <w:suppressLineNumbers w:val="0"/>
              <w:spacing w:before="0" w:beforeAutospacing="0" w:after="0" w:afterAutospacing="0" w:line="240" w:lineRule="exact"/>
              <w:ind w:left="0" w:right="0"/>
              <w:rPr>
                <w:rFonts w:hint="default"/>
                <w:b/>
                <w:color w:val="auto"/>
                <w:szCs w:val="21"/>
              </w:rPr>
            </w:pPr>
            <w:r>
              <w:rPr>
                <w:rFonts w:hint="default"/>
                <w:b/>
                <w:color w:val="auto"/>
                <w:szCs w:val="21"/>
              </w:rPr>
              <w:t>环境管理主要任务内容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项目建设前期</w:t>
            </w:r>
          </w:p>
          <w:p>
            <w:pPr>
              <w:keepNext w:val="0"/>
              <w:keepLines w:val="0"/>
              <w:suppressLineNumbers w:val="0"/>
              <w:spacing w:before="0" w:beforeAutospacing="0" w:after="0" w:afterAutospacing="0" w:line="240" w:lineRule="exact"/>
              <w:ind w:left="0" w:right="0"/>
              <w:rPr>
                <w:rFonts w:hint="default"/>
                <w:color w:val="auto"/>
                <w:szCs w:val="21"/>
              </w:rPr>
            </w:pPr>
          </w:p>
        </w:tc>
        <w:tc>
          <w:tcPr>
            <w:tcW w:w="8241" w:type="dxa"/>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（1）参与项目建设各阶段环境保护和环保工程设计方案工作；</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（2）编制项目环境保护计划；</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（3）委托环评单位开展项目环境影响评价；</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（4）积极配合开发利用、环评单位开展项目区现场踏勘与调研工作；</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（5）针对项目具体情况，建立健全项目内部环境管理制度；</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（6）委托设计单位依据环评文件提出的标准、措施及批复意见要求，落实各项环保工程设计，编制环保文件。</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（7）建立建设项目环保档案，确保该项目各时期环保档案的完整性、规范性。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建设期</w:t>
            </w:r>
          </w:p>
          <w:p>
            <w:pPr>
              <w:keepNext w:val="0"/>
              <w:keepLines w:val="0"/>
              <w:suppressLineNumbers w:val="0"/>
              <w:spacing w:before="0" w:beforeAutospacing="0" w:after="0" w:afterAutospacing="0" w:line="240" w:lineRule="exact"/>
              <w:ind w:left="0" w:right="0"/>
              <w:rPr>
                <w:rFonts w:hint="default"/>
                <w:color w:val="auto"/>
                <w:szCs w:val="21"/>
              </w:rPr>
            </w:pPr>
          </w:p>
        </w:tc>
        <w:tc>
          <w:tcPr>
            <w:tcW w:w="8241" w:type="dxa"/>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（1）按照工程环保设计与主体工程同步建设，严格执行”三同时”制度；</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（2）负责环保设施施工招标文件、承包项目合同、施工监理与验收等环保条款的编审</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（3）建立建设期规范化操作程序与环境监理制度，处理施工中偶发的环境污染事故与环境纠纷；</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（4）专人负责监督、考核各施工单位责任书中任务完成情况；</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（5）对施工中造成的地表破坏、土地、植被毁坏应在竣工后及时组织恢复工作；</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（6）认真做好各项环保设施的施工监理与验收，及时与当地环保主管部门沟通；</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（7）做好施工场地、弃渣处理和施工场地、渣场土地恢复工作。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营运期</w:t>
            </w:r>
          </w:p>
          <w:p>
            <w:pPr>
              <w:keepNext w:val="0"/>
              <w:keepLines w:val="0"/>
              <w:suppressLineNumbers w:val="0"/>
              <w:spacing w:before="0" w:beforeAutospacing="0" w:after="0" w:afterAutospacing="0" w:line="240" w:lineRule="exact"/>
              <w:ind w:left="0" w:right="0"/>
              <w:rPr>
                <w:rFonts w:hint="default"/>
                <w:color w:val="auto"/>
                <w:szCs w:val="21"/>
              </w:rPr>
            </w:pPr>
          </w:p>
        </w:tc>
        <w:tc>
          <w:tcPr>
            <w:tcW w:w="8241" w:type="dxa"/>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（1）贯彻执行国家和地方环境保护法律法规和标准；</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（2）严格执行各项生产及环境管理规章制度，保证生产正常运行；</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（3）建立环保设施运行卡，对环保设施定期进行检查和维护；</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4）按照环境管理监测计划开展定期、不定期环境与污染源监测，发现问题及时处理；（5）完善项目环境管理目标与任务，做好固废的处理处置工作；做好厂内废水、废气、固废处理工作；配合地方环保部门制定区域环境综合整治规划；</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（6）加强国家环保政策宣传，提高员工环保意识，提升企业环境管理水平；</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（7）重视公众参与监督作用；</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（8）推行清洁生产，发现问题及时处理，向环保行政主管部门汇报。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管理工作重点</w:t>
            </w:r>
          </w:p>
        </w:tc>
        <w:tc>
          <w:tcPr>
            <w:tcW w:w="8241" w:type="dxa"/>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（1）加强污染源监控与管理，做好项目清洁生产工作，制定出年度清洁生产审核计划；</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（2）坚持“预防为主、防治结合、综合治理”的原则，强化环境管理力度；</w:t>
            </w:r>
          </w:p>
          <w:p>
            <w:pPr>
              <w:keepNext w:val="0"/>
              <w:keepLines w:val="0"/>
              <w:suppressLineNumbers w:val="0"/>
              <w:spacing w:before="0" w:beforeAutospacing="0" w:after="0" w:afterAutospacing="0" w:line="240" w:lineRule="exact"/>
              <w:ind w:left="0" w:right="0"/>
              <w:rPr>
                <w:rFonts w:hint="default"/>
                <w:color w:val="auto"/>
                <w:szCs w:val="21"/>
              </w:rPr>
            </w:pPr>
            <w:r>
              <w:rPr>
                <w:rFonts w:hint="default"/>
                <w:color w:val="auto"/>
                <w:szCs w:val="21"/>
              </w:rPr>
              <w:t>（3）保护项目厂区及周边生态环境。</w:t>
            </w:r>
          </w:p>
        </w:tc>
      </w:tr>
    </w:tbl>
    <w:p>
      <w:pPr>
        <w:pStyle w:val="180"/>
        <w:rPr>
          <w:rFonts w:hint="default" w:ascii="Times New Roman" w:hAnsi="Times New Roman" w:cs="Times New Roman" w:eastAsiaTheme="majorEastAsia"/>
          <w:b/>
          <w:bCs w:val="0"/>
          <w:color w:val="auto"/>
          <w:sz w:val="24"/>
          <w:szCs w:val="24"/>
        </w:rPr>
      </w:pPr>
      <w:bookmarkStart w:id="598" w:name="_Toc17829"/>
      <w:r>
        <w:rPr>
          <w:rFonts w:hint="default" w:ascii="Times New Roman" w:hAnsi="Times New Roman" w:cs="Times New Roman" w:eastAsiaTheme="majorEastAsia"/>
          <w:b/>
          <w:bCs w:val="0"/>
          <w:color w:val="auto"/>
          <w:sz w:val="24"/>
          <w:szCs w:val="24"/>
        </w:rPr>
        <w:t>环境管理</w:t>
      </w:r>
      <w:bookmarkEnd w:id="598"/>
    </w:p>
    <w:p>
      <w:pPr>
        <w:pStyle w:val="4"/>
        <w:tabs>
          <w:tab w:val="left" w:pos="3780"/>
        </w:tabs>
        <w:spacing w:line="360" w:lineRule="auto"/>
        <w:ind w:firstLine="480"/>
        <w:jc w:val="both"/>
        <w:rPr>
          <w:rFonts w:ascii="Times New Roman"/>
          <w:color w:val="auto"/>
          <w:szCs w:val="24"/>
        </w:rPr>
      </w:pPr>
      <w:r>
        <w:rPr>
          <w:rFonts w:ascii="Times New Roman"/>
          <w:color w:val="auto"/>
          <w:szCs w:val="24"/>
        </w:rPr>
        <w:t>管理是对人类生产、生活和社会活动试行控制性的影响，使外界事物按照人们的决策和计划方向进行和发展。随着我国环保法规的完善及严格执法，环境污染问题将极大的影响着企业的生存和发展。因此，环境管理应作为企业管理工作中的重要组成部分，企业应积极并主动地预防和治理，提高全体职工的环境意识，避免因管理不善而造成的环境污染风险。</w:t>
      </w:r>
    </w:p>
    <w:p>
      <w:pPr>
        <w:pStyle w:val="4"/>
        <w:tabs>
          <w:tab w:val="left" w:pos="3780"/>
        </w:tabs>
        <w:spacing w:line="360" w:lineRule="auto"/>
        <w:ind w:firstLine="480"/>
        <w:jc w:val="both"/>
        <w:rPr>
          <w:rFonts w:ascii="Times New Roman"/>
          <w:b/>
          <w:color w:val="auto"/>
          <w:szCs w:val="24"/>
        </w:rPr>
      </w:pPr>
      <w:r>
        <w:rPr>
          <w:rFonts w:ascii="Times New Roman"/>
          <w:b/>
          <w:color w:val="auto"/>
          <w:szCs w:val="24"/>
        </w:rPr>
        <w:t>（1）施工期环境管理</w:t>
      </w:r>
    </w:p>
    <w:p>
      <w:pPr>
        <w:pStyle w:val="4"/>
        <w:tabs>
          <w:tab w:val="left" w:pos="3780"/>
        </w:tabs>
        <w:spacing w:line="360" w:lineRule="auto"/>
        <w:ind w:firstLine="480"/>
        <w:jc w:val="both"/>
        <w:rPr>
          <w:rFonts w:ascii="Times New Roman"/>
          <w:color w:val="auto"/>
          <w:szCs w:val="24"/>
        </w:rPr>
      </w:pPr>
      <w:r>
        <w:rPr>
          <w:rFonts w:ascii="Times New Roman"/>
          <w:color w:val="auto"/>
          <w:szCs w:val="24"/>
        </w:rPr>
        <w:t>为加强施工现场管理，防止施工扬尘污染和施工噪声扰民，本评价对项目施工期环境管理提出如下要求：</w:t>
      </w:r>
    </w:p>
    <w:p>
      <w:pPr>
        <w:pStyle w:val="4"/>
        <w:tabs>
          <w:tab w:val="left" w:pos="3780"/>
        </w:tabs>
        <w:spacing w:line="360" w:lineRule="auto"/>
        <w:ind w:firstLine="480"/>
        <w:jc w:val="both"/>
        <w:rPr>
          <w:rFonts w:ascii="Times New Roman"/>
          <w:color w:val="auto"/>
          <w:szCs w:val="24"/>
        </w:rPr>
      </w:pPr>
      <w:r>
        <w:rPr>
          <w:rFonts w:ascii="Times New Roman"/>
          <w:color w:val="auto"/>
          <w:szCs w:val="24"/>
        </w:rPr>
        <w:t>1）本项目建设单位应配备一名具有环保专业知识的技术人员，专职或兼职负责施工期的环境保护工作，其主要职责如下：</w:t>
      </w:r>
    </w:p>
    <w:p>
      <w:pPr>
        <w:pStyle w:val="4"/>
        <w:tabs>
          <w:tab w:val="left" w:pos="3780"/>
        </w:tabs>
        <w:spacing w:line="360" w:lineRule="auto"/>
        <w:ind w:firstLine="480"/>
        <w:jc w:val="both"/>
        <w:rPr>
          <w:rFonts w:ascii="Times New Roman"/>
          <w:color w:val="auto"/>
          <w:szCs w:val="24"/>
        </w:rPr>
      </w:pPr>
      <w:r>
        <w:rPr>
          <w:rFonts w:ascii="Times New Roman"/>
          <w:color w:val="auto"/>
          <w:szCs w:val="24"/>
        </w:rPr>
        <w:t>①根据国家及地方政策有关施工管理条例和施工操作规范，结合本项目的特点，制定施工环境管理条例，为施工单位的施工活提供具体要求；</w:t>
      </w:r>
    </w:p>
    <w:p>
      <w:pPr>
        <w:pStyle w:val="4"/>
        <w:tabs>
          <w:tab w:val="left" w:pos="3780"/>
        </w:tabs>
        <w:spacing w:line="360" w:lineRule="auto"/>
        <w:ind w:firstLine="480"/>
        <w:jc w:val="both"/>
        <w:rPr>
          <w:rFonts w:ascii="Times New Roman"/>
          <w:color w:val="auto"/>
          <w:szCs w:val="24"/>
        </w:rPr>
      </w:pPr>
      <w:r>
        <w:rPr>
          <w:rFonts w:ascii="Times New Roman"/>
          <w:color w:val="auto"/>
          <w:szCs w:val="24"/>
        </w:rPr>
        <w:t>②监督、检查施工单位对条例的执行情况；</w:t>
      </w:r>
    </w:p>
    <w:p>
      <w:pPr>
        <w:pStyle w:val="4"/>
        <w:tabs>
          <w:tab w:val="left" w:pos="3780"/>
        </w:tabs>
        <w:spacing w:line="360" w:lineRule="auto"/>
        <w:ind w:left="479" w:leftChars="228"/>
        <w:jc w:val="both"/>
        <w:rPr>
          <w:rFonts w:ascii="Times New Roman"/>
          <w:color w:val="auto"/>
          <w:szCs w:val="24"/>
        </w:rPr>
      </w:pPr>
      <w:r>
        <w:rPr>
          <w:rFonts w:ascii="Times New Roman"/>
          <w:color w:val="auto"/>
          <w:szCs w:val="24"/>
        </w:rPr>
        <w:t>③受理附近居民对施工过程中的环境保护意见，并及时与施工单位协商解决；④参与有关环境纠纷和污染事故的调查工作。</w:t>
      </w:r>
    </w:p>
    <w:p>
      <w:pPr>
        <w:pStyle w:val="4"/>
        <w:tabs>
          <w:tab w:val="left" w:pos="3780"/>
        </w:tabs>
        <w:spacing w:line="360" w:lineRule="auto"/>
        <w:ind w:left="479" w:leftChars="228"/>
        <w:jc w:val="both"/>
        <w:rPr>
          <w:rFonts w:ascii="Times New Roman"/>
          <w:color w:val="auto"/>
          <w:szCs w:val="24"/>
        </w:rPr>
      </w:pPr>
      <w:r>
        <w:rPr>
          <w:rFonts w:ascii="Times New Roman"/>
          <w:color w:val="auto"/>
          <w:szCs w:val="24"/>
        </w:rPr>
        <w:t>2）施工单位设置一名专职或兼职环境保护人员，其主要职责为：</w:t>
      </w:r>
    </w:p>
    <w:p>
      <w:pPr>
        <w:pStyle w:val="4"/>
        <w:tabs>
          <w:tab w:val="left" w:pos="3780"/>
        </w:tabs>
        <w:spacing w:line="360" w:lineRule="auto"/>
        <w:ind w:firstLine="480" w:firstLineChars="200"/>
        <w:jc w:val="both"/>
        <w:rPr>
          <w:rFonts w:ascii="Times New Roman"/>
          <w:color w:val="auto"/>
          <w:szCs w:val="24"/>
        </w:rPr>
      </w:pPr>
      <w:r>
        <w:rPr>
          <w:rFonts w:ascii="Times New Roman"/>
          <w:color w:val="auto"/>
          <w:szCs w:val="24"/>
        </w:rPr>
        <w:t>①与业主单位环保人员一同制定本项目施工环境管理条例；</w:t>
      </w:r>
    </w:p>
    <w:p>
      <w:pPr>
        <w:pStyle w:val="4"/>
        <w:tabs>
          <w:tab w:val="left" w:pos="3780"/>
        </w:tabs>
        <w:spacing w:line="360" w:lineRule="auto"/>
        <w:jc w:val="both"/>
        <w:rPr>
          <w:rFonts w:ascii="Times New Roman"/>
          <w:color w:val="auto"/>
          <w:szCs w:val="24"/>
        </w:rPr>
      </w:pPr>
      <w:r>
        <w:rPr>
          <w:rFonts w:ascii="Times New Roman"/>
          <w:color w:val="auto"/>
          <w:szCs w:val="24"/>
        </w:rPr>
        <w:t>②定期检查施工过程中环境管理条例实施情况，并督促有关人员进行整改；</w:t>
      </w:r>
    </w:p>
    <w:p>
      <w:pPr>
        <w:pStyle w:val="4"/>
        <w:tabs>
          <w:tab w:val="left" w:pos="3780"/>
        </w:tabs>
        <w:spacing w:line="360" w:lineRule="auto"/>
        <w:ind w:firstLine="480" w:firstLineChars="200"/>
        <w:jc w:val="both"/>
        <w:rPr>
          <w:rFonts w:ascii="Times New Roman"/>
          <w:color w:val="auto"/>
          <w:szCs w:val="24"/>
        </w:rPr>
      </w:pPr>
      <w:r>
        <w:rPr>
          <w:rFonts w:ascii="Times New Roman"/>
          <w:color w:val="auto"/>
          <w:szCs w:val="24"/>
        </w:rPr>
        <w:t>③定期听取环保部门、建设单位和周围居民对施工污染影响的意见，以便进一步加强文明施工。</w:t>
      </w:r>
    </w:p>
    <w:p>
      <w:pPr>
        <w:pStyle w:val="4"/>
        <w:tabs>
          <w:tab w:val="left" w:pos="3780"/>
        </w:tabs>
        <w:spacing w:line="360" w:lineRule="auto"/>
        <w:ind w:firstLine="480"/>
        <w:jc w:val="both"/>
        <w:rPr>
          <w:rFonts w:ascii="Times New Roman"/>
          <w:b/>
          <w:color w:val="auto"/>
          <w:szCs w:val="24"/>
        </w:rPr>
      </w:pPr>
      <w:r>
        <w:rPr>
          <w:rFonts w:ascii="Times New Roman"/>
          <w:b/>
          <w:color w:val="auto"/>
          <w:szCs w:val="24"/>
        </w:rPr>
        <w:t>（2）环境监理</w:t>
      </w:r>
    </w:p>
    <w:p>
      <w:pPr>
        <w:pStyle w:val="4"/>
        <w:tabs>
          <w:tab w:val="left" w:pos="3780"/>
        </w:tabs>
        <w:spacing w:line="360" w:lineRule="auto"/>
        <w:ind w:firstLine="600" w:firstLineChars="250"/>
        <w:jc w:val="both"/>
        <w:rPr>
          <w:rFonts w:ascii="Times New Roman"/>
          <w:color w:val="auto"/>
          <w:szCs w:val="24"/>
        </w:rPr>
      </w:pPr>
      <w:r>
        <w:rPr>
          <w:rFonts w:ascii="Times New Roman"/>
          <w:color w:val="auto"/>
          <w:szCs w:val="24"/>
        </w:rPr>
        <w:t>环境监理的目的是根据国家有关建设项目环境管理的法律法规、标准、建设项目环境影响评价文件及其批复的要求、建设项目工程技术资料，在项目设计和施工管理中，监督施工期的施工现场、周边环境及保护目标、污染物排放和生态保护达到国家规定标准或要求，落实环境保护“三同时”验收内容，使工程顺利通过竣工环境保护验收。</w:t>
      </w:r>
    </w:p>
    <w:p>
      <w:pPr>
        <w:pStyle w:val="4"/>
        <w:tabs>
          <w:tab w:val="left" w:pos="840"/>
        </w:tabs>
        <w:spacing w:line="360" w:lineRule="auto"/>
        <w:ind w:firstLine="454"/>
        <w:jc w:val="both"/>
        <w:rPr>
          <w:rFonts w:ascii="Times New Roman"/>
          <w:color w:val="auto"/>
          <w:szCs w:val="24"/>
        </w:rPr>
      </w:pPr>
      <w:r>
        <w:rPr>
          <w:rFonts w:ascii="Times New Roman"/>
          <w:color w:val="auto"/>
          <w:szCs w:val="24"/>
        </w:rPr>
        <w:t>评价要求，企业对全厂主体工程、设备安装监理时，要充分考虑对环境工程的监理工作，包括防腐、防雨、防渗工程监理，各环境保护和污染治理工程的土建、设备、处理工艺按规定进行工程监理。</w:t>
      </w:r>
    </w:p>
    <w:p>
      <w:pPr>
        <w:pStyle w:val="4"/>
        <w:tabs>
          <w:tab w:val="left" w:pos="3780"/>
        </w:tabs>
        <w:spacing w:line="360" w:lineRule="auto"/>
        <w:ind w:firstLine="480"/>
        <w:jc w:val="both"/>
        <w:rPr>
          <w:rFonts w:ascii="Times New Roman"/>
          <w:b/>
          <w:color w:val="auto"/>
          <w:szCs w:val="24"/>
        </w:rPr>
      </w:pPr>
      <w:r>
        <w:rPr>
          <w:rFonts w:ascii="Times New Roman"/>
          <w:b/>
          <w:color w:val="auto"/>
          <w:szCs w:val="24"/>
        </w:rPr>
        <w:t>（3）运营期环境管理</w:t>
      </w:r>
    </w:p>
    <w:p>
      <w:pPr>
        <w:pStyle w:val="4"/>
        <w:tabs>
          <w:tab w:val="left" w:pos="840"/>
        </w:tabs>
        <w:spacing w:line="360" w:lineRule="auto"/>
        <w:ind w:firstLine="454"/>
        <w:jc w:val="both"/>
        <w:rPr>
          <w:rFonts w:ascii="Times New Roman"/>
          <w:color w:val="auto"/>
          <w:szCs w:val="24"/>
        </w:rPr>
      </w:pPr>
      <w:r>
        <w:rPr>
          <w:rFonts w:ascii="Times New Roman"/>
          <w:color w:val="auto"/>
          <w:szCs w:val="24"/>
        </w:rPr>
        <w:t>（1）在排污申报基础上对总量控制指标实施复核监测，并开展总量监测工作。</w:t>
      </w:r>
    </w:p>
    <w:p>
      <w:pPr>
        <w:pStyle w:val="4"/>
        <w:tabs>
          <w:tab w:val="left" w:pos="840"/>
        </w:tabs>
        <w:spacing w:line="360" w:lineRule="auto"/>
        <w:ind w:firstLine="454"/>
        <w:jc w:val="both"/>
        <w:rPr>
          <w:rFonts w:ascii="Times New Roman"/>
          <w:color w:val="auto"/>
          <w:szCs w:val="24"/>
        </w:rPr>
      </w:pPr>
      <w:r>
        <w:rPr>
          <w:rFonts w:ascii="Times New Roman"/>
          <w:color w:val="auto"/>
          <w:szCs w:val="24"/>
        </w:rPr>
        <w:t>（2）贯彻执行试生产期建立的环保工作机构和工作制度以及监视性制度，并不断总结经验提高管理水平。</w:t>
      </w:r>
    </w:p>
    <w:p>
      <w:pPr>
        <w:pStyle w:val="4"/>
        <w:tabs>
          <w:tab w:val="left" w:pos="840"/>
        </w:tabs>
        <w:spacing w:line="360" w:lineRule="auto"/>
        <w:ind w:firstLine="454"/>
        <w:jc w:val="both"/>
        <w:rPr>
          <w:rFonts w:ascii="Times New Roman"/>
          <w:color w:val="auto"/>
          <w:szCs w:val="24"/>
        </w:rPr>
      </w:pPr>
      <w:r>
        <w:rPr>
          <w:rFonts w:ascii="Times New Roman"/>
          <w:color w:val="auto"/>
          <w:szCs w:val="24"/>
        </w:rPr>
        <w:t>（3）定期向当地环境保护部门汇报工作情况及污染治理设施运行情况和监视性的监测结果。</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599" w:name="_Toc265160098"/>
      <w:bookmarkStart w:id="600" w:name="_Toc205009388"/>
      <w:bookmarkStart w:id="601" w:name="_Toc218962698"/>
      <w:bookmarkStart w:id="602" w:name="_Toc10098"/>
      <w:bookmarkStart w:id="603" w:name="_Toc27694"/>
      <w:bookmarkStart w:id="604" w:name="_Toc15793"/>
      <w:r>
        <w:rPr>
          <w:rFonts w:ascii="Times New Roman" w:hAnsi="Times New Roman" w:cs="Times New Roman" w:eastAsiaTheme="majorEastAsia"/>
          <w:bCs/>
          <w:color w:val="auto"/>
          <w:kern w:val="2"/>
          <w:szCs w:val="32"/>
          <w:lang w:val="en-US" w:eastAsia="zh-CN"/>
        </w:rPr>
        <w:t>监测</w:t>
      </w:r>
      <w:bookmarkEnd w:id="599"/>
      <w:bookmarkEnd w:id="600"/>
      <w:bookmarkEnd w:id="601"/>
      <w:r>
        <w:rPr>
          <w:rFonts w:ascii="Times New Roman" w:hAnsi="Times New Roman" w:cs="Times New Roman" w:eastAsiaTheme="majorEastAsia"/>
          <w:bCs/>
          <w:color w:val="auto"/>
          <w:kern w:val="2"/>
          <w:szCs w:val="32"/>
          <w:lang w:val="en-US" w:eastAsia="zh-CN"/>
        </w:rPr>
        <w:t>计划</w:t>
      </w:r>
      <w:bookmarkEnd w:id="602"/>
      <w:bookmarkEnd w:id="603"/>
      <w:bookmarkEnd w:id="604"/>
    </w:p>
    <w:p>
      <w:pPr>
        <w:spacing w:line="460" w:lineRule="exact"/>
        <w:ind w:firstLine="480" w:firstLineChars="200"/>
        <w:rPr>
          <w:snapToGrid w:val="0"/>
          <w:color w:val="auto"/>
          <w:sz w:val="24"/>
        </w:rPr>
      </w:pPr>
      <w:r>
        <w:rPr>
          <w:snapToGrid w:val="0"/>
          <w:color w:val="auto"/>
          <w:sz w:val="24"/>
        </w:rPr>
        <w:t>为切实控制本工程治理设施的有效地运行和“达标排放”，落实排污总量控制制度，根据《建设项目环境保护管理条例》第八条的规定，本环评对建设项目实施环境监测建议。</w:t>
      </w:r>
    </w:p>
    <w:p>
      <w:pPr>
        <w:spacing w:line="460" w:lineRule="exact"/>
        <w:ind w:firstLine="480" w:firstLineChars="200"/>
        <w:rPr>
          <w:snapToGrid w:val="0"/>
          <w:color w:val="auto"/>
          <w:sz w:val="24"/>
        </w:rPr>
      </w:pPr>
      <w:r>
        <w:rPr>
          <w:rFonts w:hint="eastAsia"/>
          <w:snapToGrid w:val="0"/>
          <w:color w:val="auto"/>
          <w:sz w:val="24"/>
        </w:rPr>
        <w:t>本项目废水不外排，故不对废水进行监测。</w:t>
      </w:r>
      <w:r>
        <w:rPr>
          <w:snapToGrid w:val="0"/>
          <w:color w:val="auto"/>
          <w:sz w:val="24"/>
        </w:rPr>
        <w:t>项目营运期环境监测计划参考</w:t>
      </w:r>
      <w:r>
        <w:rPr>
          <w:rFonts w:hint="eastAsia"/>
          <w:snapToGrid w:val="0"/>
          <w:color w:val="auto"/>
          <w:sz w:val="24"/>
        </w:rPr>
        <w:t>《排污许可证申请与核发技术规范 畜禽养殖行业》（HJ1029-2019），</w:t>
      </w:r>
      <w:r>
        <w:rPr>
          <w:snapToGrid w:val="0"/>
          <w:color w:val="auto"/>
          <w:sz w:val="24"/>
        </w:rPr>
        <w:t>建议见下表。</w:t>
      </w:r>
    </w:p>
    <w:p>
      <w:pPr>
        <w:pStyle w:val="23"/>
        <w:keepNext/>
        <w:spacing w:before="120" w:beforeLines="50" w:line="360" w:lineRule="auto"/>
        <w:jc w:val="center"/>
        <w:rPr>
          <w:rFonts w:cs="Times New Roman"/>
          <w:color w:val="auto"/>
        </w:rPr>
      </w:pPr>
      <w:r>
        <w:rPr>
          <w:rFonts w:cs="Times New Roman"/>
          <w:color w:val="auto"/>
        </w:rPr>
        <w:t>表</w:t>
      </w:r>
      <w:r>
        <w:rPr>
          <w:rFonts w:cs="Times New Roman"/>
          <w:color w:val="auto"/>
        </w:rPr>
        <w:fldChar w:fldCharType="begin"/>
      </w:r>
      <w:r>
        <w:rPr>
          <w:rFonts w:cs="Times New Roman"/>
          <w:color w:val="auto"/>
        </w:rPr>
        <w:instrText xml:space="preserve"> STYLEREF 1 \s </w:instrText>
      </w:r>
      <w:r>
        <w:rPr>
          <w:rFonts w:cs="Times New Roman"/>
          <w:color w:val="auto"/>
        </w:rPr>
        <w:fldChar w:fldCharType="separate"/>
      </w:r>
      <w:r>
        <w:rPr>
          <w:rFonts w:cs="Times New Roman"/>
          <w:color w:val="auto"/>
        </w:rPr>
        <w:t>8</w:t>
      </w:r>
      <w:r>
        <w:rPr>
          <w:rFonts w:cs="Times New Roman"/>
          <w:color w:val="auto"/>
        </w:rPr>
        <w:fldChar w:fldCharType="end"/>
      </w:r>
      <w:r>
        <w:rPr>
          <w:rFonts w:hint="eastAsia" w:cs="Times New Roman"/>
          <w:color w:val="auto"/>
        </w:rPr>
        <w:t>.2</w:t>
      </w:r>
      <w:r>
        <w:rPr>
          <w:rFonts w:cs="Times New Roman"/>
          <w:color w:val="auto"/>
        </w:rPr>
        <w:noBreakHyphen/>
      </w:r>
      <w:r>
        <w:rPr>
          <w:rFonts w:cs="Times New Roman"/>
          <w:color w:val="auto"/>
        </w:rPr>
        <w:fldChar w:fldCharType="begin"/>
      </w:r>
      <w:r>
        <w:rPr>
          <w:rFonts w:cs="Times New Roman"/>
          <w:color w:val="auto"/>
        </w:rPr>
        <w:instrText xml:space="preserve"> SEQ 表 \* ARABIC \s 1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环境监测计划</w:t>
      </w:r>
    </w:p>
    <w:tbl>
      <w:tblPr>
        <w:tblStyle w:val="8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99"/>
        <w:gridCol w:w="1843"/>
        <w:gridCol w:w="1134"/>
        <w:gridCol w:w="2775"/>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9" w:type="dxa"/>
            <w:gridSpan w:val="2"/>
            <w:shd w:val="clear" w:color="auto" w:fill="D9D9D9"/>
            <w:vAlign w:val="center"/>
          </w:tcPr>
          <w:p>
            <w:pPr>
              <w:keepNext w:val="0"/>
              <w:keepLines w:val="0"/>
              <w:suppressLineNumbers w:val="0"/>
              <w:spacing w:before="0" w:beforeAutospacing="0" w:after="0" w:afterAutospacing="0" w:line="320" w:lineRule="exact"/>
              <w:ind w:left="0" w:right="0"/>
              <w:jc w:val="center"/>
              <w:rPr>
                <w:rFonts w:hint="default"/>
                <w:b/>
                <w:snapToGrid w:val="0"/>
                <w:color w:val="auto"/>
              </w:rPr>
            </w:pPr>
            <w:r>
              <w:rPr>
                <w:rFonts w:hint="default"/>
                <w:b/>
                <w:snapToGrid w:val="0"/>
                <w:color w:val="auto"/>
              </w:rPr>
              <w:t>污染物种类</w:t>
            </w:r>
          </w:p>
        </w:tc>
        <w:tc>
          <w:tcPr>
            <w:tcW w:w="1843" w:type="dxa"/>
            <w:shd w:val="clear" w:color="auto" w:fill="D9D9D9"/>
            <w:vAlign w:val="center"/>
          </w:tcPr>
          <w:p>
            <w:pPr>
              <w:keepNext w:val="0"/>
              <w:keepLines w:val="0"/>
              <w:suppressLineNumbers w:val="0"/>
              <w:spacing w:before="0" w:beforeAutospacing="0" w:after="0" w:afterAutospacing="0" w:line="320" w:lineRule="exact"/>
              <w:ind w:left="0" w:right="0"/>
              <w:jc w:val="center"/>
              <w:rPr>
                <w:rFonts w:hint="default"/>
                <w:b/>
                <w:snapToGrid w:val="0"/>
                <w:color w:val="auto"/>
              </w:rPr>
            </w:pPr>
            <w:r>
              <w:rPr>
                <w:rFonts w:hint="default"/>
                <w:b/>
                <w:snapToGrid w:val="0"/>
                <w:color w:val="auto"/>
              </w:rPr>
              <w:t>监测位置</w:t>
            </w:r>
          </w:p>
        </w:tc>
        <w:tc>
          <w:tcPr>
            <w:tcW w:w="1134" w:type="dxa"/>
            <w:shd w:val="clear" w:color="auto" w:fill="D9D9D9"/>
            <w:vAlign w:val="center"/>
          </w:tcPr>
          <w:p>
            <w:pPr>
              <w:keepNext w:val="0"/>
              <w:keepLines w:val="0"/>
              <w:suppressLineNumbers w:val="0"/>
              <w:spacing w:before="0" w:beforeAutospacing="0" w:after="0" w:afterAutospacing="0" w:line="320" w:lineRule="exact"/>
              <w:ind w:left="0" w:right="0"/>
              <w:jc w:val="center"/>
              <w:rPr>
                <w:rFonts w:hint="default"/>
                <w:b/>
                <w:snapToGrid w:val="0"/>
                <w:color w:val="auto"/>
              </w:rPr>
            </w:pPr>
            <w:r>
              <w:rPr>
                <w:rFonts w:hint="default"/>
                <w:b/>
                <w:snapToGrid w:val="0"/>
                <w:color w:val="auto"/>
              </w:rPr>
              <w:t>测点数</w:t>
            </w:r>
          </w:p>
        </w:tc>
        <w:tc>
          <w:tcPr>
            <w:tcW w:w="2775" w:type="dxa"/>
            <w:shd w:val="clear" w:color="auto" w:fill="D9D9D9"/>
            <w:vAlign w:val="center"/>
          </w:tcPr>
          <w:p>
            <w:pPr>
              <w:keepNext w:val="0"/>
              <w:keepLines w:val="0"/>
              <w:suppressLineNumbers w:val="0"/>
              <w:spacing w:before="0" w:beforeAutospacing="0" w:after="0" w:afterAutospacing="0" w:line="320" w:lineRule="exact"/>
              <w:ind w:left="0" w:right="0"/>
              <w:jc w:val="center"/>
              <w:rPr>
                <w:rFonts w:hint="default"/>
                <w:b/>
                <w:snapToGrid w:val="0"/>
                <w:color w:val="auto"/>
              </w:rPr>
            </w:pPr>
            <w:r>
              <w:rPr>
                <w:rFonts w:hint="default"/>
                <w:b/>
                <w:snapToGrid w:val="0"/>
                <w:color w:val="auto"/>
              </w:rPr>
              <w:t>监测项目</w:t>
            </w:r>
          </w:p>
        </w:tc>
        <w:tc>
          <w:tcPr>
            <w:tcW w:w="961" w:type="dxa"/>
            <w:shd w:val="clear" w:color="auto" w:fill="D9D9D9"/>
            <w:vAlign w:val="center"/>
          </w:tcPr>
          <w:p>
            <w:pPr>
              <w:keepNext w:val="0"/>
              <w:keepLines w:val="0"/>
              <w:suppressLineNumbers w:val="0"/>
              <w:spacing w:before="0" w:beforeAutospacing="0" w:after="0" w:afterAutospacing="0" w:line="320" w:lineRule="exact"/>
              <w:ind w:left="0" w:right="0"/>
              <w:jc w:val="center"/>
              <w:rPr>
                <w:rFonts w:hint="default"/>
                <w:b/>
                <w:snapToGrid w:val="0"/>
                <w:color w:val="auto"/>
              </w:rPr>
            </w:pPr>
            <w:r>
              <w:rPr>
                <w:rFonts w:hint="default"/>
                <w:b/>
                <w:snapToGrid w:val="0"/>
                <w:color w:val="auto"/>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default"/>
                <w:snapToGrid w:val="0"/>
                <w:color w:val="auto"/>
              </w:rPr>
              <w:t>废气</w:t>
            </w:r>
          </w:p>
        </w:tc>
        <w:tc>
          <w:tcPr>
            <w:tcW w:w="1099" w:type="dxa"/>
          </w:tcPr>
          <w:p>
            <w:pPr>
              <w:keepNext w:val="0"/>
              <w:keepLines w:val="0"/>
              <w:suppressLineNumbers w:val="0"/>
              <w:spacing w:before="0" w:beforeAutospacing="0" w:after="0" w:afterAutospacing="0" w:line="320" w:lineRule="exact"/>
              <w:ind w:left="0" w:right="0"/>
              <w:jc w:val="center"/>
              <w:rPr>
                <w:rFonts w:hint="default"/>
                <w:color w:val="auto"/>
              </w:rPr>
            </w:pPr>
            <w:r>
              <w:rPr>
                <w:rFonts w:hint="eastAsia"/>
                <w:color w:val="auto"/>
              </w:rPr>
              <w:t>恶臭</w:t>
            </w:r>
          </w:p>
        </w:tc>
        <w:tc>
          <w:tcPr>
            <w:tcW w:w="1843"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eastAsia"/>
                <w:color w:val="auto"/>
              </w:rPr>
              <w:t>厂界四周</w:t>
            </w:r>
          </w:p>
        </w:tc>
        <w:tc>
          <w:tcPr>
            <w:tcW w:w="1134"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eastAsia"/>
                <w:snapToGrid w:val="0"/>
                <w:color w:val="auto"/>
              </w:rPr>
              <w:t>4</w:t>
            </w:r>
          </w:p>
        </w:tc>
        <w:tc>
          <w:tcPr>
            <w:tcW w:w="2775"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eastAsia"/>
                <w:snapToGrid w:val="0"/>
                <w:color w:val="auto"/>
              </w:rPr>
              <w:t>臭气浓度</w:t>
            </w:r>
          </w:p>
        </w:tc>
        <w:tc>
          <w:tcPr>
            <w:tcW w:w="961"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default"/>
                <w:snapToGrid w:val="0"/>
                <w:color w:val="auto"/>
              </w:rPr>
              <w:t>1次/</w:t>
            </w:r>
            <w:r>
              <w:rPr>
                <w:rFonts w:hint="eastAsia"/>
                <w:snapToGrid w:val="0"/>
                <w:color w:val="auto"/>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9" w:type="dxa"/>
            <w:gridSpan w:val="2"/>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default"/>
                <w:snapToGrid w:val="0"/>
                <w:color w:val="auto"/>
              </w:rPr>
              <w:t>噪声</w:t>
            </w:r>
          </w:p>
        </w:tc>
        <w:tc>
          <w:tcPr>
            <w:tcW w:w="1843"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olor w:val="auto"/>
              </w:rPr>
            </w:pPr>
            <w:r>
              <w:rPr>
                <w:rFonts w:hint="eastAsia"/>
                <w:color w:val="auto"/>
              </w:rPr>
              <w:t>厂界四周</w:t>
            </w:r>
          </w:p>
        </w:tc>
        <w:tc>
          <w:tcPr>
            <w:tcW w:w="1134"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eastAsia"/>
                <w:snapToGrid w:val="0"/>
                <w:color w:val="auto"/>
              </w:rPr>
              <w:t>4</w:t>
            </w:r>
          </w:p>
        </w:tc>
        <w:tc>
          <w:tcPr>
            <w:tcW w:w="2775"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olor w:val="auto"/>
                <w:kern w:val="0"/>
              </w:rPr>
            </w:pPr>
            <w:r>
              <w:rPr>
                <w:rFonts w:hint="default"/>
                <w:color w:val="auto"/>
                <w:kern w:val="0"/>
              </w:rPr>
              <w:t>等效</w:t>
            </w:r>
            <w:r>
              <w:rPr>
                <w:rFonts w:hint="eastAsia"/>
                <w:color w:val="auto"/>
                <w:kern w:val="0"/>
              </w:rPr>
              <w:t>A声级</w:t>
            </w:r>
          </w:p>
        </w:tc>
        <w:tc>
          <w:tcPr>
            <w:tcW w:w="961"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default"/>
                <w:snapToGrid w:val="0"/>
                <w:color w:val="auto"/>
              </w:rPr>
              <w:t>1次/</w:t>
            </w:r>
            <w:r>
              <w:rPr>
                <w:rFonts w:hint="eastAsia"/>
                <w:snapToGrid w:val="0"/>
                <w:color w:val="auto"/>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9" w:type="dxa"/>
            <w:gridSpan w:val="2"/>
            <w:shd w:val="clear" w:color="auto" w:fill="auto"/>
            <w:vAlign w:val="center"/>
          </w:tcPr>
          <w:p>
            <w:pPr>
              <w:pStyle w:val="155"/>
              <w:keepNext w:val="0"/>
              <w:keepLines w:val="0"/>
              <w:suppressLineNumbers w:val="0"/>
              <w:spacing w:before="0" w:beforeAutospacing="0" w:after="0" w:afterAutospacing="0"/>
              <w:ind w:left="0" w:right="0"/>
              <w:jc w:val="center"/>
              <w:rPr>
                <w:rFonts w:hint="default"/>
                <w:snapToGrid w:val="0"/>
                <w:color w:val="auto"/>
                <w:szCs w:val="20"/>
              </w:rPr>
            </w:pPr>
            <w:r>
              <w:rPr>
                <w:rFonts w:hint="eastAsia" w:hAnsi="宋体"/>
                <w:color w:val="auto"/>
                <w:sz w:val="21"/>
                <w:szCs w:val="21"/>
              </w:rPr>
              <w:t>废水</w:t>
            </w:r>
          </w:p>
        </w:tc>
        <w:tc>
          <w:tcPr>
            <w:tcW w:w="1843" w:type="dxa"/>
            <w:shd w:val="clear" w:color="auto" w:fill="auto"/>
            <w:vAlign w:val="center"/>
          </w:tcPr>
          <w:p>
            <w:pPr>
              <w:pStyle w:val="155"/>
              <w:keepNext w:val="0"/>
              <w:keepLines w:val="0"/>
              <w:suppressLineNumbers w:val="0"/>
              <w:spacing w:before="0" w:beforeAutospacing="0" w:after="0" w:afterAutospacing="0"/>
              <w:ind w:left="0" w:right="0"/>
              <w:jc w:val="center"/>
              <w:rPr>
                <w:rFonts w:hint="default"/>
                <w:color w:val="auto"/>
                <w:szCs w:val="20"/>
              </w:rPr>
            </w:pPr>
            <w:r>
              <w:rPr>
                <w:rFonts w:hint="eastAsia" w:cs="宋体"/>
                <w:color w:val="auto"/>
                <w:sz w:val="21"/>
                <w:szCs w:val="21"/>
              </w:rPr>
              <w:t>污水处理系统进口及出口</w:t>
            </w:r>
          </w:p>
        </w:tc>
        <w:tc>
          <w:tcPr>
            <w:tcW w:w="1134"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eastAsia"/>
                <w:snapToGrid w:val="0"/>
                <w:color w:val="auto"/>
              </w:rPr>
              <w:t>1</w:t>
            </w:r>
          </w:p>
        </w:tc>
        <w:tc>
          <w:tcPr>
            <w:tcW w:w="2775"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eastAsia="宋体"/>
                <w:color w:val="auto"/>
                <w:kern w:val="0"/>
                <w:lang w:val="en-US" w:eastAsia="zh-CN"/>
              </w:rPr>
            </w:pPr>
            <w:r>
              <w:rPr>
                <w:rFonts w:hint="eastAsia" w:hAnsi="宋体"/>
                <w:color w:val="auto"/>
                <w:sz w:val="21"/>
                <w:szCs w:val="21"/>
              </w:rPr>
              <w:t>悬浮物、TP、粪大肠菌群</w:t>
            </w:r>
            <w:r>
              <w:rPr>
                <w:rFonts w:hint="eastAsia" w:hAnsi="宋体"/>
                <w:color w:val="auto"/>
                <w:sz w:val="21"/>
                <w:szCs w:val="21"/>
                <w:lang w:eastAsia="zh-CN"/>
              </w:rPr>
              <w:t>、</w:t>
            </w:r>
            <w:r>
              <w:rPr>
                <w:rFonts w:hint="eastAsia" w:hAnsi="宋体"/>
                <w:color w:val="auto"/>
                <w:sz w:val="21"/>
                <w:szCs w:val="21"/>
              </w:rPr>
              <w:t>流量、COD</w:t>
            </w:r>
            <w:r>
              <w:rPr>
                <w:rFonts w:hint="eastAsia" w:hAnsi="宋体"/>
                <w:color w:val="auto"/>
                <w:sz w:val="21"/>
                <w:szCs w:val="21"/>
                <w:lang w:val="en-US" w:eastAsia="zh-CN"/>
              </w:rPr>
              <w:t>cr</w:t>
            </w:r>
            <w:r>
              <w:rPr>
                <w:rFonts w:hint="eastAsia" w:hAnsi="宋体"/>
                <w:color w:val="auto"/>
                <w:sz w:val="21"/>
                <w:szCs w:val="21"/>
                <w:lang w:eastAsia="zh-CN"/>
              </w:rPr>
              <w:t>、</w:t>
            </w:r>
            <w:r>
              <w:rPr>
                <w:rFonts w:hint="eastAsia" w:hAnsi="宋体"/>
                <w:color w:val="auto"/>
                <w:sz w:val="21"/>
                <w:szCs w:val="21"/>
                <w:lang w:val="en-US" w:eastAsia="zh-CN"/>
              </w:rPr>
              <w:t>BOD</w:t>
            </w:r>
            <w:r>
              <w:rPr>
                <w:rFonts w:hint="eastAsia" w:hAnsi="宋体"/>
                <w:color w:val="auto"/>
                <w:sz w:val="21"/>
                <w:szCs w:val="21"/>
                <w:vertAlign w:val="subscript"/>
                <w:lang w:val="en-US" w:eastAsia="zh-CN"/>
              </w:rPr>
              <w:t>5</w:t>
            </w:r>
            <w:r>
              <w:rPr>
                <w:rFonts w:hint="eastAsia" w:hAnsi="宋体"/>
                <w:color w:val="auto"/>
                <w:sz w:val="21"/>
                <w:szCs w:val="21"/>
              </w:rPr>
              <w:t>、氨氮</w:t>
            </w:r>
            <w:r>
              <w:rPr>
                <w:rFonts w:hint="eastAsia" w:hAnsi="宋体"/>
                <w:color w:val="auto"/>
                <w:sz w:val="21"/>
                <w:szCs w:val="21"/>
                <w:lang w:eastAsia="zh-CN"/>
              </w:rPr>
              <w:t>、</w:t>
            </w:r>
            <w:r>
              <w:rPr>
                <w:rFonts w:hint="eastAsia" w:hAnsi="宋体"/>
                <w:color w:val="auto"/>
                <w:sz w:val="21"/>
                <w:szCs w:val="21"/>
                <w:lang w:val="en-US" w:eastAsia="zh-CN"/>
              </w:rPr>
              <w:t>蛔虫卵</w:t>
            </w:r>
          </w:p>
        </w:tc>
        <w:tc>
          <w:tcPr>
            <w:tcW w:w="961"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snapToGrid w:val="0"/>
                <w:color w:val="auto"/>
              </w:rPr>
            </w:pPr>
            <w:r>
              <w:rPr>
                <w:rFonts w:hint="eastAsia"/>
                <w:snapToGrid w:val="0"/>
                <w:color w:val="auto"/>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9" w:type="dxa"/>
            <w:gridSpan w:val="2"/>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snapToGrid w:val="0"/>
                <w:color w:val="auto"/>
                <w:kern w:val="2"/>
                <w:sz w:val="21"/>
                <w:szCs w:val="24"/>
                <w:lang w:val="en-US" w:eastAsia="zh-CN" w:bidi="ar-SA"/>
              </w:rPr>
            </w:pPr>
            <w:r>
              <w:rPr>
                <w:rFonts w:hint="default"/>
                <w:snapToGrid w:val="0"/>
                <w:color w:val="auto"/>
              </w:rPr>
              <w:t>地下水</w:t>
            </w:r>
          </w:p>
        </w:tc>
        <w:tc>
          <w:tcPr>
            <w:tcW w:w="1843"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地下水监测井</w:t>
            </w:r>
          </w:p>
        </w:tc>
        <w:tc>
          <w:tcPr>
            <w:tcW w:w="1134"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napToGrid w:val="0"/>
                <w:color w:val="auto"/>
                <w:kern w:val="2"/>
                <w:sz w:val="21"/>
                <w:szCs w:val="24"/>
                <w:lang w:val="en-US" w:eastAsia="zh-CN" w:bidi="ar-SA"/>
              </w:rPr>
            </w:pPr>
            <w:r>
              <w:rPr>
                <w:rFonts w:hint="eastAsia"/>
                <w:snapToGrid w:val="0"/>
                <w:color w:val="auto"/>
              </w:rPr>
              <w:t>1</w:t>
            </w:r>
          </w:p>
        </w:tc>
        <w:tc>
          <w:tcPr>
            <w:tcW w:w="2775"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kern w:val="0"/>
                <w:sz w:val="21"/>
                <w:szCs w:val="24"/>
                <w:lang w:val="en-US" w:eastAsia="zh-CN" w:bidi="ar-SA"/>
              </w:rPr>
            </w:pPr>
            <w:r>
              <w:rPr>
                <w:rFonts w:hint="eastAsia" w:ascii="宋体" w:cs="宋体"/>
                <w:color w:val="auto"/>
                <w:kern w:val="0"/>
              </w:rPr>
              <w:t>氨氮、</w:t>
            </w:r>
            <w:r>
              <w:rPr>
                <w:rFonts w:hint="eastAsia" w:ascii="宋体" w:hAnsi="宋体" w:cs="宋体"/>
                <w:color w:val="auto"/>
                <w:kern w:val="0"/>
              </w:rPr>
              <w:t>耗氧量</w:t>
            </w:r>
            <w:r>
              <w:rPr>
                <w:rFonts w:hint="eastAsia" w:ascii="宋体" w:cs="宋体"/>
                <w:color w:val="auto"/>
                <w:kern w:val="0"/>
              </w:rPr>
              <w:t>、硝酸盐</w:t>
            </w:r>
          </w:p>
        </w:tc>
        <w:tc>
          <w:tcPr>
            <w:tcW w:w="961"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napToGrid w:val="0"/>
                <w:color w:val="auto"/>
                <w:kern w:val="2"/>
                <w:sz w:val="21"/>
                <w:szCs w:val="24"/>
                <w:lang w:val="en-US" w:eastAsia="zh-CN" w:bidi="ar-SA"/>
              </w:rPr>
            </w:pPr>
            <w:r>
              <w:rPr>
                <w:rFonts w:hint="eastAsia"/>
                <w:snapToGrid w:val="0"/>
                <w:color w:val="auto"/>
              </w:rPr>
              <w:t>1次/年</w:t>
            </w:r>
          </w:p>
        </w:tc>
      </w:tr>
    </w:tbl>
    <w:p>
      <w:pPr>
        <w:spacing w:line="360" w:lineRule="auto"/>
        <w:ind w:firstLine="540"/>
        <w:jc w:val="center"/>
        <w:rPr>
          <w:rFonts w:eastAsia="黑体"/>
          <w:color w:val="auto"/>
        </w:rPr>
      </w:pPr>
    </w:p>
    <w:p>
      <w:pPr>
        <w:pStyle w:val="180"/>
        <w:rPr>
          <w:rFonts w:hint="default" w:ascii="Times New Roman" w:hAnsi="Times New Roman" w:cs="Times New Roman" w:eastAsiaTheme="majorEastAsia"/>
          <w:b/>
          <w:bCs w:val="0"/>
          <w:color w:val="auto"/>
          <w:sz w:val="24"/>
          <w:szCs w:val="24"/>
        </w:rPr>
      </w:pPr>
      <w:bookmarkStart w:id="605" w:name="_Toc26779"/>
      <w:bookmarkStart w:id="606" w:name="_Toc369334924"/>
      <w:bookmarkStart w:id="607" w:name="_Toc369197900"/>
      <w:bookmarkStart w:id="608" w:name="_Toc369191730"/>
      <w:r>
        <w:rPr>
          <w:rFonts w:hint="default" w:ascii="Times New Roman" w:hAnsi="Times New Roman" w:cs="Times New Roman" w:eastAsiaTheme="majorEastAsia"/>
          <w:b/>
          <w:bCs w:val="0"/>
          <w:color w:val="auto"/>
          <w:sz w:val="24"/>
          <w:szCs w:val="24"/>
        </w:rPr>
        <w:t>环境监测管理</w:t>
      </w:r>
      <w:bookmarkEnd w:id="605"/>
      <w:bookmarkEnd w:id="606"/>
      <w:bookmarkEnd w:id="607"/>
      <w:bookmarkEnd w:id="608"/>
    </w:p>
    <w:p>
      <w:pPr>
        <w:spacing w:line="360" w:lineRule="auto"/>
        <w:ind w:firstLine="539"/>
        <w:rPr>
          <w:color w:val="auto"/>
          <w:sz w:val="24"/>
        </w:rPr>
      </w:pPr>
      <w:r>
        <w:rPr>
          <w:color w:val="auto"/>
          <w:sz w:val="24"/>
        </w:rPr>
        <w:t>企业设的环保机构，对人员作相应的培训，应建立严格的监测制度：</w:t>
      </w:r>
    </w:p>
    <w:p>
      <w:pPr>
        <w:spacing w:line="360" w:lineRule="auto"/>
        <w:ind w:firstLine="539"/>
        <w:rPr>
          <w:color w:val="auto"/>
          <w:sz w:val="24"/>
        </w:rPr>
      </w:pPr>
      <w:r>
        <w:rPr>
          <w:color w:val="auto"/>
          <w:sz w:val="24"/>
        </w:rPr>
        <w:t>加强生产管理，杜绝生产过程中的跑、冒、滴、漏，定期对设备、管道和治污设施进行检修和维护；</w:t>
      </w:r>
    </w:p>
    <w:p>
      <w:pPr>
        <w:spacing w:line="360" w:lineRule="auto"/>
        <w:ind w:firstLine="539"/>
        <w:rPr>
          <w:color w:val="auto"/>
          <w:sz w:val="24"/>
        </w:rPr>
      </w:pPr>
      <w:r>
        <w:rPr>
          <w:color w:val="auto"/>
          <w:sz w:val="24"/>
        </w:rPr>
        <w:t>监测人员应培训上岗或在当地环境监测部门指导下进行监测工作，并将管理人员编制纳入项目环境管理机构；</w:t>
      </w:r>
    </w:p>
    <w:p>
      <w:pPr>
        <w:spacing w:line="360" w:lineRule="auto"/>
        <w:ind w:firstLine="539"/>
        <w:rPr>
          <w:color w:val="auto"/>
          <w:sz w:val="24"/>
        </w:rPr>
      </w:pPr>
      <w:r>
        <w:rPr>
          <w:color w:val="auto"/>
          <w:sz w:val="24"/>
        </w:rPr>
        <w:t>提供的监测数据应达到具有代表性、完整性、精密性、准确性和可比性；</w:t>
      </w:r>
    </w:p>
    <w:p>
      <w:pPr>
        <w:spacing w:line="360" w:lineRule="auto"/>
        <w:ind w:firstLine="539"/>
        <w:rPr>
          <w:color w:val="auto"/>
          <w:sz w:val="24"/>
        </w:rPr>
      </w:pPr>
      <w:r>
        <w:rPr>
          <w:color w:val="auto"/>
          <w:sz w:val="24"/>
        </w:rPr>
        <w:t>建立原始记录、监测分析报告及试验数据档案；</w:t>
      </w:r>
    </w:p>
    <w:p>
      <w:pPr>
        <w:spacing w:line="360" w:lineRule="auto"/>
        <w:ind w:firstLine="539"/>
        <w:rPr>
          <w:color w:val="auto"/>
          <w:sz w:val="24"/>
        </w:rPr>
      </w:pPr>
      <w:r>
        <w:rPr>
          <w:color w:val="auto"/>
          <w:sz w:val="24"/>
        </w:rPr>
        <w:t>取得的各种数据应有专人保管，原始记录应保存一年，监测分析数据及试验数据应长期保存；数据必须经核实及技术负责人签字后方可保存或上报。</w:t>
      </w:r>
      <w:r>
        <w:rPr>
          <w:color w:val="auto"/>
          <w:sz w:val="24"/>
        </w:rPr>
        <w:br w:type="page"/>
      </w:r>
    </w:p>
    <w:p>
      <w:pPr>
        <w:pStyle w:val="5"/>
        <w:rPr>
          <w:rFonts w:hint="eastAsia" w:asciiTheme="majorEastAsia" w:hAnsiTheme="majorEastAsia" w:eastAsiaTheme="majorEastAsia" w:cstheme="majorEastAsia"/>
          <w:b/>
          <w:bCs/>
          <w:color w:val="auto"/>
          <w:sz w:val="32"/>
          <w:szCs w:val="32"/>
        </w:rPr>
      </w:pPr>
      <w:bookmarkStart w:id="609" w:name="_Toc27061"/>
      <w:bookmarkStart w:id="610" w:name="_Toc343245364"/>
      <w:bookmarkStart w:id="611" w:name="_Toc24289"/>
      <w:bookmarkStart w:id="612" w:name="_Toc30902"/>
      <w:r>
        <w:rPr>
          <w:rFonts w:hint="eastAsia" w:asciiTheme="majorEastAsia" w:hAnsiTheme="majorEastAsia" w:eastAsiaTheme="majorEastAsia" w:cstheme="majorEastAsia"/>
          <w:b/>
          <w:bCs/>
          <w:color w:val="auto"/>
          <w:sz w:val="32"/>
          <w:szCs w:val="32"/>
        </w:rPr>
        <w:t>环境影响评价结论</w:t>
      </w:r>
      <w:bookmarkEnd w:id="609"/>
      <w:bookmarkEnd w:id="610"/>
      <w:bookmarkEnd w:id="611"/>
      <w:bookmarkEnd w:id="612"/>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13" w:name="_Toc18032"/>
      <w:bookmarkStart w:id="614" w:name="_Toc31014"/>
      <w:bookmarkStart w:id="615" w:name="_Toc29955"/>
      <w:r>
        <w:rPr>
          <w:rFonts w:ascii="Times New Roman" w:hAnsi="Times New Roman" w:cs="Times New Roman" w:eastAsiaTheme="majorEastAsia"/>
          <w:bCs/>
          <w:color w:val="auto"/>
          <w:kern w:val="2"/>
          <w:szCs w:val="32"/>
          <w:lang w:val="en-US" w:eastAsia="zh-CN"/>
        </w:rPr>
        <w:t>建设概况</w:t>
      </w:r>
      <w:bookmarkEnd w:id="613"/>
      <w:bookmarkEnd w:id="614"/>
      <w:bookmarkEnd w:id="615"/>
    </w:p>
    <w:p>
      <w:pPr>
        <w:pStyle w:val="180"/>
        <w:rPr>
          <w:rFonts w:hint="default" w:ascii="Times New Roman" w:hAnsi="Times New Roman" w:cs="Times New Roman" w:eastAsiaTheme="majorEastAsia"/>
          <w:b/>
          <w:bCs w:val="0"/>
          <w:color w:val="auto"/>
          <w:sz w:val="24"/>
          <w:szCs w:val="24"/>
        </w:rPr>
      </w:pPr>
      <w:bookmarkStart w:id="616" w:name="_Toc25169"/>
      <w:r>
        <w:rPr>
          <w:rFonts w:hint="default" w:ascii="Times New Roman" w:hAnsi="Times New Roman" w:cs="Times New Roman" w:eastAsiaTheme="majorEastAsia"/>
          <w:b/>
          <w:bCs w:val="0"/>
          <w:color w:val="auto"/>
          <w:sz w:val="24"/>
          <w:szCs w:val="24"/>
        </w:rPr>
        <w:t>项目概况</w:t>
      </w:r>
      <w:bookmarkEnd w:id="616"/>
    </w:p>
    <w:p>
      <w:pPr>
        <w:spacing w:line="360" w:lineRule="auto"/>
        <w:ind w:firstLine="480" w:firstLineChars="200"/>
        <w:rPr>
          <w:color w:val="auto"/>
          <w:sz w:val="24"/>
        </w:rPr>
      </w:pPr>
      <w:r>
        <w:rPr>
          <w:rFonts w:hint="eastAsia"/>
          <w:color w:val="auto"/>
          <w:sz w:val="24"/>
        </w:rPr>
        <w:t>巴中乾兴产业园区建设投资有限公司</w:t>
      </w:r>
      <w:r>
        <w:rPr>
          <w:rFonts w:hint="eastAsia"/>
          <w:color w:val="auto"/>
          <w:sz w:val="24"/>
          <w:lang w:val="en-US" w:eastAsia="zh-CN"/>
        </w:rPr>
        <w:t>成立</w:t>
      </w:r>
      <w:r>
        <w:rPr>
          <w:color w:val="auto"/>
          <w:sz w:val="24"/>
        </w:rPr>
        <w:t>于20</w:t>
      </w:r>
      <w:r>
        <w:rPr>
          <w:rFonts w:hint="eastAsia"/>
          <w:color w:val="auto"/>
          <w:sz w:val="24"/>
          <w:lang w:val="en-US" w:eastAsia="zh-CN"/>
        </w:rPr>
        <w:t>16</w:t>
      </w:r>
      <w:r>
        <w:rPr>
          <w:color w:val="auto"/>
          <w:sz w:val="24"/>
        </w:rPr>
        <w:t>年</w:t>
      </w:r>
      <w:r>
        <w:rPr>
          <w:rFonts w:hint="eastAsia"/>
          <w:color w:val="auto"/>
          <w:sz w:val="24"/>
          <w:lang w:val="en-US" w:eastAsia="zh-CN"/>
        </w:rPr>
        <w:t>4</w:t>
      </w:r>
      <w:r>
        <w:rPr>
          <w:color w:val="auto"/>
          <w:sz w:val="24"/>
        </w:rPr>
        <w:t>月在</w:t>
      </w:r>
      <w:r>
        <w:rPr>
          <w:rFonts w:hint="eastAsia"/>
          <w:color w:val="auto"/>
          <w:sz w:val="24"/>
          <w:lang w:val="en-US" w:eastAsia="zh-CN"/>
        </w:rPr>
        <w:t>巴中市</w:t>
      </w:r>
      <w:r>
        <w:rPr>
          <w:color w:val="auto"/>
          <w:sz w:val="24"/>
        </w:rPr>
        <w:t>注册成立</w:t>
      </w:r>
      <w:r>
        <w:rPr>
          <w:rFonts w:hint="eastAsia"/>
          <w:color w:val="auto"/>
          <w:sz w:val="24"/>
          <w:lang w:eastAsia="zh-CN"/>
        </w:rPr>
        <w:t>，</w:t>
      </w:r>
      <w:r>
        <w:rPr>
          <w:rFonts w:hint="eastAsia"/>
          <w:color w:val="auto"/>
          <w:sz w:val="24"/>
        </w:rPr>
        <w:t>巴中乾兴产业园区建设投资有限公司</w:t>
      </w:r>
      <w:r>
        <w:rPr>
          <w:rFonts w:hint="eastAsia" w:ascii="Times New Roman" w:hAnsi="Times New Roman" w:cs="Times New Roman"/>
          <w:color w:val="auto"/>
          <w:sz w:val="24"/>
          <w:szCs w:val="24"/>
          <w:lang w:eastAsia="zh-CN"/>
        </w:rPr>
        <w:t>拟投资</w:t>
      </w:r>
      <w:r>
        <w:rPr>
          <w:rFonts w:hint="eastAsia" w:cs="Times New Roman"/>
          <w:color w:val="auto"/>
          <w:sz w:val="24"/>
          <w:szCs w:val="24"/>
          <w:lang w:val="en-US" w:eastAsia="zh-CN"/>
        </w:rPr>
        <w:t>19685.37</w:t>
      </w:r>
      <w:r>
        <w:rPr>
          <w:rFonts w:hint="eastAsia" w:ascii="Times New Roman" w:hAnsi="Times New Roman" w:cs="Times New Roman"/>
          <w:color w:val="auto"/>
          <w:sz w:val="24"/>
          <w:szCs w:val="24"/>
          <w:lang w:eastAsia="zh-CN"/>
        </w:rPr>
        <w:t>万元在</w:t>
      </w:r>
      <w:r>
        <w:rPr>
          <w:rFonts w:hint="eastAsia" w:ascii="Times New Roman" w:hAnsi="Times New Roman" w:cs="Times New Roman"/>
          <w:color w:val="auto"/>
          <w:sz w:val="24"/>
          <w:szCs w:val="24"/>
          <w:lang w:val="en-US" w:eastAsia="zh-CN"/>
        </w:rPr>
        <w:t>巴中市</w:t>
      </w:r>
      <w:r>
        <w:rPr>
          <w:rFonts w:hint="eastAsia" w:ascii="Times New Roman" w:hAnsi="Times New Roman" w:cs="Times New Roman"/>
          <w:color w:val="auto"/>
          <w:sz w:val="24"/>
          <w:szCs w:val="24"/>
          <w:lang w:eastAsia="zh-CN"/>
        </w:rPr>
        <w:t>恩阳区群乐镇坳盘村2组社建设“</w:t>
      </w:r>
      <w:r>
        <w:rPr>
          <w:rFonts w:hint="eastAsia"/>
          <w:color w:val="auto"/>
          <w:sz w:val="24"/>
          <w:lang w:eastAsia="zh-CN"/>
        </w:rPr>
        <w:t>恩阳区群乐镇坳盘村巴山肉牛育肥场项目（</w:t>
      </w:r>
      <w:r>
        <w:rPr>
          <w:rFonts w:hint="eastAsia"/>
          <w:color w:val="auto"/>
          <w:sz w:val="24"/>
          <w:lang w:val="en-US" w:eastAsia="zh-CN"/>
        </w:rPr>
        <w:t>以下简称“项目”或“本项目”</w:t>
      </w:r>
      <w:r>
        <w:rPr>
          <w:rFonts w:hint="eastAsia"/>
          <w:color w:val="auto"/>
          <w:sz w:val="24"/>
          <w:lang w:eastAsia="zh-CN"/>
        </w:rPr>
        <w:t>）</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主要建设养殖牛舍、综合用房、干草棚、青贮池、隔离区等配套建设及其他附属设施工程</w:t>
      </w:r>
      <w:r>
        <w:rPr>
          <w:color w:val="auto"/>
          <w:sz w:val="24"/>
        </w:rPr>
        <w:t>。</w:t>
      </w:r>
    </w:p>
    <w:p>
      <w:pPr>
        <w:spacing w:line="360" w:lineRule="auto"/>
        <w:ind w:firstLine="480" w:firstLineChars="200"/>
        <w:rPr>
          <w:color w:val="auto"/>
          <w:sz w:val="24"/>
        </w:rPr>
      </w:pPr>
      <w:r>
        <w:rPr>
          <w:rFonts w:hint="eastAsia"/>
          <w:color w:val="auto"/>
          <w:sz w:val="24"/>
        </w:rPr>
        <w:t>恩阳区发展和改革局</w:t>
      </w:r>
      <w:r>
        <w:rPr>
          <w:color w:val="auto"/>
          <w:sz w:val="24"/>
        </w:rPr>
        <w:t>以</w:t>
      </w:r>
      <w:r>
        <w:rPr>
          <w:rFonts w:hint="eastAsia"/>
          <w:color w:val="auto"/>
          <w:sz w:val="24"/>
        </w:rPr>
        <w:t>项目代码【2208-511903-04-01-331960】</w:t>
      </w:r>
      <w:r>
        <w:rPr>
          <w:color w:val="auto"/>
          <w:sz w:val="24"/>
        </w:rPr>
        <w:t>对本项目予以备案（见附件</w:t>
      </w:r>
      <w:r>
        <w:rPr>
          <w:rFonts w:hint="eastAsia"/>
          <w:color w:val="auto"/>
          <w:sz w:val="24"/>
        </w:rPr>
        <w:t>2</w:t>
      </w:r>
      <w:r>
        <w:rPr>
          <w:color w:val="auto"/>
          <w:sz w:val="24"/>
        </w:rPr>
        <w:t>）</w:t>
      </w:r>
    </w:p>
    <w:p>
      <w:pPr>
        <w:pStyle w:val="180"/>
        <w:rPr>
          <w:rFonts w:hint="default" w:ascii="Times New Roman" w:hAnsi="Times New Roman" w:cs="Times New Roman" w:eastAsiaTheme="majorEastAsia"/>
          <w:b/>
          <w:bCs w:val="0"/>
          <w:color w:val="auto"/>
          <w:sz w:val="24"/>
          <w:szCs w:val="24"/>
        </w:rPr>
      </w:pPr>
      <w:bookmarkStart w:id="617" w:name="_Toc16884"/>
      <w:r>
        <w:rPr>
          <w:rFonts w:hint="default" w:ascii="Times New Roman" w:hAnsi="Times New Roman" w:cs="Times New Roman" w:eastAsiaTheme="majorEastAsia"/>
          <w:b/>
          <w:bCs w:val="0"/>
          <w:color w:val="auto"/>
          <w:sz w:val="24"/>
          <w:szCs w:val="24"/>
        </w:rPr>
        <w:t>项目的产业政策符合性</w:t>
      </w:r>
      <w:bookmarkEnd w:id="617"/>
    </w:p>
    <w:p>
      <w:pPr>
        <w:spacing w:line="360" w:lineRule="auto"/>
        <w:ind w:firstLine="482"/>
        <w:rPr>
          <w:color w:val="auto"/>
          <w:sz w:val="24"/>
        </w:rPr>
      </w:pPr>
      <w:r>
        <w:rPr>
          <w:color w:val="auto"/>
          <w:sz w:val="24"/>
        </w:rPr>
        <w:t>本项目</w:t>
      </w:r>
      <w:r>
        <w:rPr>
          <w:color w:val="auto"/>
          <w:sz w:val="24"/>
          <w:szCs w:val="28"/>
        </w:rPr>
        <w:t>存栏</w:t>
      </w:r>
      <w:r>
        <w:rPr>
          <w:rFonts w:hint="eastAsia"/>
          <w:color w:val="auto"/>
          <w:sz w:val="24"/>
          <w:szCs w:val="28"/>
          <w:lang w:val="en-US" w:eastAsia="zh-CN"/>
        </w:rPr>
        <w:t>9734</w:t>
      </w:r>
      <w:r>
        <w:rPr>
          <w:color w:val="auto"/>
          <w:sz w:val="24"/>
          <w:szCs w:val="28"/>
        </w:rPr>
        <w:t>头肉牛</w:t>
      </w:r>
      <w:r>
        <w:rPr>
          <w:color w:val="auto"/>
          <w:sz w:val="24"/>
        </w:rPr>
        <w:t>，折合生猪</w:t>
      </w:r>
      <w:r>
        <w:rPr>
          <w:rFonts w:hint="eastAsia"/>
          <w:color w:val="auto"/>
          <w:sz w:val="24"/>
          <w:lang w:val="en-US" w:eastAsia="zh-CN"/>
        </w:rPr>
        <w:t>48670</w:t>
      </w:r>
      <w:r>
        <w:rPr>
          <w:color w:val="auto"/>
          <w:sz w:val="24"/>
        </w:rPr>
        <w:t>头</w:t>
      </w:r>
      <w:r>
        <w:rPr>
          <w:rStyle w:val="1231"/>
          <w:rFonts w:cs="Times New Roman"/>
          <w:color w:val="auto"/>
        </w:rPr>
        <w:t>，属于畜牧业（A031</w:t>
      </w:r>
      <w:r>
        <w:rPr>
          <w:rStyle w:val="1231"/>
          <w:rFonts w:hint="eastAsia" w:cs="Times New Roman"/>
          <w:color w:val="auto"/>
          <w:lang w:val="en-US" w:eastAsia="zh-CN"/>
        </w:rPr>
        <w:t>1</w:t>
      </w:r>
      <w:r>
        <w:rPr>
          <w:rStyle w:val="1231"/>
          <w:rFonts w:cs="Times New Roman"/>
          <w:color w:val="auto"/>
        </w:rPr>
        <w:t>—</w:t>
      </w:r>
      <w:r>
        <w:rPr>
          <w:rStyle w:val="1231"/>
          <w:rFonts w:hint="eastAsia" w:cs="Times New Roman"/>
          <w:color w:val="auto"/>
          <w:lang w:val="en-US" w:eastAsia="zh-CN"/>
        </w:rPr>
        <w:t>牛</w:t>
      </w:r>
      <w:r>
        <w:rPr>
          <w:rStyle w:val="1231"/>
          <w:rFonts w:cs="Times New Roman"/>
          <w:color w:val="auto"/>
        </w:rPr>
        <w:t>的饲养），根据中华人民共和国国家发展改革委令第</w:t>
      </w:r>
      <w:r>
        <w:rPr>
          <w:rStyle w:val="1231"/>
          <w:rFonts w:hint="eastAsia" w:cs="Times New Roman"/>
          <w:color w:val="auto"/>
          <w:lang w:val="en-US" w:eastAsia="zh-CN"/>
        </w:rPr>
        <w:t>49</w:t>
      </w:r>
      <w:r>
        <w:rPr>
          <w:rStyle w:val="1231"/>
          <w:rFonts w:cs="Times New Roman"/>
          <w:color w:val="auto"/>
        </w:rPr>
        <w:t>号《产业结构调整指导目录（201</w:t>
      </w:r>
      <w:r>
        <w:rPr>
          <w:rStyle w:val="1231"/>
          <w:rFonts w:hint="eastAsia" w:cs="Times New Roman"/>
          <w:color w:val="auto"/>
          <w:lang w:val="en-US" w:eastAsia="zh-CN"/>
        </w:rPr>
        <w:t>9</w:t>
      </w:r>
      <w:r>
        <w:rPr>
          <w:rStyle w:val="1231"/>
          <w:rFonts w:cs="Times New Roman"/>
          <w:color w:val="auto"/>
        </w:rPr>
        <w:t>年本）》，本项目属第一类“鼓励类”第一条“农林业”第五小款“畜禽标准化规模养殖技术开发与应用”之列</w:t>
      </w:r>
      <w:r>
        <w:rPr>
          <w:color w:val="auto"/>
          <w:sz w:val="24"/>
        </w:rPr>
        <w:t>。</w:t>
      </w:r>
    </w:p>
    <w:p>
      <w:pPr>
        <w:pStyle w:val="180"/>
        <w:rPr>
          <w:rFonts w:hint="default" w:ascii="Times New Roman" w:hAnsi="Times New Roman" w:cs="Times New Roman" w:eastAsiaTheme="majorEastAsia"/>
          <w:b/>
          <w:bCs w:val="0"/>
          <w:color w:val="auto"/>
          <w:sz w:val="24"/>
          <w:szCs w:val="24"/>
        </w:rPr>
      </w:pPr>
      <w:bookmarkStart w:id="618" w:name="_Toc18537"/>
      <w:r>
        <w:rPr>
          <w:rFonts w:hint="default" w:ascii="Times New Roman" w:hAnsi="Times New Roman" w:cs="Times New Roman" w:eastAsiaTheme="majorEastAsia"/>
          <w:b/>
          <w:bCs w:val="0"/>
          <w:color w:val="auto"/>
          <w:sz w:val="24"/>
          <w:szCs w:val="24"/>
        </w:rPr>
        <w:t>项目与规划符合性</w:t>
      </w:r>
      <w:bookmarkEnd w:id="618"/>
    </w:p>
    <w:p>
      <w:pPr>
        <w:spacing w:line="360" w:lineRule="auto"/>
        <w:ind w:firstLine="482"/>
        <w:rPr>
          <w:rStyle w:val="1231"/>
          <w:rFonts w:cs="Times New Roman"/>
          <w:color w:val="auto"/>
          <w:sz w:val="24"/>
          <w:szCs w:val="24"/>
        </w:rPr>
      </w:pPr>
      <w:r>
        <w:rPr>
          <w:rStyle w:val="1231"/>
          <w:rFonts w:cs="Times New Roman"/>
          <w:color w:val="auto"/>
          <w:sz w:val="24"/>
          <w:szCs w:val="24"/>
        </w:rPr>
        <w:t>本项目符合《四川省畜牧业发展“十三五”规划（2016-2020年）》、</w:t>
      </w:r>
      <w:r>
        <w:rPr>
          <w:rFonts w:hint="default"/>
          <w:color w:val="auto"/>
          <w:sz w:val="24"/>
          <w:szCs w:val="24"/>
        </w:rPr>
        <w:t>《四川省畜牧业发展</w:t>
      </w:r>
      <w:r>
        <w:rPr>
          <w:rFonts w:hint="eastAsia"/>
          <w:color w:val="auto"/>
          <w:sz w:val="24"/>
          <w:szCs w:val="24"/>
          <w:lang w:eastAsia="zh-CN"/>
        </w:rPr>
        <w:t>“</w:t>
      </w:r>
      <w:r>
        <w:rPr>
          <w:rFonts w:hint="default"/>
          <w:color w:val="auto"/>
          <w:sz w:val="24"/>
          <w:szCs w:val="24"/>
        </w:rPr>
        <w:t>十三五</w:t>
      </w:r>
      <w:r>
        <w:rPr>
          <w:rFonts w:hint="eastAsia"/>
          <w:color w:val="auto"/>
          <w:sz w:val="24"/>
          <w:szCs w:val="24"/>
          <w:lang w:eastAsia="zh-CN"/>
        </w:rPr>
        <w:t>”</w:t>
      </w:r>
      <w:r>
        <w:rPr>
          <w:rFonts w:hint="default"/>
          <w:color w:val="auto"/>
          <w:sz w:val="24"/>
          <w:szCs w:val="24"/>
        </w:rPr>
        <w:t>规划（2016-2020年）》</w:t>
      </w:r>
      <w:r>
        <w:rPr>
          <w:rStyle w:val="1231"/>
          <w:rFonts w:cs="Times New Roman"/>
          <w:color w:val="auto"/>
          <w:sz w:val="24"/>
          <w:szCs w:val="24"/>
        </w:rPr>
        <w:t>、</w:t>
      </w:r>
      <w:r>
        <w:rPr>
          <w:rFonts w:hint="eastAsia" w:ascii="Times New Roman" w:hAnsi="Times New Roman" w:cs="Times New Roman"/>
          <w:color w:val="auto"/>
          <w:sz w:val="24"/>
          <w:szCs w:val="24"/>
          <w:lang w:eastAsia="zh-CN"/>
        </w:rPr>
        <w:t>《四川省“十四五”生态环境保护规划》（川府发【</w:t>
      </w:r>
      <w:r>
        <w:rPr>
          <w:rFonts w:hint="eastAsia" w:ascii="Times New Roman" w:hAnsi="Times New Roman" w:cs="Times New Roman"/>
          <w:color w:val="auto"/>
          <w:sz w:val="24"/>
          <w:szCs w:val="24"/>
          <w:lang w:val="en-US" w:eastAsia="zh-CN"/>
        </w:rPr>
        <w:t>2022】2号）</w:t>
      </w:r>
      <w:r>
        <w:rPr>
          <w:rFonts w:hint="eastAsia"/>
          <w:color w:val="auto"/>
          <w:sz w:val="24"/>
          <w:szCs w:val="24"/>
          <w:lang w:eastAsia="zh-CN"/>
        </w:rPr>
        <w:t>、</w:t>
      </w:r>
      <w:r>
        <w:rPr>
          <w:rFonts w:hint="eastAsia" w:ascii="Times New Roman" w:hAnsi="Times New Roman" w:cs="Times New Roman"/>
          <w:color w:val="auto"/>
          <w:sz w:val="24"/>
          <w:szCs w:val="24"/>
          <w:lang w:eastAsia="zh-CN"/>
        </w:rPr>
        <w:t>《巴中市“十四五”生态环境保护规划》（巴府发【</w:t>
      </w:r>
      <w:r>
        <w:rPr>
          <w:rFonts w:hint="eastAsia" w:ascii="Times New Roman" w:hAnsi="Times New Roman" w:cs="Times New Roman"/>
          <w:color w:val="auto"/>
          <w:sz w:val="24"/>
          <w:szCs w:val="24"/>
          <w:lang w:val="en-US" w:eastAsia="zh-CN"/>
        </w:rPr>
        <w:t>2021】19号、</w:t>
      </w:r>
      <w:r>
        <w:rPr>
          <w:rFonts w:hint="eastAsia" w:ascii="Times New Roman" w:hAnsi="Times New Roman" w:cs="Times New Roman"/>
          <w:color w:val="auto"/>
          <w:sz w:val="24"/>
          <w:szCs w:val="24"/>
          <w:lang w:eastAsia="zh-CN"/>
        </w:rPr>
        <w:t>《巴中市“十四五”推进农业农村现代化规划》（巴府发【</w:t>
      </w:r>
      <w:r>
        <w:rPr>
          <w:rFonts w:hint="eastAsia" w:ascii="Times New Roman" w:hAnsi="Times New Roman" w:cs="Times New Roman"/>
          <w:color w:val="auto"/>
          <w:sz w:val="24"/>
          <w:szCs w:val="24"/>
          <w:lang w:val="en-US" w:eastAsia="zh-CN"/>
        </w:rPr>
        <w:t>2021】13号）</w:t>
      </w:r>
      <w:r>
        <w:rPr>
          <w:rStyle w:val="1231"/>
          <w:rFonts w:hint="eastAsia" w:cs="Times New Roman"/>
          <w:color w:val="auto"/>
          <w:sz w:val="24"/>
          <w:szCs w:val="24"/>
        </w:rPr>
        <w:t>、</w:t>
      </w:r>
      <w:r>
        <w:rPr>
          <w:rStyle w:val="1231"/>
          <w:rFonts w:cs="Times New Roman"/>
          <w:color w:val="auto"/>
          <w:sz w:val="24"/>
          <w:szCs w:val="24"/>
        </w:rPr>
        <w:t>《畜禽养殖业污染防治技术规范》（HJ/T81-2001）、《畜禽养殖业污染治理工程技术规范》（HJ497－2009）等相关规划、规范中要求，选址符合规划要求。</w:t>
      </w:r>
    </w:p>
    <w:p>
      <w:pPr>
        <w:pStyle w:val="180"/>
        <w:rPr>
          <w:rFonts w:hint="default" w:ascii="Times New Roman" w:hAnsi="Times New Roman" w:cs="Times New Roman" w:eastAsiaTheme="majorEastAsia"/>
          <w:b/>
          <w:bCs w:val="0"/>
          <w:color w:val="auto"/>
          <w:sz w:val="24"/>
          <w:szCs w:val="24"/>
        </w:rPr>
      </w:pPr>
      <w:bookmarkStart w:id="619" w:name="_Toc18270"/>
      <w:r>
        <w:rPr>
          <w:rFonts w:hint="default" w:ascii="Times New Roman" w:hAnsi="Times New Roman" w:cs="Times New Roman" w:eastAsiaTheme="majorEastAsia"/>
          <w:b/>
          <w:bCs w:val="0"/>
          <w:color w:val="auto"/>
          <w:sz w:val="24"/>
          <w:szCs w:val="24"/>
        </w:rPr>
        <w:t>选址合理性分析</w:t>
      </w:r>
      <w:bookmarkEnd w:id="619"/>
    </w:p>
    <w:p>
      <w:pPr>
        <w:spacing w:line="460" w:lineRule="exact"/>
        <w:ind w:right="-17" w:firstLine="482" w:firstLineChars="200"/>
        <w:rPr>
          <w:b/>
          <w:color w:val="auto"/>
          <w:sz w:val="24"/>
        </w:rPr>
      </w:pPr>
      <w:r>
        <w:rPr>
          <w:b/>
          <w:color w:val="auto"/>
          <w:sz w:val="24"/>
        </w:rPr>
        <w:t>1）基础设施依托合理性分析</w:t>
      </w:r>
    </w:p>
    <w:p>
      <w:pPr>
        <w:spacing w:line="460" w:lineRule="exact"/>
        <w:ind w:right="-17" w:firstLine="480" w:firstLineChars="200"/>
        <w:rPr>
          <w:rFonts w:hint="eastAsia"/>
          <w:color w:val="auto"/>
          <w:sz w:val="24"/>
          <w:szCs w:val="32"/>
          <w:lang w:val="en-US" w:eastAsia="zh-CN"/>
        </w:rPr>
      </w:pPr>
      <w:r>
        <w:rPr>
          <w:rFonts w:hint="eastAsia"/>
          <w:color w:val="auto"/>
          <w:sz w:val="24"/>
        </w:rPr>
        <w:t>巴中乾兴产业园区建设投资有限公司</w:t>
      </w:r>
      <w:r>
        <w:rPr>
          <w:rFonts w:hint="eastAsia"/>
          <w:color w:val="auto"/>
          <w:sz w:val="24"/>
          <w:lang w:eastAsia="zh-CN"/>
        </w:rPr>
        <w:t>恩阳区群乐镇坳盘村巴山肉牛育肥场项目</w:t>
      </w:r>
      <w:r>
        <w:rPr>
          <w:rFonts w:hint="eastAsia"/>
          <w:color w:val="auto"/>
          <w:sz w:val="24"/>
          <w:szCs w:val="32"/>
          <w:lang w:val="en-US" w:eastAsia="zh-CN"/>
        </w:rPr>
        <w:t>选址于巴中市</w:t>
      </w:r>
      <w:r>
        <w:rPr>
          <w:rFonts w:hint="eastAsia"/>
          <w:color w:val="auto"/>
          <w:sz w:val="24"/>
          <w:szCs w:val="32"/>
          <w:lang w:eastAsia="zh-CN"/>
        </w:rPr>
        <w:t>恩阳区群乐镇坳盘村2组</w:t>
      </w:r>
      <w:r>
        <w:rPr>
          <w:rFonts w:hint="eastAsia"/>
          <w:color w:val="auto"/>
          <w:sz w:val="24"/>
          <w:szCs w:val="32"/>
          <w:lang w:val="en-US" w:eastAsia="zh-CN"/>
        </w:rPr>
        <w:t>，项目总用地面积</w:t>
      </w:r>
      <w:r>
        <w:rPr>
          <w:rFonts w:hint="eastAsia"/>
          <w:color w:val="auto"/>
          <w:sz w:val="24"/>
          <w:lang w:val="en-US" w:eastAsia="zh-CN"/>
        </w:rPr>
        <w:t>164626.67</w:t>
      </w:r>
      <w:r>
        <w:rPr>
          <w:rFonts w:hint="eastAsia"/>
          <w:color w:val="auto"/>
          <w:sz w:val="24"/>
        </w:rPr>
        <w:t>平方米（</w:t>
      </w:r>
      <w:r>
        <w:rPr>
          <w:rFonts w:hint="eastAsia"/>
          <w:color w:val="auto"/>
          <w:sz w:val="24"/>
          <w:lang w:val="en-US" w:eastAsia="zh-CN"/>
        </w:rPr>
        <w:t>246.94</w:t>
      </w:r>
      <w:r>
        <w:rPr>
          <w:rFonts w:hint="eastAsia"/>
          <w:color w:val="auto"/>
          <w:sz w:val="24"/>
        </w:rPr>
        <w:t>亩）</w:t>
      </w:r>
      <w:r>
        <w:rPr>
          <w:rFonts w:hint="eastAsia"/>
          <w:color w:val="auto"/>
          <w:sz w:val="24"/>
          <w:szCs w:val="32"/>
          <w:lang w:val="en-US" w:eastAsia="zh-CN"/>
        </w:rPr>
        <w:t>。根据《巴中市恩阳区人民政府设施农业项目用地备案通知书》（恩群设农备字[2023]第1号），“根据土地勘测定界报告确定设施农用地规模用地总面积为16.46公顷。其中：农用地16.46公顷(永久基本农田0公顷)；未利用土地0公顷。”</w:t>
      </w:r>
    </w:p>
    <w:p>
      <w:pPr>
        <w:spacing w:line="460" w:lineRule="exact"/>
        <w:ind w:right="-17" w:firstLine="480" w:firstLineChars="200"/>
        <w:rPr>
          <w:rFonts w:hint="eastAsia"/>
          <w:color w:val="auto"/>
          <w:sz w:val="24"/>
          <w:szCs w:val="32"/>
          <w:lang w:val="en-US" w:eastAsia="zh-CN"/>
        </w:rPr>
      </w:pPr>
      <w:r>
        <w:rPr>
          <w:rFonts w:hint="eastAsia"/>
          <w:color w:val="auto"/>
          <w:sz w:val="24"/>
          <w:szCs w:val="32"/>
          <w:lang w:val="en-US" w:eastAsia="zh-CN"/>
        </w:rPr>
        <w:t>项目选址位于巴中市</w:t>
      </w:r>
      <w:r>
        <w:rPr>
          <w:rFonts w:hint="eastAsia"/>
          <w:color w:val="auto"/>
          <w:sz w:val="24"/>
          <w:szCs w:val="32"/>
          <w:lang w:eastAsia="zh-CN"/>
        </w:rPr>
        <w:t>恩阳区群乐镇坳盘村2组</w:t>
      </w:r>
      <w:r>
        <w:rPr>
          <w:rFonts w:hint="eastAsia"/>
          <w:color w:val="auto"/>
          <w:sz w:val="24"/>
          <w:szCs w:val="32"/>
          <w:lang w:val="en-US" w:eastAsia="zh-CN"/>
        </w:rPr>
        <w:t>，项目有乡道连接，路况较好，故项目区域交通条件较好，项目选址交通便利；本项目供电均由市政电网供电，且本项目备有柴油发电机，故本项目的供电得到保障。</w:t>
      </w:r>
    </w:p>
    <w:p>
      <w:pPr>
        <w:spacing w:line="460" w:lineRule="exact"/>
        <w:ind w:right="-17" w:firstLine="480" w:firstLineChars="200"/>
        <w:rPr>
          <w:color w:val="auto"/>
          <w:sz w:val="24"/>
        </w:rPr>
      </w:pPr>
      <w:r>
        <w:rPr>
          <w:rFonts w:hint="eastAsia"/>
          <w:color w:val="auto"/>
          <w:sz w:val="24"/>
          <w:szCs w:val="32"/>
          <w:lang w:val="en-US" w:eastAsia="zh-CN"/>
        </w:rPr>
        <w:t>综上，本项目场址从区域配套基础设施分析，其选址具有合理性。</w:t>
      </w:r>
    </w:p>
    <w:p>
      <w:pPr>
        <w:spacing w:line="460" w:lineRule="exact"/>
        <w:ind w:right="-17" w:firstLine="482" w:firstLineChars="200"/>
        <w:rPr>
          <w:b/>
          <w:color w:val="auto"/>
          <w:sz w:val="24"/>
        </w:rPr>
      </w:pPr>
      <w:r>
        <w:rPr>
          <w:b/>
          <w:color w:val="auto"/>
          <w:sz w:val="24"/>
        </w:rPr>
        <w:t>2）场址环境条件分析</w:t>
      </w:r>
    </w:p>
    <w:p>
      <w:pPr>
        <w:spacing w:line="460" w:lineRule="exact"/>
        <w:ind w:right="-17" w:firstLine="480" w:firstLineChars="200"/>
        <w:rPr>
          <w:color w:val="auto"/>
          <w:sz w:val="24"/>
        </w:rPr>
      </w:pPr>
      <w:r>
        <w:rPr>
          <w:color w:val="auto"/>
          <w:sz w:val="24"/>
        </w:rPr>
        <w:t>根据监测单位对项目区域环境质量现状监测结果分析可知：项目区域环境空气质量、地表水环境质量、声环境质量良好。项目附近主要为农田、林地等，土壤环境质量未受到污染。区域环境各项污染物单项污染指数均小于1，质量满足《畜禽养殖产地环境评价规范》（HJ568-2010）的相关要求。</w:t>
      </w:r>
    </w:p>
    <w:p>
      <w:pPr>
        <w:spacing w:line="460" w:lineRule="exact"/>
        <w:ind w:right="-17" w:firstLine="482" w:firstLineChars="200"/>
        <w:rPr>
          <w:b/>
          <w:color w:val="auto"/>
          <w:sz w:val="24"/>
        </w:rPr>
      </w:pPr>
      <w:r>
        <w:rPr>
          <w:b/>
          <w:color w:val="auto"/>
          <w:sz w:val="24"/>
        </w:rPr>
        <w:t>3）场址周边制约性因素分析</w:t>
      </w:r>
    </w:p>
    <w:p>
      <w:pPr>
        <w:spacing w:line="460" w:lineRule="exact"/>
        <w:ind w:right="-17" w:firstLine="480" w:firstLineChars="200"/>
        <w:rPr>
          <w:color w:val="auto"/>
          <w:sz w:val="24"/>
        </w:rPr>
      </w:pPr>
      <w:r>
        <w:rPr>
          <w:rFonts w:hint="eastAsia"/>
          <w:color w:val="auto"/>
          <w:sz w:val="24"/>
        </w:rPr>
        <w:t>本项目拟选场址位于</w:t>
      </w:r>
      <w:r>
        <w:rPr>
          <w:rFonts w:hint="eastAsia"/>
          <w:color w:val="auto"/>
          <w:sz w:val="24"/>
          <w:szCs w:val="32"/>
          <w:lang w:eastAsia="zh-CN"/>
        </w:rPr>
        <w:t>恩阳区群乐镇坳盘村2组</w:t>
      </w:r>
      <w:r>
        <w:rPr>
          <w:rFonts w:hint="eastAsia"/>
          <w:color w:val="auto"/>
          <w:sz w:val="24"/>
        </w:rPr>
        <w:t>，周边主要为散居的农户，根据生态环境部关于畜禽养殖业选址问题的回复（2018-02-26）可知，散居的农户不属于《畜禽养殖业污染防治技术规范》（HJT81-2001）中3.1.2 规定的人口集中区，且对于养殖场与农村散户之间的距离，养殖场应在建设时应开展环境影响评价，根据当地的地理、环境及气象等因素确定与居民区之间的距离。项目建成后对周边敏感点的影响主要体现在项目恶臭及噪声对周边居民产生的影响，本项目采取了相关措施抑制恶臭的产生，同时为减小对周边居民的影响，</w:t>
      </w:r>
      <w:r>
        <w:rPr>
          <w:b w:val="0"/>
          <w:bCs w:val="0"/>
          <w:color w:val="auto"/>
          <w:sz w:val="24"/>
        </w:rPr>
        <w:t>以本项目</w:t>
      </w:r>
      <w:r>
        <w:rPr>
          <w:rFonts w:hint="eastAsia"/>
          <w:b w:val="0"/>
          <w:bCs/>
          <w:color w:val="auto"/>
          <w:sz w:val="24"/>
        </w:rPr>
        <w:t>恶臭源</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、发酵床</w:t>
      </w:r>
      <w:r>
        <w:rPr>
          <w:rFonts w:hint="eastAsia"/>
          <w:b w:val="0"/>
          <w:bCs/>
          <w:color w:val="auto"/>
          <w:sz w:val="24"/>
        </w:rPr>
        <w:t>边界起1</w:t>
      </w:r>
      <w:r>
        <w:rPr>
          <w:b w:val="0"/>
          <w:bCs/>
          <w:color w:val="auto"/>
          <w:sz w:val="24"/>
        </w:rPr>
        <w:t>00m</w:t>
      </w:r>
      <w:r>
        <w:rPr>
          <w:rFonts w:hint="eastAsia"/>
          <w:b w:val="0"/>
          <w:bCs/>
          <w:color w:val="auto"/>
          <w:sz w:val="24"/>
          <w:lang w:val="en-US" w:eastAsia="zh-CN"/>
        </w:rPr>
        <w:t>和TMR管理中心</w:t>
      </w:r>
      <w:r>
        <w:rPr>
          <w:rFonts w:hint="eastAsia"/>
          <w:b w:val="0"/>
          <w:bCs/>
          <w:color w:val="auto"/>
          <w:sz w:val="24"/>
        </w:rPr>
        <w:t>边界起</w:t>
      </w:r>
      <w:r>
        <w:rPr>
          <w:rFonts w:hint="eastAsia"/>
          <w:b w:val="0"/>
          <w:bCs/>
          <w:color w:val="auto"/>
          <w:sz w:val="24"/>
          <w:lang w:val="en-US" w:eastAsia="zh-CN"/>
        </w:rPr>
        <w:t>5</w:t>
      </w:r>
      <w:r>
        <w:rPr>
          <w:b w:val="0"/>
          <w:bCs/>
          <w:color w:val="auto"/>
          <w:sz w:val="24"/>
        </w:rPr>
        <w:t>0m</w:t>
      </w:r>
      <w:r>
        <w:rPr>
          <w:rFonts w:hint="eastAsia"/>
          <w:b w:val="0"/>
          <w:bCs/>
          <w:color w:val="auto"/>
          <w:sz w:val="24"/>
        </w:rPr>
        <w:t>的区域</w:t>
      </w:r>
      <w:r>
        <w:rPr>
          <w:rFonts w:hint="eastAsia"/>
          <w:b w:val="0"/>
          <w:bCs/>
          <w:color w:val="auto"/>
          <w:sz w:val="24"/>
          <w:lang w:val="en-US" w:eastAsia="zh-CN"/>
        </w:rPr>
        <w:t>划定为</w:t>
      </w:r>
      <w:r>
        <w:rPr>
          <w:rFonts w:hint="eastAsia"/>
          <w:b w:val="0"/>
          <w:bCs/>
          <w:color w:val="auto"/>
          <w:sz w:val="24"/>
        </w:rPr>
        <w:t>卫生防护距离</w:t>
      </w:r>
      <w:r>
        <w:rPr>
          <w:rFonts w:hint="eastAsia"/>
          <w:color w:val="auto"/>
          <w:sz w:val="24"/>
          <w:lang w:eastAsia="zh-CN"/>
        </w:rPr>
        <w:t>，</w:t>
      </w:r>
      <w:r>
        <w:rPr>
          <w:rFonts w:hint="eastAsia"/>
          <w:bCs/>
          <w:color w:val="auto"/>
          <w:sz w:val="24"/>
        </w:rPr>
        <w:t>根据现场踏勘，卫生防护距离范围内</w:t>
      </w:r>
      <w:r>
        <w:rPr>
          <w:rFonts w:hint="eastAsia"/>
          <w:bCs/>
          <w:color w:val="auto"/>
          <w:sz w:val="24"/>
          <w:lang w:val="en-US" w:eastAsia="zh-CN"/>
        </w:rPr>
        <w:t>有20户农户</w:t>
      </w:r>
      <w:r>
        <w:rPr>
          <w:rFonts w:hint="eastAsia"/>
          <w:color w:val="auto"/>
          <w:sz w:val="24"/>
          <w:lang w:eastAsia="zh-CN"/>
        </w:rPr>
        <w:t>，</w:t>
      </w:r>
      <w:r>
        <w:rPr>
          <w:rFonts w:hint="eastAsia"/>
          <w:color w:val="auto"/>
          <w:sz w:val="24"/>
        </w:rPr>
        <w:t>已签订租赁合同，租赁为本项目的办公区域</w:t>
      </w:r>
      <w:r>
        <w:rPr>
          <w:rFonts w:hint="eastAsia"/>
          <w:color w:val="auto"/>
          <w:sz w:val="24"/>
          <w:lang w:eastAsia="zh-CN"/>
        </w:rPr>
        <w:t>，</w:t>
      </w:r>
      <w:r>
        <w:rPr>
          <w:color w:val="auto"/>
          <w:sz w:val="24"/>
        </w:rPr>
        <w:t>对卫生防护距离范围内的农户功能置换后，项目产生的恶臭及噪声对周围居民的影响在可接受范围内</w:t>
      </w:r>
      <w:r>
        <w:rPr>
          <w:rFonts w:hint="eastAsia"/>
          <w:color w:val="auto"/>
          <w:sz w:val="24"/>
        </w:rPr>
        <w:t>，因此项目选址通过从环保角度而言是合理的</w:t>
      </w:r>
      <w:r>
        <w:rPr>
          <w:color w:val="auto"/>
          <w:sz w:val="24"/>
        </w:rPr>
        <w:t>。</w:t>
      </w:r>
    </w:p>
    <w:p>
      <w:pPr>
        <w:spacing w:line="460" w:lineRule="exact"/>
        <w:ind w:right="-17" w:firstLine="480" w:firstLineChars="200"/>
        <w:rPr>
          <w:color w:val="auto"/>
          <w:sz w:val="24"/>
        </w:rPr>
      </w:pPr>
      <w:r>
        <w:rPr>
          <w:color w:val="auto"/>
          <w:sz w:val="24"/>
        </w:rPr>
        <w:t>本项目周围属农村环境，不属于禁止畜禽规模养殖区，生态环境良好，人口较稀疏，不涉及水源保护区、风景名胜区、自然保护区等环境敏感区，养殖区周围500m 范围内、水源上游没有对产地环境构成威胁的污染源。本外环境关系相对简单，场址周围无明显环境制约因素。项目占地不涉及饮用水水源保护区、风景名胜区、自然保护区等环境敏感区。本项目选址不在划定的畜禽养殖禁养区范围内，与《农产品安全质量—无公害畜禽肉产地环境要求》、《畜禽养殖业污染防治技术规范》等规范相符合。</w:t>
      </w:r>
    </w:p>
    <w:p>
      <w:pPr>
        <w:spacing w:line="360" w:lineRule="auto"/>
        <w:ind w:right="-17" w:firstLine="482" w:firstLineChars="200"/>
        <w:rPr>
          <w:b/>
          <w:color w:val="auto"/>
          <w:sz w:val="24"/>
        </w:rPr>
      </w:pPr>
      <w:r>
        <w:rPr>
          <w:b/>
          <w:color w:val="auto"/>
          <w:sz w:val="24"/>
        </w:rPr>
        <w:t>4）场址选址合理性分析结论</w:t>
      </w:r>
    </w:p>
    <w:p>
      <w:pPr>
        <w:spacing w:line="360" w:lineRule="auto"/>
        <w:ind w:right="-17" w:firstLine="480" w:firstLineChars="200"/>
        <w:rPr>
          <w:rFonts w:hint="eastAsia"/>
          <w:color w:val="auto"/>
          <w:sz w:val="24"/>
        </w:rPr>
      </w:pPr>
      <w:r>
        <w:rPr>
          <w:rFonts w:hint="eastAsia"/>
          <w:color w:val="auto"/>
          <w:sz w:val="24"/>
        </w:rPr>
        <w:t>通过上述分析，本项目选址于</w:t>
      </w:r>
      <w:r>
        <w:rPr>
          <w:rFonts w:hint="eastAsia"/>
          <w:color w:val="auto"/>
          <w:sz w:val="24"/>
          <w:szCs w:val="32"/>
          <w:lang w:eastAsia="zh-CN"/>
        </w:rPr>
        <w:t>恩阳区群乐镇坳盘村2组</w:t>
      </w:r>
      <w:r>
        <w:rPr>
          <w:rFonts w:hint="eastAsia"/>
          <w:color w:val="auto"/>
          <w:sz w:val="24"/>
        </w:rPr>
        <w:t>，项目区交通便利；项目区配套基础设施完善，为项目建设提供了可靠的保障；场址所在区域环境空气质量、地表水环境质量、声环境质量良好，适合</w:t>
      </w:r>
      <w:r>
        <w:rPr>
          <w:rFonts w:hint="eastAsia"/>
          <w:color w:val="auto"/>
          <w:sz w:val="24"/>
          <w:lang w:eastAsia="zh-CN"/>
        </w:rPr>
        <w:t>牛</w:t>
      </w:r>
      <w:r>
        <w:rPr>
          <w:rFonts w:hint="eastAsia"/>
          <w:color w:val="auto"/>
          <w:sz w:val="24"/>
        </w:rPr>
        <w:t>的成长；同时项目周边无任何其他企业，无企业制约因素；周边分布的农户对本项目选址具有一定的制约因素，但是本项目通过对卫生防护距离范围内的农户进行功能置换，同时采取措施抑制恶臭的产生，通过采取上述措施后，周边农户对本项目选址制约因素不明显。</w:t>
      </w:r>
    </w:p>
    <w:p>
      <w:pPr>
        <w:spacing w:line="360" w:lineRule="auto"/>
        <w:ind w:right="-17" w:firstLine="480" w:firstLineChars="200"/>
        <w:rPr>
          <w:color w:val="auto"/>
          <w:sz w:val="24"/>
        </w:rPr>
      </w:pPr>
      <w:r>
        <w:rPr>
          <w:rFonts w:hint="eastAsia"/>
          <w:color w:val="auto"/>
          <w:sz w:val="24"/>
        </w:rPr>
        <w:t>综上，本项目选址主要受周围居民的制约，通过对拟划定的卫生防护距离内的居民进行功能置换，并采取措施抑制恶臭的产生，项目选址具有环境合理性</w:t>
      </w:r>
      <w:r>
        <w:rPr>
          <w:color w:val="auto"/>
          <w:sz w:val="24"/>
        </w:rPr>
        <w:t>。</w:t>
      </w:r>
    </w:p>
    <w:p>
      <w:pPr>
        <w:spacing w:line="360" w:lineRule="auto"/>
        <w:ind w:firstLine="482"/>
        <w:rPr>
          <w:color w:val="auto"/>
          <w:sz w:val="24"/>
        </w:rPr>
      </w:pPr>
      <w:r>
        <w:rPr>
          <w:b/>
          <w:color w:val="auto"/>
          <w:sz w:val="24"/>
        </w:rPr>
        <w:t>综上所述，从综合因素考虑，本项目选址合理</w:t>
      </w:r>
      <w:r>
        <w:rPr>
          <w:color w:val="auto"/>
          <w:sz w:val="24"/>
        </w:rPr>
        <w:t>。</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20" w:name="_Toc21714"/>
      <w:bookmarkStart w:id="621" w:name="_Toc9508"/>
      <w:bookmarkStart w:id="622" w:name="_Toc19501"/>
      <w:r>
        <w:rPr>
          <w:rFonts w:ascii="Times New Roman" w:hAnsi="Times New Roman" w:cs="Times New Roman" w:eastAsiaTheme="majorEastAsia"/>
          <w:bCs/>
          <w:color w:val="auto"/>
          <w:kern w:val="2"/>
          <w:szCs w:val="32"/>
          <w:lang w:val="en-US" w:eastAsia="zh-CN"/>
        </w:rPr>
        <w:t>环境质量现状</w:t>
      </w:r>
      <w:bookmarkEnd w:id="620"/>
      <w:bookmarkEnd w:id="621"/>
      <w:bookmarkEnd w:id="622"/>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rPr>
      </w:pPr>
      <w:r>
        <w:rPr>
          <w:color w:val="auto"/>
          <w:sz w:val="24"/>
        </w:rPr>
        <w:t>区域环境现状监测结果表明：</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rPr>
      </w:pPr>
      <w:r>
        <w:rPr>
          <w:color w:val="auto"/>
          <w:sz w:val="24"/>
        </w:rPr>
        <w:t>（1）地表水：</w:t>
      </w:r>
      <w:r>
        <w:rPr>
          <w:color w:val="auto"/>
          <w:kern w:val="0"/>
          <w:sz w:val="24"/>
        </w:rPr>
        <w:t>根据</w:t>
      </w:r>
      <w:r>
        <w:rPr>
          <w:bCs/>
          <w:color w:val="auto"/>
          <w:sz w:val="24"/>
        </w:rPr>
        <w:t>《</w:t>
      </w:r>
      <w:r>
        <w:rPr>
          <w:rFonts w:hint="eastAsia"/>
          <w:bCs/>
          <w:color w:val="auto"/>
          <w:sz w:val="24"/>
          <w:lang w:val="en-US" w:eastAsia="zh-CN"/>
        </w:rPr>
        <w:t>巴中市恩阳区</w:t>
      </w:r>
      <w:r>
        <w:rPr>
          <w:rFonts w:hint="default" w:ascii="Times New Roman" w:hAnsi="Times New Roman" w:cs="Times New Roman"/>
          <w:bCs/>
          <w:color w:val="auto"/>
          <w:sz w:val="24"/>
        </w:rPr>
        <w:t>202</w:t>
      </w:r>
      <w:r>
        <w:rPr>
          <w:rFonts w:hint="eastAsia" w:cs="Times New Roman"/>
          <w:bCs/>
          <w:color w:val="auto"/>
          <w:sz w:val="24"/>
          <w:lang w:val="en-US" w:eastAsia="zh-CN"/>
        </w:rPr>
        <w:t>2</w:t>
      </w:r>
      <w:r>
        <w:rPr>
          <w:rFonts w:hint="default" w:ascii="Times New Roman" w:hAnsi="Times New Roman" w:cs="Times New Roman"/>
          <w:bCs/>
          <w:color w:val="auto"/>
          <w:sz w:val="24"/>
        </w:rPr>
        <w:t>年</w:t>
      </w:r>
      <w:r>
        <w:rPr>
          <w:rFonts w:hint="eastAsia" w:cs="Times New Roman"/>
          <w:bCs/>
          <w:color w:val="auto"/>
          <w:sz w:val="24"/>
          <w:lang w:val="en-US" w:eastAsia="zh-CN"/>
        </w:rPr>
        <w:t>12月</w:t>
      </w:r>
      <w:r>
        <w:rPr>
          <w:rFonts w:hint="default" w:ascii="Times New Roman" w:hAnsi="Times New Roman" w:cs="Times New Roman"/>
          <w:bCs/>
          <w:color w:val="auto"/>
          <w:sz w:val="24"/>
        </w:rPr>
        <w:t>环境质量公报</w:t>
      </w:r>
      <w:r>
        <w:rPr>
          <w:bCs/>
          <w:color w:val="auto"/>
          <w:sz w:val="24"/>
        </w:rPr>
        <w:t>》</w:t>
      </w:r>
      <w:r>
        <w:rPr>
          <w:color w:val="auto"/>
          <w:sz w:val="24"/>
        </w:rPr>
        <w:t>区域地表水环境质量良好。</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eastAsia="宋体"/>
          <w:color w:val="auto"/>
          <w:kern w:val="0"/>
          <w:sz w:val="24"/>
          <w:lang w:val="en-US" w:eastAsia="zh-CN"/>
        </w:rPr>
      </w:pPr>
      <w:r>
        <w:rPr>
          <w:color w:val="auto"/>
          <w:sz w:val="24"/>
        </w:rPr>
        <w:t>（2）地下水：</w:t>
      </w:r>
      <w:r>
        <w:rPr>
          <w:rFonts w:hint="eastAsia"/>
          <w:color w:val="auto"/>
          <w:kern w:val="0"/>
          <w:sz w:val="24"/>
          <w:lang w:val="en-US" w:eastAsia="zh-CN"/>
        </w:rPr>
        <w:t>3口监测水井</w:t>
      </w:r>
      <w:r>
        <w:rPr>
          <w:color w:val="auto"/>
          <w:kern w:val="0"/>
          <w:sz w:val="24"/>
        </w:rPr>
        <w:t>监测指标均满足《地下水质量标准》（GB/T14848-2017）Ⅲ类标准要求</w:t>
      </w:r>
      <w:r>
        <w:rPr>
          <w:rFonts w:hint="eastAsia"/>
          <w:color w:val="auto"/>
          <w:kern w:val="0"/>
          <w:sz w:val="24"/>
          <w:lang w:eastAsia="zh-CN"/>
        </w:rPr>
        <w:t>，</w:t>
      </w:r>
      <w:r>
        <w:rPr>
          <w:rFonts w:hint="eastAsia"/>
          <w:color w:val="auto"/>
          <w:kern w:val="0"/>
          <w:sz w:val="24"/>
          <w:lang w:val="en-US" w:eastAsia="zh-CN"/>
        </w:rPr>
        <w:t>项目周边地下水质良好。</w:t>
      </w:r>
      <w:r>
        <w:rPr>
          <w:rFonts w:ascii="Times New Roman" w:hAnsi="Times New Roman" w:eastAsia="宋体" w:cs="Times New Roman"/>
          <w:color w:val="auto"/>
          <w:kern w:val="0"/>
          <w:sz w:val="24"/>
          <w:szCs w:val="24"/>
        </w:rPr>
        <w:t>项目在采取环评报告要求的对不同的区域实施分区防控进行防渗、防溢流、防泄漏等措施后，项目防渗措施系统、完整，一般情况下物料不会泄漏进入地下水系统，废水正常下渗量极小，对地下水不会造成污染。</w:t>
      </w:r>
    </w:p>
    <w:p>
      <w:pPr>
        <w:spacing w:line="360" w:lineRule="auto"/>
        <w:ind w:firstLine="480"/>
        <w:rPr>
          <w:color w:val="auto"/>
          <w:kern w:val="0"/>
          <w:sz w:val="24"/>
        </w:rPr>
      </w:pPr>
      <w:r>
        <w:rPr>
          <w:color w:val="auto"/>
          <w:sz w:val="24"/>
        </w:rPr>
        <w:t>（3）环境空气：</w:t>
      </w:r>
      <w:r>
        <w:rPr>
          <w:color w:val="auto"/>
          <w:kern w:val="0"/>
          <w:sz w:val="24"/>
        </w:rPr>
        <w:t>根据</w:t>
      </w:r>
      <w:r>
        <w:rPr>
          <w:rFonts w:hint="eastAsia" w:ascii="Times New Roman" w:hAnsi="Times New Roman" w:eastAsia="宋体" w:cs="Times New Roman"/>
          <w:color w:val="auto"/>
          <w:kern w:val="0"/>
          <w:sz w:val="24"/>
          <w:szCs w:val="24"/>
          <w:lang w:val="en-US" w:eastAsia="zh-CN" w:bidi="ar-SA"/>
        </w:rPr>
        <w:t>《2021年巴中市生态环境状况公报》</w:t>
      </w:r>
      <w:r>
        <w:rPr>
          <w:color w:val="auto"/>
          <w:kern w:val="0"/>
          <w:sz w:val="24"/>
        </w:rPr>
        <w:t>，项目所在地区域为达标区。</w:t>
      </w:r>
    </w:p>
    <w:p>
      <w:pPr>
        <w:spacing w:line="360" w:lineRule="auto"/>
        <w:ind w:firstLine="480"/>
        <w:rPr>
          <w:rFonts w:hint="eastAsia" w:eastAsia="宋体"/>
          <w:color w:val="auto"/>
          <w:sz w:val="24"/>
          <w:lang w:eastAsia="zh-CN"/>
        </w:rPr>
      </w:pPr>
      <w:r>
        <w:rPr>
          <w:color w:val="auto"/>
          <w:kern w:val="0"/>
          <w:sz w:val="24"/>
        </w:rPr>
        <w:t>根据特征因子监测结果：</w:t>
      </w:r>
      <w:r>
        <w:rPr>
          <w:rFonts w:hint="eastAsia"/>
          <w:color w:val="auto"/>
          <w:kern w:val="0"/>
          <w:sz w:val="24"/>
          <w:lang w:val="en-US" w:eastAsia="zh-CN"/>
        </w:rPr>
        <w:t>项目监测点</w:t>
      </w:r>
      <w:r>
        <w:rPr>
          <w:color w:val="auto"/>
          <w:kern w:val="0"/>
          <w:sz w:val="24"/>
        </w:rPr>
        <w:t>氨和硫化氢均不超标，满足《环境影响评价技术导则 大气环境》（HJ2.2-2018）附录D其他污染物空气质量浓度参考限值中的标准</w:t>
      </w:r>
      <w:r>
        <w:rPr>
          <w:rFonts w:hint="eastAsia"/>
          <w:color w:val="auto"/>
          <w:kern w:val="0"/>
          <w:sz w:val="24"/>
          <w:lang w:eastAsia="zh-CN"/>
        </w:rPr>
        <w:t>；</w:t>
      </w:r>
      <w:r>
        <w:rPr>
          <w:rFonts w:hint="eastAsia"/>
          <w:color w:val="auto"/>
          <w:kern w:val="0"/>
          <w:sz w:val="24"/>
          <w:lang w:val="en-US" w:eastAsia="zh-CN"/>
        </w:rPr>
        <w:t>TSP</w:t>
      </w:r>
      <w:r>
        <w:rPr>
          <w:rFonts w:hint="eastAsia"/>
          <w:color w:val="auto"/>
          <w:sz w:val="24"/>
        </w:rPr>
        <w:t>满足《环境空气质量标准》（GB3095-2012）中二级标准，区域环境空气质量较好</w:t>
      </w:r>
      <w:r>
        <w:rPr>
          <w:rFonts w:hint="eastAsia"/>
          <w:color w:val="auto"/>
          <w:sz w:val="24"/>
          <w:lang w:eastAsia="zh-CN"/>
        </w:rPr>
        <w:t>。</w:t>
      </w:r>
    </w:p>
    <w:p>
      <w:pPr>
        <w:spacing w:line="360" w:lineRule="auto"/>
        <w:ind w:firstLine="482"/>
        <w:rPr>
          <w:color w:val="auto"/>
          <w:sz w:val="24"/>
        </w:rPr>
      </w:pPr>
      <w:r>
        <w:rPr>
          <w:color w:val="auto"/>
          <w:sz w:val="24"/>
        </w:rPr>
        <w:t>（4）声环境：场界监测值均满足《声环境质量标准》(GB3096-2008)中2类标准要求(夜间≤50分贝，昼间≤60分贝)；区域声学环境本底质量较好。</w:t>
      </w:r>
    </w:p>
    <w:p>
      <w:pPr>
        <w:spacing w:line="360" w:lineRule="auto"/>
        <w:ind w:firstLine="482"/>
        <w:rPr>
          <w:color w:val="auto"/>
          <w:sz w:val="24"/>
        </w:rPr>
      </w:pPr>
      <w:r>
        <w:rPr>
          <w:color w:val="auto"/>
          <w:sz w:val="24"/>
        </w:rPr>
        <w:t>（5）土壤环境：项目拟建场地土壤质量满足《土壤环境质量农用地土壤污染风险管控标准（试行）》（GB15618-2018）风险筛选值中的其他用地标准</w:t>
      </w:r>
      <w:r>
        <w:rPr>
          <w:rFonts w:hint="eastAsia"/>
          <w:color w:val="auto"/>
          <w:sz w:val="24"/>
        </w:rPr>
        <w:t>。</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23" w:name="_Toc15813"/>
      <w:bookmarkStart w:id="624" w:name="_Toc20139"/>
      <w:bookmarkStart w:id="625" w:name="_Toc17819"/>
      <w:r>
        <w:rPr>
          <w:rFonts w:ascii="Times New Roman" w:hAnsi="Times New Roman" w:cs="Times New Roman" w:eastAsiaTheme="majorEastAsia"/>
          <w:bCs/>
          <w:color w:val="auto"/>
          <w:kern w:val="2"/>
          <w:szCs w:val="32"/>
          <w:lang w:val="en-US" w:eastAsia="zh-CN"/>
        </w:rPr>
        <w:t>污染物排放情况</w:t>
      </w:r>
      <w:bookmarkEnd w:id="623"/>
      <w:bookmarkEnd w:id="624"/>
      <w:bookmarkEnd w:id="625"/>
    </w:p>
    <w:p>
      <w:pPr>
        <w:spacing w:line="360" w:lineRule="auto"/>
        <w:ind w:firstLine="482"/>
        <w:rPr>
          <w:color w:val="auto"/>
          <w:sz w:val="24"/>
        </w:rPr>
      </w:pPr>
      <w:r>
        <w:rPr>
          <w:color w:val="auto"/>
          <w:sz w:val="24"/>
        </w:rPr>
        <w:t>（1）废气</w:t>
      </w:r>
    </w:p>
    <w:p>
      <w:pPr>
        <w:spacing w:line="360" w:lineRule="auto"/>
        <w:ind w:firstLine="480" w:firstLineChars="200"/>
        <w:rPr>
          <w:color w:val="auto"/>
          <w:sz w:val="24"/>
        </w:rPr>
      </w:pPr>
      <w:r>
        <w:rPr>
          <w:rFonts w:hint="eastAsia"/>
          <w:color w:val="auto"/>
          <w:sz w:val="24"/>
        </w:rPr>
        <w:t>①</w:t>
      </w:r>
      <w:r>
        <w:rPr>
          <w:rFonts w:hint="eastAsia"/>
          <w:color w:val="auto"/>
          <w:sz w:val="24"/>
          <w:lang w:val="en-US" w:eastAsia="zh-CN"/>
        </w:rPr>
        <w:t>牛舍</w:t>
      </w:r>
      <w:r>
        <w:rPr>
          <w:color w:val="auto"/>
          <w:sz w:val="24"/>
        </w:rPr>
        <w:t>恶臭</w:t>
      </w:r>
      <w:r>
        <w:rPr>
          <w:rFonts w:hint="eastAsia"/>
          <w:color w:val="auto"/>
          <w:sz w:val="24"/>
        </w:rPr>
        <w:t>：</w:t>
      </w:r>
      <w:r>
        <w:rPr>
          <w:color w:val="auto"/>
          <w:sz w:val="24"/>
        </w:rPr>
        <w:t>通过采取</w:t>
      </w:r>
      <w:r>
        <w:rPr>
          <w:rFonts w:hint="eastAsia"/>
          <w:color w:val="auto"/>
          <w:sz w:val="24"/>
        </w:rPr>
        <w:t>畜禽科学饲喂技术</w:t>
      </w:r>
      <w:r>
        <w:rPr>
          <w:color w:val="auto"/>
          <w:sz w:val="24"/>
        </w:rPr>
        <w:t>；合理使用饲料添加剂；加强</w:t>
      </w:r>
      <w:r>
        <w:rPr>
          <w:rFonts w:hint="eastAsia"/>
          <w:color w:val="auto"/>
          <w:sz w:val="24"/>
          <w:lang w:eastAsia="zh-CN"/>
        </w:rPr>
        <w:t>牛</w:t>
      </w:r>
      <w:r>
        <w:rPr>
          <w:color w:val="auto"/>
          <w:sz w:val="24"/>
        </w:rPr>
        <w:t>舍管理；投放吸附剂和喷洒除臭剂，加强消毒等措施来减少恶臭的产生与传播；</w:t>
      </w:r>
      <w:r>
        <w:rPr>
          <w:rFonts w:hint="eastAsia"/>
          <w:color w:val="auto"/>
          <w:sz w:val="24"/>
          <w:lang w:eastAsia="zh-CN"/>
        </w:rPr>
        <w:t>牛</w:t>
      </w:r>
      <w:r>
        <w:rPr>
          <w:rFonts w:hint="eastAsia"/>
          <w:color w:val="auto"/>
          <w:sz w:val="24"/>
        </w:rPr>
        <w:t>舍出风口加吸附剂</w:t>
      </w:r>
      <w:r>
        <w:rPr>
          <w:rFonts w:hint="eastAsia"/>
          <w:color w:val="auto"/>
          <w:sz w:val="24"/>
          <w:lang w:eastAsia="zh-CN"/>
        </w:rPr>
        <w:t>；</w:t>
      </w:r>
      <w:r>
        <w:rPr>
          <w:color w:val="auto"/>
          <w:sz w:val="24"/>
        </w:rPr>
        <w:t>同时，加强项目场区及四周绿化</w:t>
      </w:r>
      <w:r>
        <w:rPr>
          <w:rFonts w:hint="eastAsia"/>
          <w:color w:val="auto"/>
          <w:sz w:val="24"/>
        </w:rPr>
        <w:t>；</w:t>
      </w:r>
      <w:r>
        <w:rPr>
          <w:b w:val="0"/>
          <w:bCs w:val="0"/>
          <w:color w:val="auto"/>
          <w:sz w:val="24"/>
        </w:rPr>
        <w:t>以本项目</w:t>
      </w:r>
      <w:r>
        <w:rPr>
          <w:rFonts w:hint="eastAsia"/>
          <w:b w:val="0"/>
          <w:bCs/>
          <w:color w:val="auto"/>
          <w:sz w:val="24"/>
        </w:rPr>
        <w:t>恶臭源</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、发酵床</w:t>
      </w:r>
      <w:r>
        <w:rPr>
          <w:rFonts w:hint="eastAsia"/>
          <w:b w:val="0"/>
          <w:bCs/>
          <w:color w:val="auto"/>
          <w:sz w:val="24"/>
        </w:rPr>
        <w:t>边界起1</w:t>
      </w:r>
      <w:r>
        <w:rPr>
          <w:b w:val="0"/>
          <w:bCs/>
          <w:color w:val="auto"/>
          <w:sz w:val="24"/>
        </w:rPr>
        <w:t>00m</w:t>
      </w:r>
      <w:r>
        <w:rPr>
          <w:rFonts w:hint="eastAsia"/>
          <w:b w:val="0"/>
          <w:bCs/>
          <w:color w:val="auto"/>
          <w:sz w:val="24"/>
          <w:lang w:val="en-US" w:eastAsia="zh-CN"/>
        </w:rPr>
        <w:t>和TMR管理中心</w:t>
      </w:r>
      <w:r>
        <w:rPr>
          <w:rFonts w:hint="eastAsia"/>
          <w:b w:val="0"/>
          <w:bCs/>
          <w:color w:val="auto"/>
          <w:sz w:val="24"/>
        </w:rPr>
        <w:t>边界起</w:t>
      </w:r>
      <w:r>
        <w:rPr>
          <w:rFonts w:hint="eastAsia"/>
          <w:b w:val="0"/>
          <w:bCs/>
          <w:color w:val="auto"/>
          <w:sz w:val="24"/>
          <w:lang w:val="en-US" w:eastAsia="zh-CN"/>
        </w:rPr>
        <w:t>5</w:t>
      </w:r>
      <w:r>
        <w:rPr>
          <w:b w:val="0"/>
          <w:bCs/>
          <w:color w:val="auto"/>
          <w:sz w:val="24"/>
        </w:rPr>
        <w:t>0m</w:t>
      </w:r>
      <w:r>
        <w:rPr>
          <w:rFonts w:hint="eastAsia"/>
          <w:b w:val="0"/>
          <w:bCs/>
          <w:color w:val="auto"/>
          <w:sz w:val="24"/>
        </w:rPr>
        <w:t>的区域</w:t>
      </w:r>
      <w:r>
        <w:rPr>
          <w:rFonts w:hint="eastAsia"/>
          <w:b w:val="0"/>
          <w:bCs/>
          <w:color w:val="auto"/>
          <w:sz w:val="24"/>
          <w:lang w:val="en-US" w:eastAsia="zh-CN"/>
        </w:rPr>
        <w:t>划定为</w:t>
      </w:r>
      <w:r>
        <w:rPr>
          <w:rFonts w:hint="eastAsia"/>
          <w:b w:val="0"/>
          <w:bCs/>
          <w:color w:val="auto"/>
          <w:sz w:val="24"/>
        </w:rPr>
        <w:t>卫生防护距离</w:t>
      </w:r>
      <w:r>
        <w:rPr>
          <w:rFonts w:hint="eastAsia"/>
          <w:color w:val="auto"/>
          <w:sz w:val="24"/>
          <w:lang w:eastAsia="zh-CN"/>
        </w:rPr>
        <w:t>，</w:t>
      </w:r>
      <w:r>
        <w:rPr>
          <w:rFonts w:hint="eastAsia"/>
          <w:bCs/>
          <w:color w:val="auto"/>
          <w:sz w:val="24"/>
        </w:rPr>
        <w:t>根据现场踏勘，卫生防护距离范围内</w:t>
      </w:r>
      <w:r>
        <w:rPr>
          <w:rFonts w:hint="eastAsia"/>
          <w:bCs/>
          <w:color w:val="auto"/>
          <w:sz w:val="24"/>
          <w:lang w:val="en-US" w:eastAsia="zh-CN"/>
        </w:rPr>
        <w:t>有20户农户</w:t>
      </w:r>
      <w:r>
        <w:rPr>
          <w:rFonts w:hint="eastAsia"/>
          <w:color w:val="auto"/>
          <w:sz w:val="24"/>
          <w:lang w:eastAsia="zh-CN"/>
        </w:rPr>
        <w:t>，</w:t>
      </w:r>
      <w:r>
        <w:rPr>
          <w:rFonts w:hint="eastAsia"/>
          <w:color w:val="auto"/>
          <w:sz w:val="24"/>
        </w:rPr>
        <w:t>已签订租赁合同，租赁为本项目的办公区域</w:t>
      </w:r>
      <w:r>
        <w:rPr>
          <w:rFonts w:hint="eastAsia"/>
          <w:color w:val="auto"/>
          <w:sz w:val="24"/>
          <w:lang w:eastAsia="zh-CN"/>
        </w:rPr>
        <w:t>，</w:t>
      </w:r>
      <w:r>
        <w:rPr>
          <w:color w:val="auto"/>
          <w:sz w:val="24"/>
        </w:rPr>
        <w:t>对卫生防护距离范围内的农户功能置换后，项目产生的恶臭及噪声对周围居民的影响在可接受范围内。</w:t>
      </w:r>
    </w:p>
    <w:p>
      <w:pPr>
        <w:spacing w:line="360" w:lineRule="auto"/>
        <w:ind w:firstLine="480" w:firstLineChars="200"/>
        <w:rPr>
          <w:color w:val="auto"/>
          <w:sz w:val="24"/>
        </w:rPr>
      </w:pPr>
      <w:r>
        <w:rPr>
          <w:rFonts w:hint="eastAsia"/>
          <w:color w:val="auto"/>
          <w:sz w:val="24"/>
        </w:rPr>
        <w:t>②</w:t>
      </w:r>
      <w:r>
        <w:rPr>
          <w:rFonts w:hint="eastAsia"/>
          <w:color w:val="auto"/>
          <w:sz w:val="24"/>
          <w:lang w:val="en-US" w:eastAsia="zh-CN"/>
        </w:rPr>
        <w:t>发酵床恶臭</w:t>
      </w:r>
      <w:r>
        <w:rPr>
          <w:rFonts w:hint="eastAsia"/>
          <w:color w:val="auto"/>
          <w:sz w:val="24"/>
        </w:rPr>
        <w:t>：周边定时喷洒除臭剂，同时加强周边绿化。</w:t>
      </w:r>
    </w:p>
    <w:p>
      <w:pPr>
        <w:spacing w:line="360" w:lineRule="auto"/>
        <w:ind w:firstLine="480" w:firstLineChars="200"/>
        <w:rPr>
          <w:color w:val="auto"/>
          <w:sz w:val="24"/>
        </w:rPr>
      </w:pPr>
      <w:r>
        <w:rPr>
          <w:rFonts w:hint="eastAsia"/>
          <w:color w:val="auto"/>
          <w:sz w:val="24"/>
        </w:rPr>
        <w:t>③食堂油烟：经</w:t>
      </w:r>
      <w:r>
        <w:rPr>
          <w:rFonts w:hint="eastAsia"/>
          <w:color w:val="auto"/>
          <w:sz w:val="24"/>
          <w:lang w:val="en-US" w:eastAsia="zh-CN"/>
        </w:rPr>
        <w:t>油烟净化器</w:t>
      </w:r>
      <w:r>
        <w:rPr>
          <w:rFonts w:hint="eastAsia"/>
          <w:color w:val="auto"/>
          <w:sz w:val="24"/>
        </w:rPr>
        <w:t>处理后排放。</w:t>
      </w:r>
    </w:p>
    <w:p>
      <w:pPr>
        <w:spacing w:line="360" w:lineRule="auto"/>
        <w:ind w:firstLine="480" w:firstLineChars="200"/>
        <w:rPr>
          <w:rFonts w:hint="eastAsia" w:eastAsia="宋体"/>
          <w:color w:val="auto"/>
          <w:sz w:val="24"/>
          <w:lang w:eastAsia="zh-CN"/>
        </w:rPr>
      </w:pPr>
      <w:r>
        <w:rPr>
          <w:rFonts w:hint="eastAsia"/>
          <w:color w:val="auto"/>
          <w:sz w:val="24"/>
          <w:lang w:val="en-US" w:eastAsia="zh-CN"/>
        </w:rPr>
        <w:t>④</w:t>
      </w:r>
      <w:r>
        <w:rPr>
          <w:rFonts w:hint="eastAsia"/>
          <w:color w:val="auto"/>
          <w:sz w:val="24"/>
        </w:rPr>
        <w:t>发电机废气：经自带废气净化装置处理后排放</w:t>
      </w:r>
      <w:r>
        <w:rPr>
          <w:rFonts w:hint="eastAsia"/>
          <w:color w:val="auto"/>
          <w:sz w:val="24"/>
          <w:lang w:eastAsia="zh-CN"/>
        </w:rPr>
        <w:t>。</w:t>
      </w:r>
    </w:p>
    <w:p>
      <w:pPr>
        <w:spacing w:line="360" w:lineRule="auto"/>
        <w:ind w:firstLine="480" w:firstLineChars="200"/>
        <w:rPr>
          <w:rFonts w:hint="eastAsia" w:eastAsia="宋体"/>
          <w:color w:val="auto"/>
          <w:sz w:val="24"/>
          <w:lang w:val="en-US" w:eastAsia="zh-CN"/>
        </w:rPr>
      </w:pPr>
      <w:r>
        <w:rPr>
          <w:rFonts w:hint="eastAsia"/>
          <w:color w:val="auto"/>
          <w:sz w:val="24"/>
          <w:lang w:val="en-US" w:eastAsia="zh-CN"/>
        </w:rPr>
        <w:t>⑤饲料加工废气（颗粒物）</w:t>
      </w:r>
      <w:r>
        <w:rPr>
          <w:rFonts w:hint="eastAsia"/>
          <w:color w:val="auto"/>
          <w:sz w:val="24"/>
        </w:rPr>
        <w:t>：经</w:t>
      </w:r>
      <w:r>
        <w:rPr>
          <w:rFonts w:hint="eastAsia" w:cs="Times New Roman"/>
          <w:color w:val="auto"/>
          <w:sz w:val="24"/>
          <w:szCs w:val="32"/>
          <w:lang w:val="en-US" w:eastAsia="zh-CN"/>
        </w:rPr>
        <w:t>布袋除尘器+15m高排气筒（</w:t>
      </w:r>
      <w:r>
        <w:rPr>
          <w:rFonts w:hint="default" w:ascii="Times New Roman" w:hAnsi="Times New Roman" w:eastAsia="宋体" w:cs="Times New Roman"/>
          <w:color w:val="auto"/>
          <w:sz w:val="24"/>
          <w:szCs w:val="24"/>
          <w:lang w:eastAsia="zh-CN"/>
        </w:rPr>
        <w:t>风量</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eastAsia="zh-CN"/>
        </w:rPr>
        <w:t>00m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/h</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收集效率取90%，处理效率取99%</w:t>
      </w:r>
      <w:r>
        <w:rPr>
          <w:rFonts w:hint="eastAsia" w:cs="Times New Roman"/>
          <w:color w:val="auto"/>
          <w:sz w:val="24"/>
          <w:szCs w:val="24"/>
          <w:lang w:eastAsia="zh-CN"/>
        </w:rPr>
        <w:t>，</w:t>
      </w:r>
      <w:r>
        <w:rPr>
          <w:rFonts w:hint="eastAsia" w:cs="Times New Roman"/>
          <w:color w:val="auto"/>
          <w:sz w:val="24"/>
          <w:szCs w:val="32"/>
          <w:lang w:val="en-US" w:eastAsia="zh-CN"/>
        </w:rPr>
        <w:t>DA001）</w:t>
      </w:r>
      <w:r>
        <w:rPr>
          <w:rFonts w:hint="eastAsia"/>
          <w:color w:val="auto"/>
          <w:sz w:val="24"/>
        </w:rPr>
        <w:t>处理后排放</w:t>
      </w:r>
      <w:r>
        <w:rPr>
          <w:rFonts w:hint="eastAsia"/>
          <w:color w:val="auto"/>
          <w:sz w:val="24"/>
          <w:lang w:eastAsia="zh-CN"/>
        </w:rPr>
        <w:t>。</w:t>
      </w:r>
    </w:p>
    <w:p>
      <w:pPr>
        <w:spacing w:line="360" w:lineRule="auto"/>
        <w:ind w:firstLine="482"/>
        <w:rPr>
          <w:color w:val="auto"/>
          <w:sz w:val="24"/>
        </w:rPr>
      </w:pPr>
      <w:r>
        <w:rPr>
          <w:color w:val="auto"/>
          <w:sz w:val="24"/>
        </w:rPr>
        <w:t>（2）废水</w:t>
      </w:r>
    </w:p>
    <w:p>
      <w:pPr>
        <w:spacing w:line="360" w:lineRule="auto"/>
        <w:ind w:firstLine="480" w:firstLineChars="200"/>
        <w:rPr>
          <w:rFonts w:hint="eastAsia"/>
          <w:color w:val="auto"/>
          <w:sz w:val="24"/>
          <w:szCs w:val="28"/>
        </w:rPr>
      </w:pPr>
      <w:r>
        <w:rPr>
          <w:rFonts w:hint="eastAsia"/>
          <w:color w:val="auto"/>
          <w:sz w:val="24"/>
          <w:szCs w:val="28"/>
        </w:rPr>
        <w:t>生活废水与生产废水一同经</w:t>
      </w:r>
      <w:r>
        <w:rPr>
          <w:rFonts w:hint="eastAsia"/>
          <w:color w:val="auto"/>
          <w:sz w:val="24"/>
          <w:szCs w:val="28"/>
          <w:lang w:val="en-US" w:eastAsia="zh-CN"/>
        </w:rPr>
        <w:t>发酵床处理后，外售有机肥厂</w:t>
      </w:r>
      <w:r>
        <w:rPr>
          <w:rFonts w:hint="eastAsia"/>
          <w:color w:val="auto"/>
          <w:sz w:val="24"/>
          <w:szCs w:val="28"/>
        </w:rPr>
        <w:t>，不外排。</w:t>
      </w:r>
    </w:p>
    <w:p>
      <w:pPr>
        <w:spacing w:line="360" w:lineRule="auto"/>
        <w:ind w:firstLine="482"/>
        <w:rPr>
          <w:color w:val="auto"/>
          <w:sz w:val="24"/>
          <w:szCs w:val="28"/>
        </w:rPr>
      </w:pPr>
      <w:r>
        <w:rPr>
          <w:color w:val="auto"/>
          <w:sz w:val="24"/>
          <w:szCs w:val="28"/>
        </w:rPr>
        <w:t>（3）噪声</w:t>
      </w:r>
    </w:p>
    <w:p>
      <w:pPr>
        <w:spacing w:line="360" w:lineRule="auto"/>
        <w:ind w:firstLine="482"/>
        <w:rPr>
          <w:color w:val="auto"/>
          <w:sz w:val="24"/>
          <w:szCs w:val="28"/>
        </w:rPr>
      </w:pPr>
      <w:r>
        <w:rPr>
          <w:color w:val="auto"/>
          <w:sz w:val="24"/>
          <w:szCs w:val="28"/>
        </w:rPr>
        <w:t>本项目产噪设备主要为为</w:t>
      </w:r>
      <w:r>
        <w:rPr>
          <w:rFonts w:hint="eastAsia"/>
          <w:color w:val="auto"/>
          <w:sz w:val="24"/>
          <w:szCs w:val="28"/>
          <w:lang w:eastAsia="zh-CN"/>
        </w:rPr>
        <w:t>牛</w:t>
      </w:r>
      <w:r>
        <w:rPr>
          <w:color w:val="auto"/>
          <w:sz w:val="24"/>
          <w:szCs w:val="28"/>
        </w:rPr>
        <w:t>叫声、</w:t>
      </w:r>
      <w:r>
        <w:rPr>
          <w:rFonts w:hint="eastAsia"/>
          <w:color w:val="auto"/>
          <w:sz w:val="24"/>
          <w:szCs w:val="28"/>
          <w:lang w:eastAsia="zh-CN"/>
        </w:rPr>
        <w:t>牛</w:t>
      </w:r>
      <w:r>
        <w:rPr>
          <w:color w:val="auto"/>
          <w:sz w:val="24"/>
          <w:szCs w:val="28"/>
        </w:rPr>
        <w:t>舍排气扇、备用发电机、水泵等，噪声源值约70～</w:t>
      </w:r>
      <w:r>
        <w:rPr>
          <w:rFonts w:hint="eastAsia"/>
          <w:color w:val="auto"/>
          <w:sz w:val="24"/>
          <w:szCs w:val="28"/>
        </w:rPr>
        <w:t>85</w:t>
      </w:r>
      <w:r>
        <w:rPr>
          <w:color w:val="auto"/>
          <w:sz w:val="24"/>
          <w:szCs w:val="28"/>
        </w:rPr>
        <w:t>dB（A）。</w:t>
      </w:r>
    </w:p>
    <w:p>
      <w:pPr>
        <w:spacing w:line="360" w:lineRule="auto"/>
        <w:ind w:firstLine="482"/>
        <w:rPr>
          <w:color w:val="auto"/>
          <w:sz w:val="24"/>
          <w:szCs w:val="28"/>
        </w:rPr>
      </w:pPr>
      <w:r>
        <w:rPr>
          <w:color w:val="auto"/>
          <w:sz w:val="24"/>
          <w:szCs w:val="28"/>
        </w:rPr>
        <w:t>（4）固废</w:t>
      </w:r>
    </w:p>
    <w:p>
      <w:pPr>
        <w:pStyle w:val="4"/>
        <w:spacing w:line="360" w:lineRule="auto"/>
        <w:ind w:firstLine="508"/>
        <w:jc w:val="both"/>
        <w:rPr>
          <w:color w:val="auto"/>
          <w:sz w:val="24"/>
          <w:szCs w:val="28"/>
        </w:rPr>
      </w:pPr>
      <w:r>
        <w:rPr>
          <w:color w:val="auto"/>
          <w:sz w:val="24"/>
          <w:szCs w:val="28"/>
        </w:rPr>
        <w:t>养殖场固体废物主要为</w:t>
      </w:r>
      <w:r>
        <w:rPr>
          <w:rFonts w:hint="eastAsia"/>
          <w:color w:val="auto"/>
          <w:sz w:val="24"/>
          <w:szCs w:val="28"/>
          <w:lang w:eastAsia="zh-CN"/>
        </w:rPr>
        <w:t>牛</w:t>
      </w:r>
      <w:r>
        <w:rPr>
          <w:color w:val="auto"/>
          <w:sz w:val="24"/>
          <w:szCs w:val="28"/>
        </w:rPr>
        <w:t>粪</w:t>
      </w:r>
      <w:r>
        <w:rPr>
          <w:rFonts w:hint="eastAsia"/>
          <w:color w:val="auto"/>
          <w:sz w:val="24"/>
          <w:szCs w:val="28"/>
          <w:lang w:eastAsia="zh-CN"/>
        </w:rPr>
        <w:t>、</w:t>
      </w:r>
      <w:r>
        <w:rPr>
          <w:rFonts w:hint="eastAsia"/>
          <w:color w:val="auto"/>
          <w:sz w:val="24"/>
          <w:szCs w:val="28"/>
        </w:rPr>
        <w:t>病死牛及分娩废物</w:t>
      </w:r>
      <w:r>
        <w:rPr>
          <w:color w:val="auto"/>
          <w:sz w:val="24"/>
          <w:szCs w:val="28"/>
        </w:rPr>
        <w:t>、废包装材料</w:t>
      </w:r>
      <w:r>
        <w:rPr>
          <w:rFonts w:hint="eastAsia"/>
          <w:color w:val="auto"/>
          <w:sz w:val="24"/>
          <w:szCs w:val="28"/>
          <w:lang w:val="en-US" w:eastAsia="zh-CN"/>
        </w:rPr>
        <w:t>、布袋除尘器收集的粉尘</w:t>
      </w:r>
      <w:r>
        <w:rPr>
          <w:rFonts w:hint="eastAsia"/>
          <w:color w:val="auto"/>
          <w:sz w:val="24"/>
          <w:szCs w:val="28"/>
          <w:lang w:eastAsia="zh-CN"/>
        </w:rPr>
        <w:t>、</w:t>
      </w:r>
      <w:r>
        <w:rPr>
          <w:color w:val="auto"/>
          <w:sz w:val="24"/>
          <w:szCs w:val="28"/>
        </w:rPr>
        <w:t>畜禽医疗垃圾</w:t>
      </w:r>
      <w:r>
        <w:rPr>
          <w:rFonts w:hint="eastAsia"/>
          <w:color w:val="auto"/>
          <w:sz w:val="24"/>
          <w:szCs w:val="28"/>
        </w:rPr>
        <w:t>、</w:t>
      </w:r>
      <w:r>
        <w:rPr>
          <w:rFonts w:hint="eastAsia"/>
          <w:color w:val="auto"/>
          <w:sz w:val="24"/>
          <w:szCs w:val="28"/>
          <w:lang w:val="en-US" w:eastAsia="zh-CN"/>
        </w:rPr>
        <w:t>办公</w:t>
      </w:r>
      <w:r>
        <w:rPr>
          <w:color w:val="auto"/>
          <w:sz w:val="24"/>
          <w:szCs w:val="28"/>
        </w:rPr>
        <w:t>生活垃圾</w:t>
      </w:r>
      <w:r>
        <w:rPr>
          <w:rFonts w:hint="eastAsia"/>
          <w:color w:val="auto"/>
          <w:sz w:val="24"/>
          <w:szCs w:val="28"/>
        </w:rPr>
        <w:t>、</w:t>
      </w:r>
      <w:r>
        <w:rPr>
          <w:rFonts w:hint="eastAsia"/>
          <w:color w:val="auto"/>
          <w:sz w:val="24"/>
          <w:szCs w:val="28"/>
          <w:lang w:eastAsia="zh-CN"/>
        </w:rPr>
        <w:t>预处理池</w:t>
      </w:r>
      <w:r>
        <w:rPr>
          <w:rFonts w:hint="eastAsia"/>
          <w:color w:val="auto"/>
          <w:sz w:val="24"/>
          <w:szCs w:val="28"/>
        </w:rPr>
        <w:t>污泥、隔油池浮油</w:t>
      </w:r>
      <w:r>
        <w:rPr>
          <w:color w:val="auto"/>
          <w:sz w:val="24"/>
          <w:szCs w:val="28"/>
        </w:rPr>
        <w:t>，其中畜禽医疗垃圾为危险废物。项目运行过程中产生的</w:t>
      </w:r>
      <w:r>
        <w:rPr>
          <w:rFonts w:hint="eastAsia"/>
          <w:snapToGrid w:val="0"/>
          <w:color w:val="auto"/>
          <w:szCs w:val="21"/>
          <w:lang w:val="en-US" w:eastAsia="zh-CN"/>
        </w:rPr>
        <w:t>牛粪经发酵床处理后，外售做有机肥原料</w:t>
      </w:r>
      <w:r>
        <w:rPr>
          <w:color w:val="auto"/>
          <w:sz w:val="24"/>
          <w:szCs w:val="28"/>
        </w:rPr>
        <w:t>；</w:t>
      </w:r>
      <w:r>
        <w:rPr>
          <w:rFonts w:hint="eastAsia" w:ascii="Times New Roman" w:hAnsi="Times New Roman" w:cs="Times New Roman"/>
          <w:color w:val="auto"/>
          <w:kern w:val="0"/>
          <w:szCs w:val="21"/>
          <w:lang w:val="en-US" w:eastAsia="zh-CN"/>
        </w:rPr>
        <w:t>病死牛及分娩废物</w:t>
      </w:r>
      <w:r>
        <w:rPr>
          <w:rFonts w:hint="eastAsia" w:ascii="Times New Roman" w:cs="Times New Roman"/>
          <w:color w:val="auto"/>
          <w:kern w:val="0"/>
          <w:szCs w:val="21"/>
          <w:lang w:val="en-US" w:eastAsia="zh-CN"/>
        </w:rPr>
        <w:t>经无害化高温处理后，</w:t>
      </w:r>
      <w:r>
        <w:rPr>
          <w:rFonts w:hint="eastAsia"/>
          <w:snapToGrid w:val="0"/>
          <w:color w:val="auto"/>
          <w:szCs w:val="21"/>
          <w:lang w:val="en-US" w:eastAsia="zh-CN"/>
        </w:rPr>
        <w:t>外售做有机肥厂</w:t>
      </w:r>
      <w:r>
        <w:rPr>
          <w:color w:val="auto"/>
          <w:sz w:val="24"/>
          <w:szCs w:val="28"/>
        </w:rPr>
        <w:t>；废包装材料由厂家回收处置；</w:t>
      </w:r>
      <w:r>
        <w:rPr>
          <w:rFonts w:hint="eastAsia"/>
          <w:color w:val="auto"/>
          <w:sz w:val="24"/>
          <w:szCs w:val="28"/>
          <w:lang w:val="en-US" w:eastAsia="zh-CN"/>
        </w:rPr>
        <w:t>布袋除尘器收集的粉尘外售有机肥厂；</w:t>
      </w:r>
      <w:r>
        <w:rPr>
          <w:color w:val="auto"/>
          <w:sz w:val="24"/>
          <w:szCs w:val="28"/>
        </w:rPr>
        <w:t>畜禽医疗垃圾定期交由有资质的单位进行处理；生活垃圾、</w:t>
      </w:r>
      <w:r>
        <w:rPr>
          <w:rFonts w:hint="eastAsia"/>
          <w:color w:val="auto"/>
          <w:sz w:val="24"/>
          <w:szCs w:val="28"/>
          <w:lang w:eastAsia="zh-CN"/>
        </w:rPr>
        <w:t>预处理池</w:t>
      </w:r>
      <w:r>
        <w:rPr>
          <w:color w:val="auto"/>
          <w:sz w:val="24"/>
          <w:szCs w:val="28"/>
        </w:rPr>
        <w:t>污泥定期交由环卫部门；隔油池浮油定期送三方资质单位处理。</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26" w:name="_Toc313"/>
      <w:bookmarkStart w:id="627" w:name="_Toc12758"/>
      <w:bookmarkStart w:id="628" w:name="_Toc4772"/>
      <w:r>
        <w:rPr>
          <w:rFonts w:ascii="Times New Roman" w:hAnsi="Times New Roman" w:cs="Times New Roman" w:eastAsiaTheme="majorEastAsia"/>
          <w:bCs/>
          <w:color w:val="auto"/>
          <w:kern w:val="2"/>
          <w:szCs w:val="32"/>
          <w:lang w:val="en-US" w:eastAsia="zh-CN"/>
        </w:rPr>
        <w:t>主要环境影响</w:t>
      </w:r>
      <w:bookmarkEnd w:id="626"/>
      <w:bookmarkEnd w:id="627"/>
      <w:bookmarkEnd w:id="628"/>
    </w:p>
    <w:p>
      <w:pPr>
        <w:numPr>
          <w:ilvl w:val="0"/>
          <w:numId w:val="19"/>
        </w:numPr>
        <w:spacing w:line="360" w:lineRule="auto"/>
        <w:ind w:firstLine="482"/>
        <w:rPr>
          <w:color w:val="auto"/>
          <w:sz w:val="24"/>
          <w:szCs w:val="28"/>
        </w:rPr>
      </w:pPr>
      <w:r>
        <w:rPr>
          <w:color w:val="auto"/>
          <w:sz w:val="24"/>
          <w:szCs w:val="28"/>
        </w:rPr>
        <w:t>地表水：本项目采用雨污分流制。</w:t>
      </w:r>
    </w:p>
    <w:p>
      <w:pPr>
        <w:spacing w:line="360" w:lineRule="auto"/>
        <w:ind w:firstLine="720" w:firstLineChars="300"/>
        <w:rPr>
          <w:color w:val="auto"/>
          <w:sz w:val="24"/>
          <w:szCs w:val="28"/>
        </w:rPr>
      </w:pPr>
      <w:r>
        <w:rPr>
          <w:rFonts w:hint="eastAsia"/>
          <w:color w:val="auto"/>
          <w:sz w:val="24"/>
          <w:szCs w:val="28"/>
        </w:rPr>
        <w:t>生活废水与生产废水一同经</w:t>
      </w:r>
      <w:r>
        <w:rPr>
          <w:rFonts w:hint="eastAsia"/>
          <w:color w:val="auto"/>
          <w:sz w:val="24"/>
          <w:szCs w:val="28"/>
          <w:lang w:val="en-US" w:eastAsia="zh-CN"/>
        </w:rPr>
        <w:t>发酵床处理后，外售有机肥厂</w:t>
      </w:r>
      <w:r>
        <w:rPr>
          <w:rFonts w:hint="eastAsia"/>
          <w:color w:val="auto"/>
          <w:sz w:val="24"/>
          <w:szCs w:val="28"/>
        </w:rPr>
        <w:t>，无废水外排</w:t>
      </w:r>
      <w:r>
        <w:rPr>
          <w:color w:val="auto"/>
          <w:sz w:val="24"/>
          <w:szCs w:val="28"/>
        </w:rPr>
        <w:t>，对区域地表水无影响。</w:t>
      </w:r>
    </w:p>
    <w:p>
      <w:pPr>
        <w:spacing w:line="360" w:lineRule="auto"/>
        <w:ind w:firstLine="482"/>
        <w:rPr>
          <w:color w:val="auto"/>
          <w:sz w:val="24"/>
        </w:rPr>
      </w:pPr>
      <w:r>
        <w:rPr>
          <w:color w:val="auto"/>
          <w:sz w:val="24"/>
        </w:rPr>
        <w:t>（2）地下水：在项目认真落实本报告提出的各项地下水污染防治措施，项目建设不会对当地地下水环境产生影响。</w:t>
      </w:r>
    </w:p>
    <w:p>
      <w:pPr>
        <w:spacing w:line="360" w:lineRule="auto"/>
        <w:ind w:firstLine="482"/>
        <w:rPr>
          <w:color w:val="auto"/>
          <w:sz w:val="24"/>
        </w:rPr>
      </w:pPr>
      <w:r>
        <w:rPr>
          <w:color w:val="auto"/>
          <w:sz w:val="24"/>
        </w:rPr>
        <w:t>（3）大气环境：项目废气排放对周围大气环境质量影响不大，不会改变评价范围内的大气环境功能。</w:t>
      </w:r>
    </w:p>
    <w:p>
      <w:pPr>
        <w:spacing w:line="360" w:lineRule="auto"/>
        <w:ind w:firstLine="482"/>
        <w:rPr>
          <w:color w:val="auto"/>
          <w:sz w:val="24"/>
        </w:rPr>
      </w:pPr>
      <w:r>
        <w:rPr>
          <w:color w:val="auto"/>
          <w:sz w:val="24"/>
        </w:rPr>
        <w:t>（4）声环境：噪声预测结果表明：项目设备噪声对厂界噪声贡献值低，噪声影响不明显。项目实施后各厂界噪声昼、夜间预测值均满足(GB12348-2008)中2类标准限值要求。</w:t>
      </w:r>
    </w:p>
    <w:p>
      <w:pPr>
        <w:spacing w:line="360" w:lineRule="auto"/>
        <w:ind w:firstLine="482"/>
        <w:rPr>
          <w:color w:val="auto"/>
          <w:sz w:val="24"/>
        </w:rPr>
      </w:pPr>
      <w:r>
        <w:rPr>
          <w:color w:val="auto"/>
          <w:sz w:val="24"/>
        </w:rPr>
        <w:t>（5）固废：项目固废按照“三化”原则处置，采取上述措施后，不会带来二次污染，不会对环境产生明显影响。</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29" w:name="_Toc10703"/>
      <w:bookmarkStart w:id="630" w:name="_Toc9578"/>
      <w:bookmarkStart w:id="631" w:name="_Toc9138"/>
      <w:r>
        <w:rPr>
          <w:rFonts w:ascii="Times New Roman" w:hAnsi="Times New Roman" w:cs="Times New Roman" w:eastAsiaTheme="majorEastAsia"/>
          <w:bCs/>
          <w:color w:val="auto"/>
          <w:kern w:val="2"/>
          <w:szCs w:val="32"/>
          <w:lang w:val="en-US" w:eastAsia="zh-CN"/>
        </w:rPr>
        <w:t>公众意见采纳情况</w:t>
      </w:r>
      <w:bookmarkEnd w:id="629"/>
      <w:bookmarkEnd w:id="630"/>
      <w:bookmarkEnd w:id="631"/>
    </w:p>
    <w:p>
      <w:pPr>
        <w:spacing w:line="360" w:lineRule="auto"/>
        <w:ind w:firstLine="480" w:firstLineChars="200"/>
        <w:rPr>
          <w:rFonts w:ascii="宋体" w:hAnsi="宋体"/>
          <w:color w:val="auto"/>
          <w:sz w:val="24"/>
        </w:rPr>
      </w:pPr>
      <w:r>
        <w:rPr>
          <w:rFonts w:hint="eastAsia"/>
          <w:color w:val="auto"/>
          <w:sz w:val="24"/>
          <w:lang w:eastAsia="zh-CN"/>
        </w:rPr>
        <w:t>恩阳区群乐镇坳盘村巴山肉牛育肥场项目</w:t>
      </w:r>
      <w:r>
        <w:rPr>
          <w:color w:val="auto"/>
          <w:sz w:val="24"/>
        </w:rPr>
        <w:t>于202</w:t>
      </w:r>
      <w:r>
        <w:rPr>
          <w:rFonts w:hint="eastAsia"/>
          <w:color w:val="auto"/>
          <w:sz w:val="24"/>
          <w:lang w:val="en-US" w:eastAsia="zh-CN"/>
        </w:rPr>
        <w:t>3</w:t>
      </w:r>
      <w:r>
        <w:rPr>
          <w:color w:val="auto"/>
          <w:sz w:val="24"/>
        </w:rPr>
        <w:t>年</w:t>
      </w:r>
      <w:r>
        <w:rPr>
          <w:rFonts w:hint="eastAsia"/>
          <w:color w:val="auto"/>
          <w:sz w:val="24"/>
          <w:lang w:val="en-US" w:eastAsia="zh-CN"/>
        </w:rPr>
        <w:t>3</w:t>
      </w:r>
      <w:r>
        <w:rPr>
          <w:color w:val="auto"/>
          <w:sz w:val="24"/>
        </w:rPr>
        <w:t>月</w:t>
      </w:r>
      <w:r>
        <w:rPr>
          <w:rFonts w:hint="eastAsia"/>
          <w:color w:val="auto"/>
          <w:sz w:val="24"/>
          <w:lang w:val="en-US" w:eastAsia="zh-CN"/>
        </w:rPr>
        <w:t>31日</w:t>
      </w:r>
      <w:r>
        <w:rPr>
          <w:color w:val="auto"/>
          <w:sz w:val="24"/>
        </w:rPr>
        <w:t>正式委托</w:t>
      </w:r>
      <w:r>
        <w:rPr>
          <w:rFonts w:hint="eastAsia"/>
          <w:color w:val="auto"/>
          <w:sz w:val="24"/>
        </w:rPr>
        <w:t>四川汉雲环美科技有限公司</w:t>
      </w:r>
      <w:r>
        <w:rPr>
          <w:color w:val="auto"/>
          <w:sz w:val="24"/>
        </w:rPr>
        <w:t>承担此项工作，我公司在接受委托后，组织技术人员成立了项目小组，随即派有关技术人员对该项目进行了现场踏勘和资料收集；</w:t>
      </w:r>
      <w:r>
        <w:rPr>
          <w:rFonts w:ascii="宋体" w:hAnsi="宋体"/>
          <w:color w:val="auto"/>
          <w:sz w:val="24"/>
        </w:rPr>
        <w:t>建设单位</w:t>
      </w:r>
      <w:r>
        <w:rPr>
          <w:rFonts w:hint="default" w:ascii="Times New Roman" w:hAnsi="Times New Roman" w:cs="Times New Roman"/>
          <w:color w:val="auto"/>
          <w:sz w:val="24"/>
        </w:rPr>
        <w:t>于202</w:t>
      </w:r>
      <w:r>
        <w:rPr>
          <w:rFonts w:hint="eastAsia" w:cs="Times New Roman"/>
          <w:color w:val="auto"/>
          <w:sz w:val="24"/>
          <w:lang w:val="en-US" w:eastAsia="zh-CN"/>
        </w:rPr>
        <w:t>3</w:t>
      </w:r>
      <w:r>
        <w:rPr>
          <w:rFonts w:hint="default" w:ascii="Times New Roman" w:hAnsi="Times New Roman" w:cs="Times New Roman"/>
          <w:color w:val="auto"/>
          <w:sz w:val="24"/>
        </w:rPr>
        <w:t>年</w:t>
      </w:r>
      <w:r>
        <w:rPr>
          <w:rFonts w:hint="eastAsia" w:cs="Times New Roman"/>
          <w:color w:val="auto"/>
          <w:sz w:val="24"/>
          <w:lang w:val="en-US" w:eastAsia="zh-CN"/>
        </w:rPr>
        <w:t>4</w:t>
      </w:r>
      <w:r>
        <w:rPr>
          <w:rFonts w:hint="default" w:ascii="Times New Roman" w:hAnsi="Times New Roman" w:cs="Times New Roman"/>
          <w:color w:val="auto"/>
          <w:sz w:val="24"/>
        </w:rPr>
        <w:t>月</w:t>
      </w:r>
      <w:r>
        <w:rPr>
          <w:rFonts w:hint="eastAsia" w:cs="Times New Roman"/>
          <w:color w:val="auto"/>
          <w:sz w:val="24"/>
          <w:lang w:val="en-US" w:eastAsia="zh-CN"/>
        </w:rPr>
        <w:t>4</w:t>
      </w:r>
      <w:r>
        <w:rPr>
          <w:rFonts w:hint="default" w:ascii="Times New Roman" w:hAnsi="Times New Roman" w:cs="Times New Roman"/>
          <w:color w:val="auto"/>
          <w:sz w:val="24"/>
        </w:rPr>
        <w:t>日在</w:t>
      </w:r>
      <w:r>
        <w:rPr>
          <w:rFonts w:hint="eastAsia" w:cs="Times New Roman"/>
          <w:color w:val="auto"/>
          <w:sz w:val="24"/>
          <w:lang w:val="en-US" w:eastAsia="zh-CN"/>
        </w:rPr>
        <w:t>巴中市产业发展集团有限公司官网</w:t>
      </w:r>
      <w:r>
        <w:rPr>
          <w:rFonts w:ascii="宋体" w:hAnsi="宋体"/>
          <w:color w:val="auto"/>
          <w:sz w:val="24"/>
        </w:rPr>
        <w:t>上</w:t>
      </w:r>
      <w:r>
        <w:rPr>
          <w:rFonts w:hint="eastAsia" w:ascii="宋体" w:hAnsi="宋体"/>
          <w:color w:val="auto"/>
          <w:sz w:val="24"/>
        </w:rPr>
        <w:t>（</w:t>
      </w:r>
      <w:r>
        <w:rPr>
          <w:rFonts w:hint="eastAsia"/>
          <w:color w:val="auto"/>
          <w:sz w:val="24"/>
        </w:rPr>
        <w:t>http://www.bzcyjt.cn/Article-1446.shtml</w:t>
      </w:r>
      <w:r>
        <w:rPr>
          <w:rFonts w:hint="eastAsia" w:ascii="宋体" w:hAnsi="宋体"/>
          <w:color w:val="auto"/>
          <w:sz w:val="24"/>
        </w:rPr>
        <w:t>）</w:t>
      </w:r>
      <w:r>
        <w:rPr>
          <w:rFonts w:ascii="宋体" w:hAnsi="宋体"/>
          <w:color w:val="auto"/>
          <w:sz w:val="24"/>
        </w:rPr>
        <w:t>进行了第一次信息公示</w:t>
      </w:r>
      <w:r>
        <w:rPr>
          <w:rFonts w:hint="eastAsia" w:ascii="宋体" w:hAnsi="宋体"/>
          <w:color w:val="auto"/>
          <w:sz w:val="24"/>
        </w:rPr>
        <w:t>。</w:t>
      </w:r>
      <w:r>
        <w:rPr>
          <w:rFonts w:hint="default" w:ascii="Times New Roman" w:hAnsi="Times New Roman" w:cs="Times New Roman"/>
          <w:color w:val="auto"/>
          <w:sz w:val="24"/>
        </w:rPr>
        <w:t>202</w:t>
      </w:r>
      <w:r>
        <w:rPr>
          <w:rFonts w:hint="eastAsia" w:cs="Times New Roman"/>
          <w:color w:val="auto"/>
          <w:sz w:val="24"/>
          <w:lang w:val="en-US" w:eastAsia="zh-CN"/>
        </w:rPr>
        <w:t>3</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月编制完成项目环评报告初稿，</w:t>
      </w:r>
      <w:r>
        <w:rPr>
          <w:rFonts w:hint="eastAsia" w:hAnsi="宋体"/>
          <w:bCs/>
          <w:color w:val="auto"/>
          <w:sz w:val="24"/>
        </w:rPr>
        <w:t>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4</w:t>
      </w:r>
      <w:r>
        <w:rPr>
          <w:rFonts w:hint="eastAsia" w:hAnsi="宋体"/>
          <w:bCs/>
          <w:color w:val="auto"/>
          <w:sz w:val="24"/>
        </w:rPr>
        <w:t>日~20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16</w:t>
      </w:r>
      <w:r>
        <w:rPr>
          <w:rFonts w:hint="eastAsia" w:hAnsi="宋体"/>
          <w:bCs/>
          <w:color w:val="auto"/>
          <w:sz w:val="24"/>
        </w:rPr>
        <w:t>日，建设单位在</w:t>
      </w:r>
      <w:r>
        <w:rPr>
          <w:rFonts w:hint="eastAsia" w:ascii="Times New Roman" w:hAnsi="Times New Roman" w:cs="Times New Roman"/>
          <w:color w:val="auto"/>
          <w:sz w:val="24"/>
          <w:lang w:val="en-US" w:eastAsia="zh-CN"/>
        </w:rPr>
        <w:t>巴中市产业发展集团有限公司</w:t>
      </w:r>
      <w:r>
        <w:rPr>
          <w:rFonts w:hint="default" w:hAnsi="宋体"/>
          <w:bCs/>
          <w:color w:val="auto"/>
          <w:sz w:val="24"/>
        </w:rPr>
        <w:t>网站上</w:t>
      </w:r>
      <w:r>
        <w:rPr>
          <w:rFonts w:hint="eastAsia" w:hAnsi="宋体"/>
          <w:bCs/>
          <w:color w:val="auto"/>
          <w:sz w:val="24"/>
        </w:rPr>
        <w:t>（http://www.bzcyjt.cn/Article-1471.shtml）</w:t>
      </w:r>
      <w:r>
        <w:rPr>
          <w:rFonts w:ascii="宋体" w:hAnsi="宋体"/>
          <w:color w:val="auto"/>
          <w:sz w:val="24"/>
        </w:rPr>
        <w:t>进行了</w:t>
      </w:r>
      <w:r>
        <w:rPr>
          <w:rFonts w:hint="eastAsia" w:ascii="宋体" w:hAnsi="宋体"/>
          <w:color w:val="auto"/>
          <w:sz w:val="24"/>
        </w:rPr>
        <w:t>征求意见稿公示</w:t>
      </w:r>
      <w:r>
        <w:rPr>
          <w:rFonts w:hint="eastAsia" w:hAnsi="宋体"/>
          <w:bCs/>
          <w:color w:val="auto"/>
          <w:sz w:val="24"/>
        </w:rPr>
        <w:t>，公示时限为10个工作日。220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5</w:t>
      </w:r>
      <w:r>
        <w:rPr>
          <w:rFonts w:hint="eastAsia" w:hAnsi="宋体"/>
          <w:bCs/>
          <w:color w:val="auto"/>
          <w:sz w:val="24"/>
        </w:rPr>
        <w:t>日、</w:t>
      </w:r>
      <w:r>
        <w:rPr>
          <w:rFonts w:hint="eastAsia" w:hAnsi="宋体"/>
          <w:bCs/>
          <w:color w:val="auto"/>
          <w:sz w:val="24"/>
          <w:lang w:val="en-US" w:eastAsia="zh-CN"/>
        </w:rPr>
        <w:t>10</w:t>
      </w:r>
      <w:r>
        <w:rPr>
          <w:rFonts w:hint="eastAsia" w:hAnsi="宋体"/>
          <w:bCs/>
          <w:color w:val="auto"/>
          <w:sz w:val="24"/>
        </w:rPr>
        <w:t>日在</w:t>
      </w:r>
      <w:r>
        <w:rPr>
          <w:rFonts w:hint="eastAsia" w:hAnsi="宋体"/>
          <w:bCs/>
          <w:color w:val="auto"/>
          <w:sz w:val="24"/>
          <w:lang w:val="en-US" w:eastAsia="zh-CN"/>
        </w:rPr>
        <w:t>西南商报</w:t>
      </w:r>
      <w:r>
        <w:rPr>
          <w:rFonts w:hint="eastAsia" w:hAnsi="宋体"/>
          <w:bCs/>
          <w:color w:val="auto"/>
          <w:sz w:val="24"/>
        </w:rPr>
        <w:t>进行了登报公示；20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4</w:t>
      </w:r>
      <w:r>
        <w:rPr>
          <w:rFonts w:hint="eastAsia" w:hAnsi="宋体"/>
          <w:bCs/>
          <w:color w:val="auto"/>
          <w:sz w:val="24"/>
        </w:rPr>
        <w:t>日~20</w:t>
      </w:r>
      <w:r>
        <w:rPr>
          <w:rFonts w:hint="eastAsia" w:hAnsi="宋体"/>
          <w:bCs/>
          <w:color w:val="auto"/>
          <w:sz w:val="24"/>
          <w:lang w:val="en-US" w:eastAsia="zh-CN"/>
        </w:rPr>
        <w:t>23</w:t>
      </w:r>
      <w:r>
        <w:rPr>
          <w:rFonts w:hint="eastAsia" w:hAnsi="宋体"/>
          <w:bCs/>
          <w:color w:val="auto"/>
          <w:sz w:val="24"/>
        </w:rPr>
        <w:t>年</w:t>
      </w:r>
      <w:r>
        <w:rPr>
          <w:rFonts w:hint="eastAsia" w:hAnsi="宋体"/>
          <w:bCs/>
          <w:color w:val="auto"/>
          <w:sz w:val="24"/>
          <w:lang w:val="en-US" w:eastAsia="zh-CN"/>
        </w:rPr>
        <w:t>5</w:t>
      </w:r>
      <w:r>
        <w:rPr>
          <w:rFonts w:hint="eastAsia" w:hAnsi="宋体"/>
          <w:bCs/>
          <w:color w:val="auto"/>
          <w:sz w:val="24"/>
        </w:rPr>
        <w:t>月</w:t>
      </w:r>
      <w:r>
        <w:rPr>
          <w:rFonts w:hint="eastAsia" w:hAnsi="宋体"/>
          <w:bCs/>
          <w:color w:val="auto"/>
          <w:sz w:val="24"/>
          <w:lang w:val="en-US" w:eastAsia="zh-CN"/>
        </w:rPr>
        <w:t>16</w:t>
      </w:r>
      <w:r>
        <w:rPr>
          <w:rFonts w:hint="eastAsia" w:hAnsi="宋体"/>
          <w:bCs/>
          <w:color w:val="auto"/>
          <w:sz w:val="24"/>
        </w:rPr>
        <w:t>日同步在项目所在地</w:t>
      </w:r>
      <w:r>
        <w:rPr>
          <w:rFonts w:hint="eastAsia" w:hAnsi="宋体"/>
          <w:bCs/>
          <w:color w:val="auto"/>
          <w:sz w:val="24"/>
          <w:lang w:val="en-US" w:eastAsia="zh-CN"/>
        </w:rPr>
        <w:t>村委会</w:t>
      </w:r>
      <w:r>
        <w:rPr>
          <w:rFonts w:hint="eastAsia" w:hAnsi="宋体"/>
          <w:bCs/>
          <w:color w:val="auto"/>
          <w:sz w:val="24"/>
        </w:rPr>
        <w:t>进行了张榜公示，公示时间为10个工作日。</w:t>
      </w:r>
      <w:r>
        <w:rPr>
          <w:rFonts w:hint="default" w:ascii="Times New Roman" w:hAnsi="Times New Roman" w:cs="Times New Roman"/>
          <w:color w:val="auto"/>
          <w:sz w:val="24"/>
        </w:rPr>
        <w:t>公示期间未收到公众质疑性意见。综合以上工作成果，在此基础上按照有关技术规范要求，编制完成了《巴中乾兴产业园区建设投资有限公司</w:t>
      </w:r>
      <w:r>
        <w:rPr>
          <w:rFonts w:hint="eastAsia"/>
          <w:color w:val="auto"/>
          <w:sz w:val="24"/>
        </w:rPr>
        <w:t>恩阳区群乐镇坳盘村巴山肉牛育肥场项目</w:t>
      </w:r>
      <w:r>
        <w:rPr>
          <w:rFonts w:hint="default" w:ascii="Times New Roman" w:hAnsi="Times New Roman" w:cs="Times New Roman"/>
          <w:color w:val="auto"/>
          <w:sz w:val="24"/>
        </w:rPr>
        <w:t>环境影响报告书》，报送</w:t>
      </w:r>
      <w:r>
        <w:rPr>
          <w:rFonts w:hint="eastAsia" w:cs="Times New Roman"/>
          <w:color w:val="auto"/>
          <w:sz w:val="24"/>
          <w:lang w:val="en-US" w:eastAsia="zh-CN"/>
        </w:rPr>
        <w:t>巴中</w:t>
      </w:r>
      <w:r>
        <w:rPr>
          <w:rFonts w:hint="default" w:ascii="Times New Roman" w:hAnsi="Times New Roman" w:cs="Times New Roman"/>
          <w:color w:val="auto"/>
          <w:sz w:val="24"/>
          <w:lang w:val="en-US" w:eastAsia="zh-CN"/>
        </w:rPr>
        <w:t>市</w:t>
      </w:r>
      <w:r>
        <w:rPr>
          <w:rFonts w:hint="default" w:ascii="Times New Roman" w:hAnsi="Times New Roman" w:cs="Times New Roman"/>
          <w:color w:val="auto"/>
          <w:sz w:val="24"/>
        </w:rPr>
        <w:t>环境保护</w:t>
      </w:r>
      <w:r>
        <w:rPr>
          <w:rFonts w:ascii="宋体" w:hAnsi="宋体"/>
          <w:color w:val="auto"/>
          <w:sz w:val="24"/>
        </w:rPr>
        <w:t>行政管理部门审批。</w:t>
      </w:r>
    </w:p>
    <w:p>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w:t>
      </w:r>
      <w:r>
        <w:rPr>
          <w:color w:val="auto"/>
          <w:sz w:val="24"/>
        </w:rPr>
        <w:t>项目对周围居民进行调查，发放公众意见调查表</w:t>
      </w:r>
      <w:r>
        <w:rPr>
          <w:rFonts w:hint="eastAsia"/>
          <w:color w:val="auto"/>
          <w:sz w:val="24"/>
          <w:lang w:val="en-US" w:eastAsia="zh-CN"/>
        </w:rPr>
        <w:t>33</w:t>
      </w:r>
      <w:r>
        <w:rPr>
          <w:color w:val="auto"/>
          <w:sz w:val="24"/>
        </w:rPr>
        <w:t>份，收回公众意见调查表</w:t>
      </w:r>
      <w:r>
        <w:rPr>
          <w:rFonts w:hint="eastAsia"/>
          <w:color w:val="auto"/>
          <w:sz w:val="24"/>
          <w:lang w:val="en-US" w:eastAsia="zh-CN"/>
        </w:rPr>
        <w:t>33</w:t>
      </w:r>
      <w:r>
        <w:rPr>
          <w:color w:val="auto"/>
          <w:sz w:val="24"/>
        </w:rPr>
        <w:t>份。调查人群均在附近居住，</w:t>
      </w:r>
      <w:r>
        <w:rPr>
          <w:rFonts w:hint="eastAsia" w:ascii="Times New Roman" w:hAnsi="Times New Roman" w:eastAsia="宋体" w:cs="Times New Roman"/>
          <w:color w:val="auto"/>
          <w:sz w:val="24"/>
          <w:szCs w:val="24"/>
          <w:lang w:val="en-US" w:eastAsia="zh-CN"/>
        </w:rPr>
        <w:t>问卷调查人员信息统计表见表9-1，</w:t>
      </w:r>
      <w:r>
        <w:rPr>
          <w:color w:val="auto"/>
          <w:sz w:val="24"/>
        </w:rPr>
        <w:t>调查结果统计见表</w:t>
      </w:r>
      <w:r>
        <w:rPr>
          <w:rFonts w:hint="eastAsia"/>
          <w:color w:val="auto"/>
          <w:sz w:val="24"/>
          <w:lang w:val="en-US" w:eastAsia="zh-CN"/>
        </w:rPr>
        <w:t>9-2。</w:t>
      </w:r>
    </w:p>
    <w:p>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color w:val="auto"/>
          <w:sz w:val="24"/>
          <w:lang w:val="en-US" w:eastAsia="zh-CN"/>
        </w:rPr>
        <w:t>表</w:t>
      </w:r>
      <w:r>
        <w:rPr>
          <w:color w:val="auto"/>
          <w:sz w:val="24"/>
        </w:rPr>
        <w:t>9-</w:t>
      </w:r>
      <w:r>
        <w:rPr>
          <w:rFonts w:hint="eastAsia"/>
          <w:color w:val="auto"/>
          <w:sz w:val="24"/>
          <w:lang w:val="en-US" w:eastAsia="zh-CN"/>
        </w:rPr>
        <w:t>1</w:t>
      </w:r>
      <w:r>
        <w:rPr>
          <w:rFonts w:hint="eastAsia"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问卷调查人员信息统计表</w:t>
      </w:r>
    </w:p>
    <w:tbl>
      <w:tblPr>
        <w:tblStyle w:val="90"/>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210"/>
        <w:gridCol w:w="1656"/>
        <w:gridCol w:w="5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序号</w:t>
            </w:r>
          </w:p>
        </w:tc>
        <w:tc>
          <w:tcPr>
            <w:tcW w:w="1210" w:type="dxa"/>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姓名</w:t>
            </w:r>
          </w:p>
        </w:tc>
        <w:tc>
          <w:tcPr>
            <w:tcW w:w="1656" w:type="dxa"/>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电话</w:t>
            </w:r>
          </w:p>
        </w:tc>
        <w:tc>
          <w:tcPr>
            <w:tcW w:w="5178" w:type="dxa"/>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住址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1</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张福英</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13543259967</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2</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张波</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13668098776</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3</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赵沈祥</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13981673659</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4</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赵德芙</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15982771216</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5</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赵思朋</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15983975890</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6</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赵思礼</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13843259967</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7</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赵宝武</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18113770409</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8</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赵凤鸣</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r>
              <w:rPr>
                <w:rFonts w:hint="eastAsia"/>
                <w:color w:val="auto"/>
                <w:szCs w:val="21"/>
                <w:lang w:val="en-US" w:eastAsia="zh-CN"/>
              </w:rPr>
              <w:t>13882059667</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9</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赵金玲</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18151997087</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10</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张木公</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18623132115</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11</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赵波</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15982714580</w:t>
            </w:r>
          </w:p>
        </w:tc>
        <w:tc>
          <w:tcPr>
            <w:tcW w:w="5178" w:type="dxa"/>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12</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赵春林</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118784268980</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13</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赵万春</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18228876878</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14</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赵迎春</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17358560319</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15</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赵思刚</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13558566744</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16</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赵学贤</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19980297993</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17</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周玲</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18282126595</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18</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赵思羚</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13398453703</w:t>
            </w:r>
          </w:p>
        </w:tc>
        <w:tc>
          <w:tcPr>
            <w:tcW w:w="5178"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19</w:t>
            </w:r>
          </w:p>
        </w:tc>
        <w:tc>
          <w:tcPr>
            <w:tcW w:w="1210"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朱晓琼</w:t>
            </w:r>
          </w:p>
        </w:tc>
        <w:tc>
          <w:tcPr>
            <w:tcW w:w="1656" w:type="dxa"/>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18161467378</w:t>
            </w:r>
          </w:p>
        </w:tc>
        <w:tc>
          <w:tcPr>
            <w:tcW w:w="5178" w:type="dxa"/>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20</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r>
              <w:rPr>
                <w:rFonts w:hint="eastAsia"/>
                <w:color w:val="auto"/>
                <w:szCs w:val="21"/>
                <w:lang w:val="en-US" w:eastAsia="zh-CN"/>
              </w:rPr>
              <w:t>鲜容</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r>
              <w:rPr>
                <w:rFonts w:hint="eastAsia"/>
                <w:color w:val="auto"/>
                <w:szCs w:val="21"/>
                <w:lang w:val="en-US" w:eastAsia="zh-CN"/>
              </w:rPr>
              <w:t>13541797636</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r>
              <w:rPr>
                <w:rFonts w:hint="eastAsia"/>
                <w:color w:val="auto"/>
                <w:szCs w:val="21"/>
                <w:lang w:val="en-US" w:eastAsia="zh-CN"/>
              </w:rPr>
              <w:t>赵定福</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color w:val="auto"/>
                <w:szCs w:val="21"/>
                <w:lang w:val="en-US" w:eastAsia="zh-CN"/>
              </w:rPr>
            </w:pPr>
            <w:r>
              <w:rPr>
                <w:rFonts w:hint="eastAsia"/>
                <w:color w:val="auto"/>
                <w:szCs w:val="21"/>
                <w:lang w:val="en-US" w:eastAsia="zh-CN"/>
              </w:rPr>
              <w:t>13981662780</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赵学愁</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18190100576</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赵银河</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13619096845</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赵思进</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15882623600</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彭光华</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18180694097</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赵学德</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13550477759</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赵思举</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15884990452</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赵明</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13880816893</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2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赵鹏程</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18382703680</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210"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赵思先</w:t>
            </w:r>
          </w:p>
        </w:tc>
        <w:tc>
          <w:tcPr>
            <w:tcW w:w="165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15983967837</w:t>
            </w:r>
          </w:p>
        </w:tc>
        <w:tc>
          <w:tcPr>
            <w:tcW w:w="517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赵思胜</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17763929366</w:t>
            </w: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赵银华</w:t>
            </w:r>
          </w:p>
        </w:tc>
        <w:tc>
          <w:tcPr>
            <w:tcW w:w="0" w:type="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15884992611</w:t>
            </w: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33</w:t>
            </w: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赵海荣</w:t>
            </w: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16608278565</w:t>
            </w:r>
          </w:p>
        </w:tc>
        <w:tc>
          <w:tcPr>
            <w:tcW w:w="0" w:type="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四川省巴中市恩阳区群乐镇坳盘村2组</w:t>
            </w:r>
          </w:p>
        </w:tc>
      </w:tr>
    </w:tbl>
    <w:p>
      <w:pPr>
        <w:tabs>
          <w:tab w:val="left" w:pos="3360"/>
        </w:tabs>
        <w:ind w:firstLine="0" w:firstLineChars="0"/>
        <w:jc w:val="center"/>
        <w:rPr>
          <w:rFonts w:hAnsi="宋体"/>
          <w:b/>
          <w:color w:val="auto"/>
          <w:sz w:val="21"/>
          <w:szCs w:val="21"/>
        </w:rPr>
      </w:pPr>
      <w:r>
        <w:rPr>
          <w:rFonts w:hAnsi="宋体"/>
          <w:b/>
          <w:color w:val="auto"/>
          <w:sz w:val="21"/>
          <w:szCs w:val="21"/>
        </w:rPr>
        <w:t>表9</w:t>
      </w:r>
      <w:r>
        <w:rPr>
          <w:rFonts w:hint="eastAsia" w:hAnsi="宋体"/>
          <w:b/>
          <w:color w:val="auto"/>
          <w:sz w:val="21"/>
          <w:szCs w:val="21"/>
          <w:lang w:val="en-US" w:eastAsia="zh-CN"/>
        </w:rPr>
        <w:t xml:space="preserve">-2 </w:t>
      </w:r>
      <w:r>
        <w:rPr>
          <w:rFonts w:hAnsi="宋体"/>
          <w:b/>
          <w:color w:val="auto"/>
          <w:sz w:val="21"/>
          <w:szCs w:val="21"/>
        </w:rPr>
        <w:t xml:space="preserve"> 公众意见调查统计表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1127"/>
        <w:gridCol w:w="2250"/>
        <w:gridCol w:w="1975"/>
        <w:gridCol w:w="1102"/>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62" w:type="dxa"/>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调查内容</w:t>
            </w:r>
          </w:p>
        </w:tc>
        <w:tc>
          <w:tcPr>
            <w:tcW w:w="6460" w:type="dxa"/>
            <w:gridSpan w:val="5"/>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调查结果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2062" w:type="dxa"/>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default"/>
                <w:color w:val="auto"/>
                <w:szCs w:val="21"/>
                <w:lang w:val="en-US" w:eastAsia="zh-CN"/>
              </w:rPr>
              <w:t>与本项目环境影响和环境保护措施有关的建议和意见</w:t>
            </w:r>
          </w:p>
        </w:tc>
        <w:tc>
          <w:tcPr>
            <w:tcW w:w="1127" w:type="dxa"/>
            <w:noWrap w:val="0"/>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无</w:t>
            </w:r>
          </w:p>
        </w:tc>
        <w:tc>
          <w:tcPr>
            <w:tcW w:w="2250" w:type="dxa"/>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有</w:t>
            </w:r>
          </w:p>
        </w:tc>
        <w:tc>
          <w:tcPr>
            <w:tcW w:w="1975" w:type="dxa"/>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不关心</w:t>
            </w:r>
          </w:p>
        </w:tc>
        <w:tc>
          <w:tcPr>
            <w:tcW w:w="1102" w:type="dxa"/>
            <w:noWrap w:val="0"/>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93" w:hRule="atLeast"/>
          <w:jc w:val="center"/>
        </w:trPr>
        <w:tc>
          <w:tcPr>
            <w:tcW w:w="2062" w:type="dxa"/>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p>
        </w:tc>
        <w:tc>
          <w:tcPr>
            <w:tcW w:w="1127" w:type="dxa"/>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33</w:t>
            </w:r>
          </w:p>
        </w:tc>
        <w:tc>
          <w:tcPr>
            <w:tcW w:w="2250" w:type="dxa"/>
            <w:noWrap w:val="0"/>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0</w:t>
            </w:r>
          </w:p>
        </w:tc>
        <w:tc>
          <w:tcPr>
            <w:tcW w:w="1975" w:type="dxa"/>
            <w:noWrap w:val="0"/>
            <w:vAlign w:val="center"/>
          </w:tcPr>
          <w:p>
            <w:pPr>
              <w:keepNext w:val="0"/>
              <w:keepLines w:val="0"/>
              <w:suppressLineNumbers w:val="0"/>
              <w:spacing w:before="0" w:beforeAutospacing="0" w:after="0" w:afterAutospacing="0"/>
              <w:ind w:left="0" w:right="0"/>
              <w:jc w:val="center"/>
              <w:rPr>
                <w:rFonts w:hint="eastAsia"/>
                <w:color w:val="auto"/>
                <w:szCs w:val="21"/>
                <w:lang w:val="en-US" w:eastAsia="zh-CN"/>
              </w:rPr>
            </w:pPr>
          </w:p>
        </w:tc>
        <w:tc>
          <w:tcPr>
            <w:tcW w:w="1102" w:type="dxa"/>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33</w:t>
            </w:r>
          </w:p>
        </w:tc>
      </w:tr>
    </w:tbl>
    <w:p>
      <w:pPr>
        <w:spacing w:line="360" w:lineRule="auto"/>
        <w:ind w:firstLine="480" w:firstLineChars="200"/>
        <w:rPr>
          <w:color w:val="auto"/>
          <w:sz w:val="24"/>
        </w:rPr>
      </w:pPr>
      <w:r>
        <w:rPr>
          <w:color w:val="auto"/>
          <w:sz w:val="24"/>
        </w:rPr>
        <w:t>经统计，被调查人员</w:t>
      </w:r>
      <w:r>
        <w:rPr>
          <w:rFonts w:hint="eastAsia"/>
          <w:color w:val="auto"/>
          <w:sz w:val="24"/>
          <w:lang w:val="en-US" w:eastAsia="zh-CN"/>
        </w:rPr>
        <w:t>无</w:t>
      </w:r>
      <w:r>
        <w:rPr>
          <w:color w:val="auto"/>
          <w:sz w:val="24"/>
        </w:rPr>
        <w:t>对该项目</w:t>
      </w:r>
      <w:r>
        <w:rPr>
          <w:rFonts w:hint="eastAsia"/>
          <w:color w:val="auto"/>
          <w:sz w:val="24"/>
        </w:rPr>
        <w:t>环境影响和环境保护措施有关的建议和意见</w:t>
      </w:r>
      <w:r>
        <w:rPr>
          <w:rFonts w:hint="eastAsia"/>
          <w:color w:val="auto"/>
          <w:sz w:val="24"/>
          <w:lang w:eastAsia="zh-CN"/>
        </w:rPr>
        <w:t>，</w:t>
      </w:r>
      <w:r>
        <w:rPr>
          <w:color w:val="auto"/>
          <w:sz w:val="24"/>
        </w:rPr>
        <w:t>占被调查人数的100%。</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32" w:name="_Toc3113"/>
      <w:bookmarkStart w:id="633" w:name="_Toc28895"/>
      <w:bookmarkStart w:id="634" w:name="_Toc10933"/>
      <w:r>
        <w:rPr>
          <w:rFonts w:ascii="Times New Roman" w:hAnsi="Times New Roman" w:cs="Times New Roman" w:eastAsiaTheme="majorEastAsia"/>
          <w:bCs/>
          <w:color w:val="auto"/>
          <w:kern w:val="2"/>
          <w:szCs w:val="32"/>
          <w:lang w:val="en-US" w:eastAsia="zh-CN"/>
        </w:rPr>
        <w:t>环境保护措施</w:t>
      </w:r>
      <w:bookmarkEnd w:id="632"/>
      <w:bookmarkEnd w:id="633"/>
      <w:bookmarkEnd w:id="634"/>
    </w:p>
    <w:p>
      <w:pPr>
        <w:spacing w:line="360" w:lineRule="auto"/>
        <w:ind w:firstLine="482"/>
        <w:rPr>
          <w:color w:val="auto"/>
          <w:sz w:val="24"/>
        </w:rPr>
      </w:pPr>
      <w:r>
        <w:rPr>
          <w:color w:val="auto"/>
          <w:sz w:val="24"/>
        </w:rPr>
        <w:t>（1）废气治理措施</w:t>
      </w:r>
    </w:p>
    <w:p>
      <w:pPr>
        <w:spacing w:line="360" w:lineRule="auto"/>
        <w:ind w:firstLine="480" w:firstLineChars="200"/>
        <w:rPr>
          <w:b w:val="0"/>
          <w:bCs w:val="0"/>
          <w:color w:val="auto"/>
          <w:sz w:val="24"/>
        </w:rPr>
      </w:pPr>
      <w:r>
        <w:rPr>
          <w:rFonts w:hint="eastAsia"/>
          <w:color w:val="auto"/>
          <w:sz w:val="24"/>
        </w:rPr>
        <w:t>①</w:t>
      </w:r>
      <w:r>
        <w:rPr>
          <w:rFonts w:hint="eastAsia"/>
          <w:color w:val="auto"/>
          <w:sz w:val="24"/>
          <w:lang w:val="en-US" w:eastAsia="zh-CN"/>
        </w:rPr>
        <w:t>牛舍</w:t>
      </w:r>
      <w:r>
        <w:rPr>
          <w:color w:val="auto"/>
          <w:sz w:val="24"/>
        </w:rPr>
        <w:t>恶臭</w:t>
      </w:r>
      <w:r>
        <w:rPr>
          <w:rFonts w:hint="eastAsia"/>
          <w:color w:val="auto"/>
          <w:sz w:val="24"/>
        </w:rPr>
        <w:t>：</w:t>
      </w:r>
      <w:r>
        <w:rPr>
          <w:color w:val="auto"/>
          <w:sz w:val="24"/>
        </w:rPr>
        <w:t>通过采取</w:t>
      </w:r>
      <w:r>
        <w:rPr>
          <w:rFonts w:hint="eastAsia"/>
          <w:color w:val="auto"/>
          <w:sz w:val="24"/>
        </w:rPr>
        <w:t>畜禽科学饲喂技术</w:t>
      </w:r>
      <w:r>
        <w:rPr>
          <w:color w:val="auto"/>
          <w:sz w:val="24"/>
        </w:rPr>
        <w:t>；合理使用饲料添加剂；加强</w:t>
      </w:r>
      <w:r>
        <w:rPr>
          <w:rFonts w:hint="eastAsia"/>
          <w:color w:val="auto"/>
          <w:sz w:val="24"/>
          <w:lang w:eastAsia="zh-CN"/>
        </w:rPr>
        <w:t>牛</w:t>
      </w:r>
      <w:r>
        <w:rPr>
          <w:color w:val="auto"/>
          <w:sz w:val="24"/>
        </w:rPr>
        <w:t>舍管理；投放吸附剂和喷洒除臭剂，加强消毒等措施来减少恶臭的产生与传播；</w:t>
      </w:r>
      <w:r>
        <w:rPr>
          <w:rFonts w:hint="eastAsia"/>
          <w:color w:val="auto"/>
          <w:sz w:val="24"/>
          <w:lang w:eastAsia="zh-CN"/>
        </w:rPr>
        <w:t>牛</w:t>
      </w:r>
      <w:r>
        <w:rPr>
          <w:rFonts w:hint="eastAsia"/>
          <w:color w:val="auto"/>
          <w:sz w:val="24"/>
        </w:rPr>
        <w:t>舍出风口加吸附剂</w:t>
      </w:r>
      <w:r>
        <w:rPr>
          <w:rFonts w:hint="eastAsia"/>
          <w:color w:val="auto"/>
          <w:sz w:val="24"/>
          <w:lang w:eastAsia="zh-CN"/>
        </w:rPr>
        <w:t>；</w:t>
      </w:r>
      <w:r>
        <w:rPr>
          <w:color w:val="auto"/>
          <w:sz w:val="24"/>
        </w:rPr>
        <w:t>同时，加强项目场区及四周绿化</w:t>
      </w:r>
      <w:r>
        <w:rPr>
          <w:rFonts w:hint="eastAsia"/>
          <w:color w:val="auto"/>
          <w:sz w:val="24"/>
        </w:rPr>
        <w:t>；</w:t>
      </w:r>
      <w:r>
        <w:rPr>
          <w:b w:val="0"/>
          <w:bCs w:val="0"/>
          <w:color w:val="auto"/>
          <w:sz w:val="24"/>
        </w:rPr>
        <w:t>以本项目</w:t>
      </w:r>
      <w:r>
        <w:rPr>
          <w:rFonts w:hint="eastAsia"/>
          <w:b w:val="0"/>
          <w:bCs/>
          <w:color w:val="auto"/>
          <w:sz w:val="24"/>
        </w:rPr>
        <w:t>恶臭源</w:t>
      </w:r>
      <w:r>
        <w:rPr>
          <w:rFonts w:hint="eastAsia"/>
          <w:b w:val="0"/>
          <w:bCs/>
          <w:color w:val="auto"/>
          <w:sz w:val="24"/>
          <w:lang w:eastAsia="zh-CN"/>
        </w:rPr>
        <w:t>牛</w:t>
      </w:r>
      <w:r>
        <w:rPr>
          <w:rFonts w:hint="eastAsia"/>
          <w:b w:val="0"/>
          <w:bCs/>
          <w:color w:val="auto"/>
          <w:sz w:val="24"/>
        </w:rPr>
        <w:t>舍</w:t>
      </w:r>
      <w:r>
        <w:rPr>
          <w:rFonts w:hint="eastAsia"/>
          <w:b w:val="0"/>
          <w:bCs/>
          <w:color w:val="auto"/>
          <w:sz w:val="24"/>
          <w:lang w:val="en-US" w:eastAsia="zh-CN"/>
        </w:rPr>
        <w:t>及发酵床</w:t>
      </w:r>
      <w:r>
        <w:rPr>
          <w:rFonts w:hint="eastAsia"/>
          <w:b w:val="0"/>
          <w:bCs/>
          <w:color w:val="auto"/>
          <w:sz w:val="24"/>
        </w:rPr>
        <w:t>边界起1</w:t>
      </w:r>
      <w:r>
        <w:rPr>
          <w:b w:val="0"/>
          <w:bCs/>
          <w:color w:val="auto"/>
          <w:sz w:val="24"/>
        </w:rPr>
        <w:t>00m</w:t>
      </w:r>
      <w:r>
        <w:rPr>
          <w:rFonts w:hint="eastAsia"/>
          <w:b w:val="0"/>
          <w:bCs/>
          <w:color w:val="auto"/>
          <w:sz w:val="24"/>
          <w:lang w:val="en-US" w:eastAsia="zh-CN"/>
        </w:rPr>
        <w:t>和TMR管理中心</w:t>
      </w:r>
      <w:r>
        <w:rPr>
          <w:rFonts w:hint="eastAsia"/>
          <w:b w:val="0"/>
          <w:bCs/>
          <w:color w:val="auto"/>
          <w:sz w:val="24"/>
        </w:rPr>
        <w:t>边界起</w:t>
      </w:r>
      <w:r>
        <w:rPr>
          <w:rFonts w:hint="eastAsia"/>
          <w:b w:val="0"/>
          <w:bCs/>
          <w:color w:val="auto"/>
          <w:sz w:val="24"/>
          <w:lang w:val="en-US" w:eastAsia="zh-CN"/>
        </w:rPr>
        <w:t>5</w:t>
      </w:r>
      <w:r>
        <w:rPr>
          <w:b w:val="0"/>
          <w:bCs/>
          <w:color w:val="auto"/>
          <w:sz w:val="24"/>
        </w:rPr>
        <w:t>0m</w:t>
      </w:r>
      <w:r>
        <w:rPr>
          <w:rFonts w:hint="eastAsia"/>
          <w:b w:val="0"/>
          <w:bCs/>
          <w:color w:val="auto"/>
          <w:sz w:val="24"/>
        </w:rPr>
        <w:t>的区域</w:t>
      </w:r>
      <w:r>
        <w:rPr>
          <w:rFonts w:hint="eastAsia"/>
          <w:b w:val="0"/>
          <w:bCs/>
          <w:color w:val="auto"/>
          <w:sz w:val="24"/>
          <w:lang w:val="en-US" w:eastAsia="zh-CN"/>
        </w:rPr>
        <w:t>划定为</w:t>
      </w:r>
      <w:r>
        <w:rPr>
          <w:rFonts w:hint="eastAsia"/>
          <w:b w:val="0"/>
          <w:bCs/>
          <w:color w:val="auto"/>
          <w:sz w:val="24"/>
        </w:rPr>
        <w:t>卫生防护距离</w:t>
      </w:r>
      <w:r>
        <w:rPr>
          <w:rFonts w:hint="eastAsia"/>
          <w:color w:val="auto"/>
          <w:sz w:val="24"/>
          <w:lang w:eastAsia="zh-CN"/>
        </w:rPr>
        <w:t>，</w:t>
      </w:r>
      <w:r>
        <w:rPr>
          <w:rFonts w:hint="eastAsia"/>
          <w:bCs/>
          <w:color w:val="auto"/>
          <w:sz w:val="24"/>
        </w:rPr>
        <w:t>根据现场踏勘，卫生防护距离范围内</w:t>
      </w:r>
      <w:r>
        <w:rPr>
          <w:rFonts w:hint="eastAsia"/>
          <w:bCs/>
          <w:color w:val="auto"/>
          <w:sz w:val="24"/>
          <w:lang w:val="en-US" w:eastAsia="zh-CN"/>
        </w:rPr>
        <w:t>有20户农户</w:t>
      </w:r>
      <w:r>
        <w:rPr>
          <w:rFonts w:hint="eastAsia"/>
          <w:color w:val="auto"/>
          <w:sz w:val="24"/>
          <w:lang w:eastAsia="zh-CN"/>
        </w:rPr>
        <w:t>，</w:t>
      </w:r>
      <w:r>
        <w:rPr>
          <w:rFonts w:hint="eastAsia"/>
          <w:color w:val="auto"/>
          <w:sz w:val="24"/>
        </w:rPr>
        <w:t>已签订租赁合同，租赁为本项目的办公区域</w:t>
      </w:r>
      <w:r>
        <w:rPr>
          <w:rFonts w:hint="eastAsia"/>
          <w:color w:val="auto"/>
          <w:sz w:val="24"/>
          <w:lang w:eastAsia="zh-CN"/>
        </w:rPr>
        <w:t>，</w:t>
      </w:r>
      <w:r>
        <w:rPr>
          <w:color w:val="auto"/>
          <w:sz w:val="24"/>
        </w:rPr>
        <w:t>对卫生防护距离范围内的农户功能置换后，项目产生的恶臭及噪声对周围居民的影响在可接受范围内</w:t>
      </w:r>
      <w:r>
        <w:rPr>
          <w:b w:val="0"/>
          <w:bCs w:val="0"/>
          <w:color w:val="auto"/>
          <w:sz w:val="24"/>
        </w:rPr>
        <w:t>。</w:t>
      </w:r>
    </w:p>
    <w:p>
      <w:pPr>
        <w:spacing w:line="360" w:lineRule="auto"/>
        <w:ind w:firstLine="480" w:firstLineChars="200"/>
        <w:rPr>
          <w:color w:val="auto"/>
          <w:sz w:val="24"/>
        </w:rPr>
      </w:pPr>
      <w:r>
        <w:rPr>
          <w:rFonts w:hint="eastAsia"/>
          <w:color w:val="auto"/>
          <w:sz w:val="24"/>
        </w:rPr>
        <w:t>②</w:t>
      </w:r>
      <w:r>
        <w:rPr>
          <w:rFonts w:hint="eastAsia"/>
          <w:color w:val="auto"/>
          <w:sz w:val="24"/>
          <w:lang w:val="en-US" w:eastAsia="zh-CN"/>
        </w:rPr>
        <w:t>发酵床恶臭</w:t>
      </w:r>
      <w:r>
        <w:rPr>
          <w:rFonts w:hint="eastAsia"/>
          <w:color w:val="auto"/>
          <w:sz w:val="24"/>
        </w:rPr>
        <w:t>：周边定时喷洒除臭剂，同时加强周边绿化。</w:t>
      </w:r>
    </w:p>
    <w:p>
      <w:pPr>
        <w:spacing w:line="360" w:lineRule="auto"/>
        <w:ind w:firstLine="480" w:firstLineChars="200"/>
        <w:rPr>
          <w:color w:val="auto"/>
          <w:sz w:val="24"/>
        </w:rPr>
      </w:pPr>
      <w:r>
        <w:rPr>
          <w:rFonts w:hint="eastAsia"/>
          <w:color w:val="auto"/>
          <w:sz w:val="24"/>
        </w:rPr>
        <w:t>③食堂油烟：经</w:t>
      </w:r>
      <w:r>
        <w:rPr>
          <w:rFonts w:hint="eastAsia"/>
          <w:color w:val="auto"/>
          <w:sz w:val="24"/>
          <w:lang w:val="en-US" w:eastAsia="zh-CN"/>
        </w:rPr>
        <w:t>油烟净化器</w:t>
      </w:r>
      <w:r>
        <w:rPr>
          <w:rFonts w:hint="eastAsia"/>
          <w:color w:val="auto"/>
          <w:sz w:val="24"/>
        </w:rPr>
        <w:t>处理后排放。</w:t>
      </w:r>
    </w:p>
    <w:p>
      <w:pPr>
        <w:spacing w:line="360" w:lineRule="auto"/>
        <w:ind w:firstLine="480" w:firstLineChars="200"/>
        <w:rPr>
          <w:rFonts w:hint="eastAsia" w:eastAsia="宋体"/>
          <w:color w:val="auto"/>
          <w:sz w:val="24"/>
          <w:lang w:eastAsia="zh-CN"/>
        </w:rPr>
      </w:pPr>
      <w:r>
        <w:rPr>
          <w:rFonts w:hint="eastAsia"/>
          <w:color w:val="auto"/>
          <w:sz w:val="24"/>
          <w:lang w:val="en-US" w:eastAsia="zh-CN"/>
        </w:rPr>
        <w:t>④</w:t>
      </w:r>
      <w:r>
        <w:rPr>
          <w:rFonts w:hint="eastAsia"/>
          <w:color w:val="auto"/>
          <w:sz w:val="24"/>
        </w:rPr>
        <w:t>发电机废气：经自带废气净化装置处理后排放</w:t>
      </w:r>
      <w:r>
        <w:rPr>
          <w:rFonts w:hint="eastAsia"/>
          <w:color w:val="auto"/>
          <w:sz w:val="24"/>
          <w:lang w:eastAsia="zh-CN"/>
        </w:rPr>
        <w:t>。</w:t>
      </w:r>
    </w:p>
    <w:p>
      <w:pPr>
        <w:spacing w:line="360" w:lineRule="auto"/>
        <w:ind w:firstLine="480" w:firstLineChars="200"/>
        <w:rPr>
          <w:rFonts w:hint="eastAsia" w:eastAsia="宋体"/>
          <w:color w:val="auto"/>
          <w:sz w:val="24"/>
          <w:lang w:val="en-US" w:eastAsia="zh-CN"/>
        </w:rPr>
      </w:pPr>
      <w:r>
        <w:rPr>
          <w:rFonts w:hint="eastAsia"/>
          <w:color w:val="auto"/>
          <w:sz w:val="24"/>
          <w:lang w:val="en-US" w:eastAsia="zh-CN"/>
        </w:rPr>
        <w:t>⑤饲料加工废气（颗粒物）</w:t>
      </w:r>
      <w:r>
        <w:rPr>
          <w:rFonts w:hint="eastAsia"/>
          <w:color w:val="auto"/>
          <w:sz w:val="24"/>
        </w:rPr>
        <w:t>：经</w:t>
      </w:r>
      <w:r>
        <w:rPr>
          <w:rFonts w:hint="eastAsia" w:cs="Times New Roman"/>
          <w:color w:val="auto"/>
          <w:sz w:val="24"/>
          <w:szCs w:val="32"/>
          <w:lang w:val="en-US" w:eastAsia="zh-CN"/>
        </w:rPr>
        <w:t>布袋除尘器+15m高排气筒（</w:t>
      </w:r>
      <w:r>
        <w:rPr>
          <w:rFonts w:hint="default" w:ascii="Times New Roman" w:hAnsi="Times New Roman" w:eastAsia="宋体" w:cs="Times New Roman"/>
          <w:color w:val="auto"/>
          <w:sz w:val="24"/>
          <w:szCs w:val="24"/>
          <w:lang w:eastAsia="zh-CN"/>
        </w:rPr>
        <w:t>风量</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eastAsia="zh-CN"/>
        </w:rPr>
        <w:t>00m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/h</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收集效率取90%，处理效率取99%</w:t>
      </w:r>
      <w:r>
        <w:rPr>
          <w:rFonts w:hint="eastAsia" w:cs="Times New Roman"/>
          <w:color w:val="auto"/>
          <w:sz w:val="24"/>
          <w:szCs w:val="24"/>
          <w:lang w:eastAsia="zh-CN"/>
        </w:rPr>
        <w:t>，</w:t>
      </w:r>
      <w:r>
        <w:rPr>
          <w:rFonts w:hint="eastAsia" w:cs="Times New Roman"/>
          <w:color w:val="auto"/>
          <w:sz w:val="24"/>
          <w:szCs w:val="32"/>
          <w:lang w:val="en-US" w:eastAsia="zh-CN"/>
        </w:rPr>
        <w:t>DA001）</w:t>
      </w:r>
      <w:r>
        <w:rPr>
          <w:rFonts w:hint="eastAsia"/>
          <w:color w:val="auto"/>
          <w:sz w:val="24"/>
        </w:rPr>
        <w:t>处理后排放</w:t>
      </w:r>
      <w:r>
        <w:rPr>
          <w:rFonts w:hint="eastAsia"/>
          <w:color w:val="auto"/>
          <w:sz w:val="24"/>
          <w:lang w:eastAsia="zh-CN"/>
        </w:rPr>
        <w:t>。</w:t>
      </w:r>
    </w:p>
    <w:p>
      <w:pPr>
        <w:spacing w:line="360" w:lineRule="auto"/>
        <w:ind w:firstLine="480" w:firstLineChars="200"/>
        <w:rPr>
          <w:color w:val="auto"/>
          <w:sz w:val="24"/>
        </w:rPr>
      </w:pPr>
      <w:r>
        <w:rPr>
          <w:color w:val="auto"/>
          <w:sz w:val="24"/>
        </w:rPr>
        <w:t>（2）废水治理措施</w:t>
      </w:r>
    </w:p>
    <w:p>
      <w:pPr>
        <w:spacing w:line="360" w:lineRule="auto"/>
        <w:ind w:firstLine="480" w:firstLineChars="200"/>
        <w:rPr>
          <w:rFonts w:hint="eastAsia"/>
          <w:color w:val="auto"/>
          <w:sz w:val="24"/>
          <w:szCs w:val="28"/>
        </w:rPr>
      </w:pPr>
      <w:r>
        <w:rPr>
          <w:rFonts w:hint="eastAsia"/>
          <w:color w:val="auto"/>
          <w:sz w:val="24"/>
          <w:szCs w:val="28"/>
        </w:rPr>
        <w:t>生活废水与生产废水一同经</w:t>
      </w:r>
      <w:r>
        <w:rPr>
          <w:rFonts w:hint="eastAsia"/>
          <w:color w:val="auto"/>
          <w:sz w:val="24"/>
          <w:szCs w:val="28"/>
          <w:lang w:val="en-US" w:eastAsia="zh-CN"/>
        </w:rPr>
        <w:t>发酵床处理后，外售有机肥厂</w:t>
      </w:r>
      <w:r>
        <w:rPr>
          <w:rFonts w:hint="eastAsia"/>
          <w:color w:val="auto"/>
          <w:sz w:val="24"/>
          <w:szCs w:val="28"/>
        </w:rPr>
        <w:t>，不外排。</w:t>
      </w:r>
    </w:p>
    <w:p>
      <w:pPr>
        <w:spacing w:line="360" w:lineRule="auto"/>
        <w:ind w:firstLine="482"/>
        <w:rPr>
          <w:color w:val="auto"/>
          <w:sz w:val="24"/>
        </w:rPr>
      </w:pPr>
      <w:r>
        <w:rPr>
          <w:color w:val="auto"/>
          <w:sz w:val="24"/>
        </w:rPr>
        <w:t>（3）地下水污染防治</w:t>
      </w:r>
    </w:p>
    <w:p>
      <w:pPr>
        <w:spacing w:line="360" w:lineRule="auto"/>
        <w:ind w:firstLine="482"/>
        <w:rPr>
          <w:color w:val="auto"/>
          <w:sz w:val="24"/>
        </w:rPr>
      </w:pPr>
      <w:r>
        <w:rPr>
          <w:color w:val="auto"/>
          <w:sz w:val="24"/>
        </w:rPr>
        <w:t>将全厂严格区分为污染防治区和非污染防治区。其中，污染防治区分为重点污染防治区、一般污染防治区和简单污染防治区。</w:t>
      </w:r>
    </w:p>
    <w:p>
      <w:pPr>
        <w:spacing w:line="360" w:lineRule="auto"/>
        <w:ind w:firstLine="600" w:firstLineChars="250"/>
        <w:rPr>
          <w:color w:val="auto"/>
          <w:sz w:val="24"/>
        </w:rPr>
      </w:pPr>
      <w:r>
        <w:rPr>
          <w:color w:val="auto"/>
          <w:kern w:val="0"/>
          <w:sz w:val="24"/>
        </w:rPr>
        <w:fldChar w:fldCharType="begin"/>
      </w:r>
      <w:r>
        <w:rPr>
          <w:color w:val="auto"/>
          <w:kern w:val="0"/>
          <w:sz w:val="24"/>
        </w:rPr>
        <w:instrText xml:space="preserve">= 1 \* GB3</w:instrText>
      </w:r>
      <w:r>
        <w:rPr>
          <w:color w:val="auto"/>
          <w:kern w:val="0"/>
          <w:sz w:val="24"/>
        </w:rPr>
        <w:fldChar w:fldCharType="separate"/>
      </w:r>
      <w:r>
        <w:rPr>
          <w:color w:val="auto"/>
          <w:kern w:val="0"/>
          <w:sz w:val="24"/>
        </w:rPr>
        <w:t>①</w:t>
      </w:r>
      <w:r>
        <w:rPr>
          <w:color w:val="auto"/>
          <w:kern w:val="0"/>
          <w:sz w:val="24"/>
        </w:rPr>
        <w:fldChar w:fldCharType="end"/>
      </w:r>
      <w:r>
        <w:rPr>
          <w:rFonts w:hint="eastAsia"/>
          <w:color w:val="auto"/>
          <w:kern w:val="0"/>
          <w:sz w:val="24"/>
          <w:lang w:val="en-US" w:eastAsia="zh-CN"/>
        </w:rPr>
        <w:t>医疗废物</w:t>
      </w:r>
      <w:r>
        <w:rPr>
          <w:rFonts w:hint="eastAsia"/>
          <w:color w:val="auto"/>
          <w:kern w:val="0"/>
          <w:sz w:val="24"/>
        </w:rPr>
        <w:t>暂存间、柴油发电机房</w:t>
      </w:r>
      <w:r>
        <w:rPr>
          <w:color w:val="auto"/>
          <w:kern w:val="0"/>
          <w:sz w:val="24"/>
        </w:rPr>
        <w:t>等设置为重点污染防治区，防渗技术要求：等效黏土防渗层 Mb≥6.0m，K≤1×10</w:t>
      </w:r>
      <w:r>
        <w:rPr>
          <w:color w:val="auto"/>
          <w:kern w:val="0"/>
          <w:sz w:val="24"/>
          <w:vertAlign w:val="superscript"/>
        </w:rPr>
        <w:t>-7</w:t>
      </w:r>
      <w:r>
        <w:rPr>
          <w:color w:val="auto"/>
          <w:kern w:val="0"/>
          <w:sz w:val="24"/>
        </w:rPr>
        <w:t>cm/s；</w:t>
      </w:r>
      <w:r>
        <w:rPr>
          <w:rFonts w:hint="eastAsia"/>
          <w:color w:val="auto"/>
          <w:kern w:val="0"/>
          <w:sz w:val="24"/>
          <w:lang w:val="en-US" w:eastAsia="zh-CN"/>
        </w:rPr>
        <w:t>医疗废物</w:t>
      </w:r>
      <w:r>
        <w:rPr>
          <w:rFonts w:hint="eastAsia"/>
          <w:color w:val="auto"/>
          <w:kern w:val="0"/>
          <w:sz w:val="24"/>
        </w:rPr>
        <w:t>暂存间</w:t>
      </w:r>
      <w:r>
        <w:rPr>
          <w:rFonts w:hint="eastAsia"/>
          <w:bCs/>
          <w:color w:val="auto"/>
          <w:sz w:val="24"/>
          <w:szCs w:val="32"/>
        </w:rPr>
        <w:t>满足渗透系数K≤1×10</w:t>
      </w:r>
      <w:r>
        <w:rPr>
          <w:rFonts w:hint="eastAsia"/>
          <w:bCs/>
          <w:color w:val="auto"/>
          <w:sz w:val="24"/>
          <w:szCs w:val="32"/>
          <w:vertAlign w:val="superscript"/>
        </w:rPr>
        <w:t>-10</w:t>
      </w:r>
      <w:r>
        <w:rPr>
          <w:rFonts w:hint="eastAsia"/>
          <w:bCs/>
          <w:color w:val="auto"/>
          <w:sz w:val="24"/>
          <w:szCs w:val="32"/>
        </w:rPr>
        <w:t>cm/s</w:t>
      </w:r>
      <w:r>
        <w:rPr>
          <w:rFonts w:hint="eastAsia"/>
          <w:color w:val="auto"/>
          <w:sz w:val="24"/>
          <w:szCs w:val="24"/>
        </w:rPr>
        <w:t>，</w:t>
      </w:r>
      <w:r>
        <w:rPr>
          <w:rFonts w:hint="default" w:ascii="Times New Roman" w:hAnsi="Times New Roman" w:cs="Times New Roman"/>
          <w:color w:val="auto"/>
          <w:kern w:val="0"/>
          <w:sz w:val="24"/>
          <w:szCs w:val="24"/>
        </w:rPr>
        <w:t>或参照GB18598 执行</w:t>
      </w:r>
      <w:r>
        <w:rPr>
          <w:color w:val="auto"/>
          <w:kern w:val="0"/>
          <w:sz w:val="24"/>
        </w:rPr>
        <w:t>。②</w:t>
      </w:r>
      <w:r>
        <w:rPr>
          <w:rFonts w:hint="eastAsia"/>
          <w:color w:val="auto"/>
          <w:kern w:val="0"/>
          <w:sz w:val="24"/>
          <w:lang w:val="en-US" w:eastAsia="zh-CN"/>
        </w:rPr>
        <w:t>养殖牛舍、干草棚、种牛公舍、TMB管理中心、</w:t>
      </w:r>
      <w:r>
        <w:rPr>
          <w:rFonts w:hint="eastAsia"/>
          <w:color w:val="auto"/>
          <w:sz w:val="24"/>
          <w:szCs w:val="32"/>
          <w:lang w:val="en-US" w:eastAsia="zh-CN"/>
        </w:rPr>
        <w:t>发酵床</w:t>
      </w:r>
      <w:r>
        <w:rPr>
          <w:color w:val="auto"/>
          <w:kern w:val="0"/>
          <w:sz w:val="24"/>
        </w:rPr>
        <w:t>等设置为一般污染防治区，防渗技术要求：等效黏土防渗层Mb≥1.5m，K≤1×10</w:t>
      </w:r>
      <w:r>
        <w:rPr>
          <w:color w:val="auto"/>
          <w:kern w:val="0"/>
          <w:sz w:val="24"/>
          <w:vertAlign w:val="superscript"/>
        </w:rPr>
        <w:t>-7</w:t>
      </w:r>
      <w:r>
        <w:rPr>
          <w:color w:val="auto"/>
          <w:kern w:val="0"/>
          <w:sz w:val="24"/>
        </w:rPr>
        <w:t>cm/s；或参照 GB16889 执行。本项目采用P8级混凝土铺设，混凝土厚度10～15cm。③办公生活用房及道路等属简单污染防治区，可采取非铺砌地坪或普通混凝土地坪，不设置专门的防渗层，场内主要通道全部硬化处理；防渗技术要求：一般地面硬化。</w:t>
      </w:r>
    </w:p>
    <w:p>
      <w:pPr>
        <w:spacing w:line="360" w:lineRule="auto"/>
        <w:ind w:firstLine="482"/>
        <w:rPr>
          <w:color w:val="auto"/>
          <w:sz w:val="24"/>
        </w:rPr>
      </w:pPr>
      <w:r>
        <w:rPr>
          <w:color w:val="auto"/>
          <w:sz w:val="24"/>
        </w:rPr>
        <w:t>（4）噪声</w:t>
      </w:r>
    </w:p>
    <w:p>
      <w:pPr>
        <w:spacing w:line="360" w:lineRule="auto"/>
        <w:ind w:firstLine="482"/>
        <w:rPr>
          <w:color w:val="auto"/>
          <w:sz w:val="24"/>
        </w:rPr>
      </w:pPr>
      <w:r>
        <w:rPr>
          <w:color w:val="auto"/>
          <w:sz w:val="24"/>
        </w:rPr>
        <w:t>本项目产噪设备主要为</w:t>
      </w:r>
      <w:r>
        <w:rPr>
          <w:rFonts w:hint="eastAsia"/>
          <w:color w:val="auto"/>
          <w:sz w:val="24"/>
          <w:lang w:eastAsia="zh-CN"/>
        </w:rPr>
        <w:t>牛</w:t>
      </w:r>
      <w:r>
        <w:rPr>
          <w:color w:val="auto"/>
          <w:sz w:val="24"/>
        </w:rPr>
        <w:t>叫声、</w:t>
      </w:r>
      <w:r>
        <w:rPr>
          <w:rFonts w:hint="eastAsia"/>
          <w:color w:val="auto"/>
          <w:sz w:val="24"/>
          <w:lang w:eastAsia="zh-CN"/>
        </w:rPr>
        <w:t>牛</w:t>
      </w:r>
      <w:r>
        <w:rPr>
          <w:color w:val="auto"/>
          <w:sz w:val="24"/>
        </w:rPr>
        <w:t>舍排气扇、备用发电机、水泵和各类风机，项目从合理布置噪声源，优化总图布置，从设备选型上优先考虑采用低噪声设备，再针对不同的噪声设备采用基础减震、厂房隔声等措施，实现噪声达标排放。</w:t>
      </w:r>
    </w:p>
    <w:p>
      <w:pPr>
        <w:spacing w:line="360" w:lineRule="auto"/>
        <w:ind w:firstLine="482"/>
        <w:rPr>
          <w:color w:val="auto"/>
          <w:sz w:val="24"/>
        </w:rPr>
      </w:pPr>
      <w:r>
        <w:rPr>
          <w:color w:val="auto"/>
          <w:sz w:val="24"/>
        </w:rPr>
        <w:t>（5）固废</w:t>
      </w:r>
    </w:p>
    <w:p>
      <w:pPr>
        <w:pStyle w:val="4"/>
        <w:spacing w:line="360" w:lineRule="auto"/>
        <w:ind w:firstLine="508"/>
        <w:jc w:val="both"/>
        <w:rPr>
          <w:color w:val="auto"/>
          <w:kern w:val="0"/>
          <w:sz w:val="24"/>
        </w:rPr>
      </w:pPr>
      <w:r>
        <w:rPr>
          <w:rFonts w:hint="eastAsia"/>
          <w:color w:val="auto"/>
          <w:kern w:val="0"/>
          <w:sz w:val="24"/>
        </w:rPr>
        <w:t>项目运行过程中产生的</w:t>
      </w:r>
      <w:r>
        <w:rPr>
          <w:rFonts w:hint="eastAsia"/>
          <w:color w:val="auto"/>
          <w:kern w:val="0"/>
          <w:sz w:val="24"/>
          <w:lang w:eastAsia="zh-CN"/>
        </w:rPr>
        <w:t>牛</w:t>
      </w:r>
      <w:r>
        <w:rPr>
          <w:rFonts w:hint="eastAsia"/>
          <w:color w:val="auto"/>
          <w:kern w:val="0"/>
          <w:sz w:val="24"/>
        </w:rPr>
        <w:t>粪</w:t>
      </w:r>
      <w:r>
        <w:rPr>
          <w:rFonts w:hint="eastAsia"/>
          <w:snapToGrid w:val="0"/>
          <w:color w:val="auto"/>
          <w:szCs w:val="21"/>
          <w:lang w:val="en-US" w:eastAsia="zh-CN"/>
        </w:rPr>
        <w:t>经发酵床处理后，外售做有机肥原料</w:t>
      </w:r>
      <w:r>
        <w:rPr>
          <w:rFonts w:hint="eastAsia"/>
          <w:color w:val="auto"/>
          <w:kern w:val="0"/>
          <w:sz w:val="24"/>
        </w:rPr>
        <w:t>；</w:t>
      </w:r>
      <w:r>
        <w:rPr>
          <w:rFonts w:hint="eastAsia"/>
          <w:color w:val="auto"/>
          <w:sz w:val="24"/>
        </w:rPr>
        <w:t>病死牛及分娩废物</w:t>
      </w:r>
      <w:r>
        <w:rPr>
          <w:rFonts w:hint="eastAsia" w:ascii="Times New Roman" w:cs="Times New Roman"/>
          <w:color w:val="auto"/>
          <w:kern w:val="0"/>
          <w:szCs w:val="21"/>
          <w:lang w:val="en-US" w:eastAsia="zh-CN"/>
        </w:rPr>
        <w:t>经无害化高温处理后，</w:t>
      </w:r>
      <w:r>
        <w:rPr>
          <w:rFonts w:hint="eastAsia"/>
          <w:snapToGrid w:val="0"/>
          <w:color w:val="auto"/>
          <w:szCs w:val="21"/>
          <w:lang w:val="en-US" w:eastAsia="zh-CN"/>
        </w:rPr>
        <w:t>外售做有机肥原料</w:t>
      </w:r>
      <w:r>
        <w:rPr>
          <w:rFonts w:hint="eastAsia"/>
          <w:color w:val="auto"/>
          <w:kern w:val="0"/>
          <w:sz w:val="24"/>
        </w:rPr>
        <w:t>；</w:t>
      </w:r>
      <w:r>
        <w:rPr>
          <w:color w:val="auto"/>
          <w:kern w:val="0"/>
          <w:sz w:val="24"/>
        </w:rPr>
        <w:t>废包装材料由厂家回收处置</w:t>
      </w:r>
      <w:r>
        <w:rPr>
          <w:rFonts w:hint="eastAsia"/>
          <w:color w:val="auto"/>
          <w:kern w:val="0"/>
          <w:sz w:val="24"/>
        </w:rPr>
        <w:t>；</w:t>
      </w:r>
      <w:r>
        <w:rPr>
          <w:color w:val="auto"/>
          <w:kern w:val="0"/>
          <w:sz w:val="24"/>
        </w:rPr>
        <w:t>畜禽医疗垃圾定期交由有资质的单位进行处理；</w:t>
      </w:r>
      <w:r>
        <w:rPr>
          <w:rFonts w:hint="eastAsia"/>
          <w:color w:val="auto"/>
          <w:kern w:val="0"/>
          <w:sz w:val="24"/>
        </w:rPr>
        <w:t>布袋除尘器收集的粉尘外售有机肥厂</w:t>
      </w:r>
      <w:r>
        <w:rPr>
          <w:rFonts w:hint="eastAsia"/>
          <w:color w:val="auto"/>
          <w:kern w:val="0"/>
          <w:sz w:val="24"/>
          <w:lang w:eastAsia="zh-CN"/>
        </w:rPr>
        <w:t>；</w:t>
      </w:r>
      <w:r>
        <w:rPr>
          <w:color w:val="auto"/>
          <w:kern w:val="0"/>
          <w:sz w:val="24"/>
        </w:rPr>
        <w:t>生活垃圾、</w:t>
      </w:r>
      <w:r>
        <w:rPr>
          <w:rFonts w:hint="eastAsia"/>
          <w:color w:val="auto"/>
          <w:kern w:val="0"/>
          <w:sz w:val="24"/>
          <w:lang w:eastAsia="zh-CN"/>
        </w:rPr>
        <w:t>预处理池</w:t>
      </w:r>
      <w:r>
        <w:rPr>
          <w:color w:val="auto"/>
          <w:kern w:val="0"/>
          <w:sz w:val="24"/>
        </w:rPr>
        <w:t>污泥定期交由环卫部门；隔油池废油定期送三方资质单位处理。</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35" w:name="_Toc17853"/>
      <w:bookmarkStart w:id="636" w:name="_Toc6998"/>
      <w:bookmarkStart w:id="637" w:name="_Toc13205"/>
      <w:r>
        <w:rPr>
          <w:rFonts w:ascii="Times New Roman" w:hAnsi="Times New Roman" w:cs="Times New Roman" w:eastAsiaTheme="majorEastAsia"/>
          <w:bCs/>
          <w:color w:val="auto"/>
          <w:kern w:val="2"/>
          <w:szCs w:val="32"/>
          <w:lang w:val="en-US" w:eastAsia="zh-CN"/>
        </w:rPr>
        <w:t>环境影响经济损益分析</w:t>
      </w:r>
      <w:bookmarkEnd w:id="635"/>
      <w:bookmarkEnd w:id="636"/>
      <w:bookmarkEnd w:id="637"/>
    </w:p>
    <w:p>
      <w:pPr>
        <w:spacing w:line="360" w:lineRule="auto"/>
        <w:ind w:firstLine="482"/>
        <w:rPr>
          <w:color w:val="auto"/>
          <w:sz w:val="24"/>
        </w:rPr>
      </w:pPr>
      <w:r>
        <w:rPr>
          <w:color w:val="auto"/>
          <w:sz w:val="24"/>
        </w:rPr>
        <w:t>分析可知，在落实本环评提出的各项污染防治措施的前提下，本项目的建设能够达到经济效益、社会效益和环境效益相统一的要求，即为地方经济发展做出贡献，又通过环保投资减少了污染物排放量，使污染物排放量在环境容量容许的范围内。项目建设满足可持续发展的要求，从环境经济角度而言，项目建设是可行的。</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38" w:name="_Toc2219"/>
      <w:bookmarkStart w:id="639" w:name="_Toc2569"/>
      <w:bookmarkStart w:id="640" w:name="_Toc5790"/>
      <w:r>
        <w:rPr>
          <w:rFonts w:ascii="Times New Roman" w:hAnsi="Times New Roman" w:cs="Times New Roman" w:eastAsiaTheme="majorEastAsia"/>
          <w:bCs/>
          <w:color w:val="auto"/>
          <w:kern w:val="2"/>
          <w:szCs w:val="32"/>
          <w:lang w:val="en-US" w:eastAsia="zh-CN"/>
        </w:rPr>
        <w:t>环境管理与监测计划</w:t>
      </w:r>
      <w:bookmarkEnd w:id="638"/>
      <w:bookmarkEnd w:id="639"/>
      <w:bookmarkEnd w:id="640"/>
    </w:p>
    <w:p>
      <w:pPr>
        <w:spacing w:line="360" w:lineRule="auto"/>
        <w:ind w:firstLine="482"/>
        <w:rPr>
          <w:color w:val="auto"/>
          <w:sz w:val="24"/>
        </w:rPr>
      </w:pPr>
      <w:r>
        <w:rPr>
          <w:color w:val="auto"/>
          <w:sz w:val="24"/>
        </w:rPr>
        <w:t>本环评针对项目产生的各类污染物，提出了针对性的环境管理和监测计划。项目运营期应加强环境管理，落实本报告提出的各项环境监测计划，建立健全污染物管理档案。</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41" w:name="_Toc4849"/>
      <w:bookmarkStart w:id="642" w:name="_Toc31814"/>
      <w:bookmarkStart w:id="643" w:name="_Toc4400"/>
      <w:r>
        <w:rPr>
          <w:rFonts w:ascii="Times New Roman" w:hAnsi="Times New Roman" w:cs="Times New Roman" w:eastAsiaTheme="majorEastAsia"/>
          <w:bCs/>
          <w:color w:val="auto"/>
          <w:kern w:val="2"/>
          <w:szCs w:val="32"/>
          <w:lang w:val="en-US" w:eastAsia="zh-CN"/>
        </w:rPr>
        <w:t>结论</w:t>
      </w:r>
      <w:bookmarkEnd w:id="641"/>
      <w:bookmarkEnd w:id="642"/>
      <w:bookmarkEnd w:id="643"/>
    </w:p>
    <w:p>
      <w:pPr>
        <w:spacing w:line="360" w:lineRule="auto"/>
        <w:ind w:firstLine="482"/>
        <w:rPr>
          <w:color w:val="auto"/>
          <w:sz w:val="24"/>
        </w:rPr>
      </w:pPr>
      <w:r>
        <w:rPr>
          <w:color w:val="auto"/>
          <w:sz w:val="24"/>
        </w:rPr>
        <w:t>评价认为：项目符合国家产业政策，选址符合当地规划。项目采用的工艺具先进和成熟性，符合清洁生产要求和循环经济理念。项目选址地周围无明显环境制约因素，采取环评提出的环保措施和环境风险防范措施可实现达标排放，环境风险处于可接受水平；项目对各环境要素的影响小，不会改变区域的环境功能，不会造成环境质量出现超标。因此，落实本环评提出的各项环保措施和环境风险防范措施，则项目在</w:t>
      </w:r>
      <w:r>
        <w:rPr>
          <w:rFonts w:hint="eastAsia"/>
          <w:color w:val="auto"/>
          <w:sz w:val="24"/>
          <w:lang w:val="en-US" w:eastAsia="zh-CN"/>
        </w:rPr>
        <w:t>巴中市</w:t>
      </w:r>
      <w:r>
        <w:rPr>
          <w:rFonts w:hint="eastAsia"/>
          <w:color w:val="auto"/>
          <w:sz w:val="24"/>
          <w:lang w:eastAsia="zh-CN"/>
        </w:rPr>
        <w:t>恩阳区群乐镇坳盘村2组</w:t>
      </w:r>
      <w:r>
        <w:rPr>
          <w:color w:val="auto"/>
          <w:sz w:val="24"/>
        </w:rPr>
        <w:t>进行建设从环保角度可行。</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cs="Times New Roman" w:eastAsiaTheme="majorEastAsia"/>
          <w:bCs/>
          <w:color w:val="auto"/>
          <w:kern w:val="2"/>
          <w:szCs w:val="32"/>
          <w:lang w:val="en-US" w:eastAsia="zh-CN"/>
        </w:rPr>
      </w:pPr>
      <w:bookmarkStart w:id="644" w:name="_Toc343245366"/>
      <w:bookmarkStart w:id="645" w:name="_Toc1770"/>
      <w:bookmarkStart w:id="646" w:name="_Toc180817102"/>
      <w:bookmarkStart w:id="647" w:name="_Toc108520819"/>
      <w:bookmarkStart w:id="648" w:name="_Toc15394"/>
      <w:bookmarkStart w:id="649" w:name="_Toc283717794"/>
      <w:bookmarkStart w:id="650" w:name="_Toc180824245"/>
      <w:bookmarkStart w:id="651" w:name="_Toc17138"/>
      <w:r>
        <w:rPr>
          <w:rFonts w:ascii="Times New Roman" w:hAnsi="Times New Roman" w:cs="Times New Roman" w:eastAsiaTheme="majorEastAsia"/>
          <w:bCs/>
          <w:color w:val="auto"/>
          <w:kern w:val="2"/>
          <w:szCs w:val="32"/>
          <w:lang w:val="en-US" w:eastAsia="zh-CN"/>
        </w:rPr>
        <w:t>要求及建议</w:t>
      </w:r>
      <w:bookmarkEnd w:id="644"/>
      <w:bookmarkEnd w:id="645"/>
      <w:bookmarkEnd w:id="646"/>
      <w:bookmarkEnd w:id="647"/>
      <w:bookmarkEnd w:id="648"/>
      <w:bookmarkEnd w:id="649"/>
      <w:bookmarkEnd w:id="650"/>
      <w:bookmarkEnd w:id="651"/>
    </w:p>
    <w:p>
      <w:pPr>
        <w:pStyle w:val="4"/>
        <w:spacing w:line="360" w:lineRule="auto"/>
        <w:ind w:firstLine="454"/>
        <w:jc w:val="both"/>
        <w:rPr>
          <w:rFonts w:ascii="Times New Roman"/>
          <w:color w:val="auto"/>
          <w:szCs w:val="24"/>
        </w:rPr>
      </w:pPr>
      <w:r>
        <w:rPr>
          <w:rFonts w:ascii="Times New Roman"/>
          <w:color w:val="auto"/>
          <w:szCs w:val="24"/>
        </w:rPr>
        <w:t>（1）保证足够的环保资金，以实施本报告提出的各项治污措施，做好项目建设的“三同时”工作。作好提高水的循环或重复使用率工作，节约水资源。</w:t>
      </w:r>
    </w:p>
    <w:p>
      <w:pPr>
        <w:pStyle w:val="4"/>
        <w:spacing w:line="360" w:lineRule="auto"/>
        <w:ind w:firstLine="454"/>
        <w:jc w:val="both"/>
        <w:rPr>
          <w:rFonts w:ascii="Times New Roman"/>
          <w:color w:val="auto"/>
          <w:szCs w:val="24"/>
        </w:rPr>
      </w:pPr>
      <w:r>
        <w:rPr>
          <w:rFonts w:ascii="Times New Roman"/>
          <w:color w:val="auto"/>
          <w:szCs w:val="24"/>
        </w:rPr>
        <w:t>（2）加强管理，杜绝生产过程中的跑、冒、滴、漏。建立、健全生产环保规章制度，严格在岗人员操作管理，操作人员须通过培训和定期考核方可上岗，与此同时，加强设备、管道、各项治污措施的定期检修和维护工作。</w:t>
      </w:r>
    </w:p>
    <w:p>
      <w:pPr>
        <w:pStyle w:val="4"/>
        <w:spacing w:line="360" w:lineRule="auto"/>
        <w:ind w:firstLine="454"/>
        <w:jc w:val="both"/>
        <w:rPr>
          <w:rFonts w:ascii="Times New Roman"/>
          <w:color w:val="auto"/>
          <w:szCs w:val="24"/>
        </w:rPr>
      </w:pPr>
      <w:r>
        <w:rPr>
          <w:rFonts w:ascii="Times New Roman"/>
          <w:color w:val="auto"/>
          <w:szCs w:val="24"/>
        </w:rPr>
        <w:t>（3）厂区外、厂界内靠墙带尽可能的多植树木花草，既美化环境，又净化空气，同时吸声、屏噪。</w:t>
      </w:r>
    </w:p>
    <w:p>
      <w:pPr>
        <w:pStyle w:val="1244"/>
        <w:rPr>
          <w:rFonts w:ascii="Times New Roman"/>
          <w:color w:val="auto"/>
        </w:rPr>
        <w:sectPr>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pPr>
    </w:p>
    <w:p>
      <w:pPr>
        <w:autoSpaceDE w:val="0"/>
        <w:autoSpaceDN w:val="0"/>
        <w:adjustRightInd w:val="0"/>
        <w:spacing w:line="360" w:lineRule="auto"/>
        <w:jc w:val="left"/>
        <w:rPr>
          <w:color w:val="auto"/>
          <w:kern w:val="0"/>
          <w:sz w:val="24"/>
        </w:rPr>
      </w:pPr>
    </w:p>
    <w:sectPr>
      <w:headerReference r:id="rId13" w:type="default"/>
      <w:footerReference r:id="rId14" w:type="default"/>
      <w:pgSz w:w="11907" w:h="16840"/>
      <w:pgMar w:top="1588" w:right="1531" w:bottom="1304" w:left="1644" w:header="1134" w:footer="1021"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entury Gothic">
    <w:altName w:val="Segoe Print"/>
    <w:panose1 w:val="020B0502020202020204"/>
    <w:charset w:val="00"/>
    <w:family w:val="swiss"/>
    <w:pitch w:val="default"/>
    <w:sig w:usb0="00000000"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UniversalMath1 BT">
    <w:altName w:val="Symbol"/>
    <w:panose1 w:val="05050102010205020602"/>
    <w:charset w:val="02"/>
    <w:family w:val="roman"/>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Book Antiqua">
    <w:altName w:val="Segoe Print"/>
    <w:panose1 w:val="02040602050305030304"/>
    <w:charset w:val="00"/>
    <w:family w:val="roman"/>
    <w:pitch w:val="default"/>
    <w:sig w:usb0="00000000"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Symusic">
    <w:altName w:val="Segoe Print"/>
    <w:panose1 w:val="00000400000000000000"/>
    <w:charset w:val="00"/>
    <w:family w:val="auto"/>
    <w:pitch w:val="default"/>
    <w:sig w:usb0="00000000" w:usb1="00000000" w:usb2="00000000" w:usb3="00000000" w:csb0="000001FF" w:csb1="00000000"/>
  </w:font>
  <w:font w:name="MS Mincho">
    <w:panose1 w:val="020206090402050803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
    <w:altName w:val="Malgun Gothic"/>
    <w:panose1 w:val="00000000000000000000"/>
    <w:charset w:val="81"/>
    <w:family w:val="auto"/>
    <w:pitch w:val="default"/>
    <w:sig w:usb0="00000000" w:usb1="00000000" w:usb2="00000010" w:usb3="00000000" w:csb0="00080000" w:csb1="00000000"/>
  </w:font>
  <w:font w:name="ISOCT">
    <w:altName w:val="Segoe Print"/>
    <w:panose1 w:val="00000400000000000000"/>
    <w:charset w:val="00"/>
    <w:family w:val="auto"/>
    <w:pitch w:val="default"/>
    <w:sig w:usb0="00000000" w:usb1="00000000" w:usb2="00000000" w:usb3="00000000" w:csb0="000001FF" w:csb1="00000000"/>
  </w:font>
  <w:font w:name="文鼎粗钢笔行楷">
    <w:altName w:val="宋体"/>
    <w:panose1 w:val="00000000000000000000"/>
    <w:charset w:val="86"/>
    <w:family w:val="swiss"/>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Courier">
    <w:altName w:val="Courier New"/>
    <w:panose1 w:val="02070409020205020404"/>
    <w:charset w:val="00"/>
    <w:family w:val="moder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宋体-18030">
    <w:altName w:val="宋体"/>
    <w:panose1 w:val="00000000000000000000"/>
    <w:charset w:val="86"/>
    <w:family w:val="modern"/>
    <w:pitch w:val="default"/>
    <w:sig w:usb0="00000000" w:usb1="00000000" w:usb2="000A005E" w:usb3="00000000" w:csb0="00040001" w:csb1="00000000"/>
  </w:font>
  <w:font w:name="New Gulim">
    <w:altName w:val="Malgun Gothic"/>
    <w:panose1 w:val="00000000000000000000"/>
    <w:charset w:val="81"/>
    <w:family w:val="roman"/>
    <w:pitch w:val="default"/>
    <w:sig w:usb0="00000000" w:usb1="00000000" w:usb2="00000030" w:usb3="00000000" w:csb0="0008009F" w:csb1="00000000"/>
  </w:font>
  <w:font w:name="CG Times">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LF Song">
    <w:altName w:val="宋体"/>
    <w:panose1 w:val="00000000000000000000"/>
    <w:charset w:val="86"/>
    <w:family w:val="auto"/>
    <w:pitch w:val="default"/>
    <w:sig w:usb0="00000000" w:usb1="00000000" w:usb2="0000001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Arial Narrow">
    <w:altName w:val="Arial"/>
    <w:panose1 w:val="020B0606020202030204"/>
    <w:charset w:val="00"/>
    <w:family w:val="swiss"/>
    <w:pitch w:val="default"/>
    <w:sig w:usb0="00000000"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86"/>
    <w:family w:val="auto"/>
    <w:pitch w:val="default"/>
    <w:sig w:usb0="00000000" w:usb1="00000000" w:usb2="00000010" w:usb3="00000000" w:csb0="00060001" w:csb1="00000000"/>
  </w:font>
  <w:font w:name="华文细黑">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136"/>
      </w:rPr>
    </w:pPr>
    <w:r>
      <w:rPr>
        <w:rStyle w:val="136"/>
      </w:rPr>
      <w:fldChar w:fldCharType="begin"/>
    </w:r>
    <w:r>
      <w:rPr>
        <w:rStyle w:val="136"/>
      </w:rPr>
      <w:instrText xml:space="preserve">PAGE  </w:instrText>
    </w:r>
    <w:r>
      <w:rPr>
        <w:rStyle w:val="136"/>
      </w:rPr>
      <w:fldChar w:fldCharType="end"/>
    </w:r>
  </w:p>
  <w:p>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Style w:val="136"/>
                            </w:rPr>
                          </w:pPr>
                          <w:r>
                            <w:rPr>
                              <w:rStyle w:val="136"/>
                              <w:rFonts w:hint="eastAsia"/>
                            </w:rPr>
                            <w:t>目录-</w:t>
                          </w:r>
                          <w:r>
                            <w:rPr>
                              <w:rStyle w:val="136"/>
                            </w:rPr>
                            <w:fldChar w:fldCharType="begin"/>
                          </w:r>
                          <w:r>
                            <w:rPr>
                              <w:rStyle w:val="136"/>
                            </w:rPr>
                            <w:instrText xml:space="preserve">PAGE  </w:instrText>
                          </w:r>
                          <w:r>
                            <w:rPr>
                              <w:rStyle w:val="136"/>
                            </w:rPr>
                            <w:fldChar w:fldCharType="separate"/>
                          </w:r>
                          <w:r>
                            <w:rPr>
                              <w:rStyle w:val="136"/>
                            </w:rPr>
                            <w:t>3</w:t>
                          </w:r>
                          <w:r>
                            <w:rPr>
                              <w:rStyle w:val="1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5"/>
                      <w:rPr>
                        <w:rStyle w:val="136"/>
                      </w:rPr>
                    </w:pPr>
                    <w:r>
                      <w:rPr>
                        <w:rStyle w:val="136"/>
                        <w:rFonts w:hint="eastAsia"/>
                      </w:rPr>
                      <w:t>目录-</w:t>
                    </w:r>
                    <w:r>
                      <w:rPr>
                        <w:rStyle w:val="136"/>
                      </w:rPr>
                      <w:fldChar w:fldCharType="begin"/>
                    </w:r>
                    <w:r>
                      <w:rPr>
                        <w:rStyle w:val="136"/>
                      </w:rPr>
                      <w:instrText xml:space="preserve">PAGE  </w:instrText>
                    </w:r>
                    <w:r>
                      <w:rPr>
                        <w:rStyle w:val="136"/>
                      </w:rPr>
                      <w:fldChar w:fldCharType="separate"/>
                    </w:r>
                    <w:r>
                      <w:rPr>
                        <w:rStyle w:val="136"/>
                      </w:rPr>
                      <w:t>3</w:t>
                    </w:r>
                    <w:r>
                      <w:rPr>
                        <w:rStyle w:val="13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5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5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kinsoku w:val="0"/>
      <w:overflowPunct w:val="0"/>
      <w:spacing w:line="14" w:lineRule="auto"/>
      <w:rPr>
        <w:rFonts w:ascii="Times New Roman" w:cs="Times New Roman"/>
        <w:sz w:val="20"/>
        <w:szCs w:val="20"/>
      </w:rPr>
    </w:pPr>
    <w:r>
      <mc:AlternateContent>
        <mc:Choice Requires="wps">
          <w:drawing>
            <wp:anchor distT="0" distB="0" distL="114300" distR="114300" simplePos="0" relativeHeight="251669504" behindDoc="1" locked="0" layoutInCell="0" allowOverlap="1">
              <wp:simplePos x="0" y="0"/>
              <wp:positionH relativeFrom="page">
                <wp:posOffset>3669030</wp:posOffset>
              </wp:positionH>
              <wp:positionV relativeFrom="page">
                <wp:posOffset>9907905</wp:posOffset>
              </wp:positionV>
              <wp:extent cx="224790" cy="14160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24790" cy="141605"/>
                      </a:xfrm>
                      <a:prstGeom prst="rect">
                        <a:avLst/>
                      </a:prstGeom>
                      <a:noFill/>
                      <a:ln w="9525">
                        <a:noFill/>
                      </a:ln>
                      <a:effectLst/>
                    </wps:spPr>
                    <wps:txbx>
                      <w:txbxContent>
                        <w:p>
                          <w:pPr>
                            <w:pStyle w:val="4"/>
                            <w:kinsoku w:val="0"/>
                            <w:overflowPunct w:val="0"/>
                            <w:spacing w:line="206" w:lineRule="exact"/>
                            <w:ind w:left="40"/>
                            <w:rPr>
                              <w:rFonts w:ascii="Times New Roman" w:cs="Times New Roman"/>
                              <w:sz w:val="18"/>
                              <w:szCs w:val="18"/>
                            </w:rPr>
                          </w:pPr>
                          <w:r>
                            <w:rPr>
                              <w:rFonts w:ascii="Times New Roman" w:cs="Times New Roman"/>
                              <w:w w:val="101"/>
                              <w:sz w:val="18"/>
                              <w:szCs w:val="18"/>
                            </w:rPr>
                            <w:fldChar w:fldCharType="begin"/>
                          </w:r>
                          <w:r>
                            <w:rPr>
                              <w:rFonts w:ascii="Times New Roman" w:cs="Times New Roman"/>
                              <w:w w:val="101"/>
                              <w:sz w:val="18"/>
                              <w:szCs w:val="18"/>
                            </w:rPr>
                            <w:instrText xml:space="preserve"> PAGE </w:instrText>
                          </w:r>
                          <w:r>
                            <w:rPr>
                              <w:rFonts w:ascii="Times New Roman" w:cs="Times New Roman"/>
                              <w:w w:val="101"/>
                              <w:sz w:val="18"/>
                              <w:szCs w:val="18"/>
                            </w:rPr>
                            <w:fldChar w:fldCharType="separate"/>
                          </w:r>
                          <w:r>
                            <w:rPr>
                              <w:rFonts w:ascii="Times New Roman" w:cs="Times New Roman"/>
                              <w:w w:val="101"/>
                              <w:sz w:val="18"/>
                              <w:szCs w:val="18"/>
                            </w:rPr>
                            <w:t>148</w:t>
                          </w:r>
                          <w:r>
                            <w:rPr>
                              <w:rFonts w:ascii="Times New Roman" w:cs="Times New Roman"/>
                              <w:w w:val="101"/>
                              <w:sz w:val="18"/>
                              <w:szCs w:val="18"/>
                            </w:rPr>
                            <w:fldChar w:fldCharType="end"/>
                          </w:r>
                        </w:p>
                      </w:txbxContent>
                    </wps:txbx>
                    <wps:bodyPr lIns="0" tIns="0" rIns="0" bIns="0" upright="1"/>
                  </wps:wsp>
                </a:graphicData>
              </a:graphic>
            </wp:anchor>
          </w:drawing>
        </mc:Choice>
        <mc:Fallback>
          <w:pict>
            <v:shape id="_x0000_s1026" o:spid="_x0000_s1026" o:spt="202" type="#_x0000_t202" style="position:absolute;left:0pt;margin-left:288.9pt;margin-top:780.15pt;height:11.15pt;width:17.7pt;mso-position-horizontal-relative:page;mso-position-vertical-relative:page;z-index:-251646976;mso-width-relative:page;mso-height-relative:page;" filled="f" stroked="f" coordsize="21600,21600" o:allowincell="f" o:gfxdata="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HhmV9sAAAANAQAADwAAAAAAAAABACAAAAAiAAAAZHJz&#10;L2Rvd25yZXYueG1sUEsBAhQAFAAAAAgAh07iQJFQFRrIAQAAigMAAA4AAAAAAAAAAQAgAAAAKgEA&#10;AGRycy9lMm9Eb2MueG1sUEsFBgAAAAAGAAYAWQEAAGQFAAAAAA==&#10;">
              <v:fill on="f" focussize="0,0"/>
              <v:stroke on="f"/>
              <v:imagedata o:title=""/>
              <o:lock v:ext="edit" aspectratio="f"/>
              <v:textbox inset="0mm,0mm,0mm,0mm">
                <w:txbxContent>
                  <w:p>
                    <w:pPr>
                      <w:pStyle w:val="4"/>
                      <w:kinsoku w:val="0"/>
                      <w:overflowPunct w:val="0"/>
                      <w:spacing w:line="206" w:lineRule="exact"/>
                      <w:ind w:left="40"/>
                      <w:rPr>
                        <w:rFonts w:ascii="Times New Roman" w:cs="Times New Roman"/>
                        <w:sz w:val="18"/>
                        <w:szCs w:val="18"/>
                      </w:rPr>
                    </w:pPr>
                    <w:r>
                      <w:rPr>
                        <w:rFonts w:ascii="Times New Roman" w:cs="Times New Roman"/>
                        <w:w w:val="101"/>
                        <w:sz w:val="18"/>
                        <w:szCs w:val="18"/>
                      </w:rPr>
                      <w:fldChar w:fldCharType="begin"/>
                    </w:r>
                    <w:r>
                      <w:rPr>
                        <w:rFonts w:ascii="Times New Roman" w:cs="Times New Roman"/>
                        <w:w w:val="101"/>
                        <w:sz w:val="18"/>
                        <w:szCs w:val="18"/>
                      </w:rPr>
                      <w:instrText xml:space="preserve"> PAGE </w:instrText>
                    </w:r>
                    <w:r>
                      <w:rPr>
                        <w:rFonts w:ascii="Times New Roman" w:cs="Times New Roman"/>
                        <w:w w:val="101"/>
                        <w:sz w:val="18"/>
                        <w:szCs w:val="18"/>
                      </w:rPr>
                      <w:fldChar w:fldCharType="separate"/>
                    </w:r>
                    <w:r>
                      <w:rPr>
                        <w:rFonts w:ascii="Times New Roman" w:cs="Times New Roman"/>
                        <w:w w:val="101"/>
                        <w:sz w:val="18"/>
                        <w:szCs w:val="18"/>
                      </w:rPr>
                      <w:t>148</w:t>
                    </w:r>
                    <w:r>
                      <w:rPr>
                        <w:rFonts w:ascii="Times New Roman" w:cs="Times New Roman"/>
                        <w:w w:val="101"/>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kinsoku w:val="0"/>
      <w:overflowPunct w:val="0"/>
      <w:spacing w:line="14" w:lineRule="auto"/>
      <w:rPr>
        <w:rFonts w:ascii="Times New Roman" w:cs="Times New Roman"/>
        <w:sz w:val="20"/>
        <w:szCs w:val="20"/>
      </w:rPr>
    </w:pPr>
    <w:r>
      <mc:AlternateContent>
        <mc:Choice Requires="wps">
          <w:drawing>
            <wp:anchor distT="0" distB="0" distL="114300" distR="114300" simplePos="0" relativeHeight="251659264" behindDoc="1" locked="0" layoutInCell="0" allowOverlap="1">
              <wp:simplePos x="0" y="0"/>
              <wp:positionH relativeFrom="page">
                <wp:posOffset>3669030</wp:posOffset>
              </wp:positionH>
              <wp:positionV relativeFrom="page">
                <wp:posOffset>9907905</wp:posOffset>
              </wp:positionV>
              <wp:extent cx="224790" cy="14160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24790" cy="141605"/>
                      </a:xfrm>
                      <a:prstGeom prst="rect">
                        <a:avLst/>
                      </a:prstGeom>
                      <a:noFill/>
                      <a:ln w="9525">
                        <a:noFill/>
                      </a:ln>
                      <a:effectLst/>
                    </wps:spPr>
                    <wps:txbx>
                      <w:txbxContent>
                        <w:p>
                          <w:pPr>
                            <w:pStyle w:val="4"/>
                            <w:kinsoku w:val="0"/>
                            <w:overflowPunct w:val="0"/>
                            <w:spacing w:line="206" w:lineRule="exact"/>
                            <w:ind w:left="40"/>
                            <w:rPr>
                              <w:rFonts w:ascii="Times New Roman" w:cs="Times New Roman"/>
                              <w:sz w:val="18"/>
                              <w:szCs w:val="18"/>
                            </w:rPr>
                          </w:pPr>
                          <w:r>
                            <w:rPr>
                              <w:rFonts w:ascii="Times New Roman" w:cs="Times New Roman"/>
                              <w:w w:val="101"/>
                              <w:sz w:val="18"/>
                              <w:szCs w:val="18"/>
                            </w:rPr>
                            <w:fldChar w:fldCharType="begin"/>
                          </w:r>
                          <w:r>
                            <w:rPr>
                              <w:rFonts w:ascii="Times New Roman" w:cs="Times New Roman"/>
                              <w:w w:val="101"/>
                              <w:sz w:val="18"/>
                              <w:szCs w:val="18"/>
                            </w:rPr>
                            <w:instrText xml:space="preserve"> PAGE </w:instrText>
                          </w:r>
                          <w:r>
                            <w:rPr>
                              <w:rFonts w:ascii="Times New Roman" w:cs="Times New Roman"/>
                              <w:w w:val="101"/>
                              <w:sz w:val="18"/>
                              <w:szCs w:val="18"/>
                            </w:rPr>
                            <w:fldChar w:fldCharType="separate"/>
                          </w:r>
                          <w:r>
                            <w:rPr>
                              <w:rFonts w:ascii="Times New Roman" w:cs="Times New Roman"/>
                              <w:w w:val="101"/>
                              <w:sz w:val="18"/>
                              <w:szCs w:val="18"/>
                            </w:rPr>
                            <w:t>148</w:t>
                          </w:r>
                          <w:r>
                            <w:rPr>
                              <w:rFonts w:ascii="Times New Roman" w:cs="Times New Roman"/>
                              <w:w w:val="101"/>
                              <w:sz w:val="18"/>
                              <w:szCs w:val="18"/>
                            </w:rPr>
                            <w:fldChar w:fldCharType="end"/>
                          </w:r>
                        </w:p>
                      </w:txbxContent>
                    </wps:txbx>
                    <wps:bodyPr lIns="0" tIns="0" rIns="0" bIns="0" upright="1"/>
                  </wps:wsp>
                </a:graphicData>
              </a:graphic>
            </wp:anchor>
          </w:drawing>
        </mc:Choice>
        <mc:Fallback>
          <w:pict>
            <v:shape id="_x0000_s1026" o:spid="_x0000_s1026" o:spt="202" type="#_x0000_t202" style="position:absolute;left:0pt;margin-left:288.9pt;margin-top:780.15pt;height:11.15pt;width:17.7pt;mso-position-horizontal-relative:page;mso-position-vertical-relative:page;z-index:-251657216;mso-width-relative:page;mso-height-relative:page;" filled="f" stroked="f" coordsize="21600,21600" o:allowincell="f" o:gfxdata="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HhmV9sAAAANAQAADwAAAAAAAAABACAAAAAiAAAAZHJz&#10;L2Rvd25yZXYueG1sUEsBAhQAFAAAAAgAh07iQBOAonTIAQAAigMAAA4AAAAAAAAAAQAgAAAAKgEA&#10;AGRycy9lMm9Eb2MueG1sUEsFBgAAAAAGAAYAWQEAAGQFAAAAAA==&#10;">
              <v:fill on="f" focussize="0,0"/>
              <v:stroke on="f"/>
              <v:imagedata o:title=""/>
              <o:lock v:ext="edit" aspectratio="f"/>
              <v:textbox inset="0mm,0mm,0mm,0mm">
                <w:txbxContent>
                  <w:p>
                    <w:pPr>
                      <w:pStyle w:val="4"/>
                      <w:kinsoku w:val="0"/>
                      <w:overflowPunct w:val="0"/>
                      <w:spacing w:line="206" w:lineRule="exact"/>
                      <w:ind w:left="40"/>
                      <w:rPr>
                        <w:rFonts w:ascii="Times New Roman" w:cs="Times New Roman"/>
                        <w:sz w:val="18"/>
                        <w:szCs w:val="18"/>
                      </w:rPr>
                    </w:pPr>
                    <w:r>
                      <w:rPr>
                        <w:rFonts w:ascii="Times New Roman" w:cs="Times New Roman"/>
                        <w:w w:val="101"/>
                        <w:sz w:val="18"/>
                        <w:szCs w:val="18"/>
                      </w:rPr>
                      <w:fldChar w:fldCharType="begin"/>
                    </w:r>
                    <w:r>
                      <w:rPr>
                        <w:rFonts w:ascii="Times New Roman" w:cs="Times New Roman"/>
                        <w:w w:val="101"/>
                        <w:sz w:val="18"/>
                        <w:szCs w:val="18"/>
                      </w:rPr>
                      <w:instrText xml:space="preserve"> PAGE </w:instrText>
                    </w:r>
                    <w:r>
                      <w:rPr>
                        <w:rFonts w:ascii="Times New Roman" w:cs="Times New Roman"/>
                        <w:w w:val="101"/>
                        <w:sz w:val="18"/>
                        <w:szCs w:val="18"/>
                      </w:rPr>
                      <w:fldChar w:fldCharType="separate"/>
                    </w:r>
                    <w:r>
                      <w:rPr>
                        <w:rFonts w:ascii="Times New Roman" w:cs="Times New Roman"/>
                        <w:w w:val="101"/>
                        <w:sz w:val="18"/>
                        <w:szCs w:val="18"/>
                      </w:rPr>
                      <w:t>148</w:t>
                    </w:r>
                    <w:r>
                      <w:rPr>
                        <w:rFonts w:ascii="Times New Roman" w:cs="Times New Roman"/>
                        <w:w w:val="101"/>
                        <w:sz w:val="18"/>
                        <w:szCs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5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160</w:t>
                    </w:r>
                    <w:r>
                      <w:rPr>
                        <w:rFonts w:hint="eastAsia"/>
                        <w:lang w:eastAsia="zh-CN"/>
                      </w:rPr>
                      <w:fldChar w:fldCharType="end"/>
                    </w:r>
                  </w:p>
                </w:txbxContent>
              </v:textbox>
            </v:shape>
          </w:pict>
        </mc:Fallback>
      </mc:AlternateConten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rFonts w:hint="eastAsia" w:asciiTheme="minorEastAsia" w:hAnsiTheme="minorEastAsia" w:eastAsiaTheme="minorEastAsia"/>
        <w:snapToGrid w:val="0"/>
        <w:color w:val="000000"/>
        <w:sz w:val="21"/>
        <w:szCs w:val="22"/>
        <w:lang w:eastAsia="zh-CN"/>
      </w:rPr>
      <w:t>恩阳区群乐镇坳盘村巴山肉牛育肥场项目</w:t>
    </w:r>
    <w:r>
      <w:rPr>
        <w:rFonts w:asciiTheme="minorEastAsia" w:hAnsiTheme="minorEastAsia" w:eastAsiaTheme="minorEastAsia"/>
        <w:snapToGrid w:val="0"/>
        <w:color w:val="000000"/>
        <w:sz w:val="21"/>
        <w:szCs w:val="22"/>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asciiTheme="minorEastAsia" w:hAnsiTheme="minorEastAsia" w:eastAsiaTheme="minorEastAsia"/>
        <w:snapToGrid w:val="0"/>
        <w:color w:val="000000"/>
        <w:lang w:eastAsia="zh-CN"/>
      </w:rPr>
    </w:pPr>
    <w:r>
      <w:rPr>
        <w:rFonts w:hint="eastAsia" w:asciiTheme="minorEastAsia" w:hAnsiTheme="minorEastAsia" w:eastAsiaTheme="minorEastAsia"/>
        <w:snapToGrid w:val="0"/>
        <w:color w:val="000000"/>
        <w:lang w:eastAsia="zh-CN"/>
      </w:rPr>
      <w:t>恩阳区群乐镇坳盘村巴山肉牛育肥场项目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BF5106"/>
    <w:multiLevelType w:val="singleLevel"/>
    <w:tmpl w:val="CDBF5106"/>
    <w:lvl w:ilvl="0" w:tentative="0">
      <w:start w:val="4"/>
      <w:numFmt w:val="decimal"/>
      <w:suff w:val="nothing"/>
      <w:lvlText w:val="%1、"/>
      <w:lvlJc w:val="left"/>
    </w:lvl>
  </w:abstractNum>
  <w:abstractNum w:abstractNumId="1">
    <w:nsid w:val="D56C97C7"/>
    <w:multiLevelType w:val="singleLevel"/>
    <w:tmpl w:val="D56C97C7"/>
    <w:lvl w:ilvl="0" w:tentative="0">
      <w:start w:val="1"/>
      <w:numFmt w:val="decimal"/>
      <w:suff w:val="nothing"/>
      <w:lvlText w:val="（%1）"/>
      <w:lvlJc w:val="left"/>
    </w:lvl>
  </w:abstractNum>
  <w:abstractNum w:abstractNumId="2">
    <w:nsid w:val="DF6E16E1"/>
    <w:multiLevelType w:val="singleLevel"/>
    <w:tmpl w:val="DF6E16E1"/>
    <w:lvl w:ilvl="0" w:tentative="0">
      <w:start w:val="2"/>
      <w:numFmt w:val="decimal"/>
      <w:suff w:val="nothing"/>
      <w:lvlText w:val="（%1）"/>
      <w:lvlJc w:val="left"/>
    </w:lvl>
  </w:abstractNum>
  <w:abstractNum w:abstractNumId="3">
    <w:nsid w:val="FF81A2FF"/>
    <w:multiLevelType w:val="singleLevel"/>
    <w:tmpl w:val="FF81A2FF"/>
    <w:lvl w:ilvl="0" w:tentative="0">
      <w:start w:val="1"/>
      <w:numFmt w:val="decimal"/>
      <w:suff w:val="nothing"/>
      <w:lvlText w:val="（%1）"/>
      <w:lvlJc w:val="left"/>
    </w:lvl>
  </w:abstractNum>
  <w:abstractNum w:abstractNumId="4">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5">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6">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7">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Century Gothic" w:hAnsi="Century Gothic"/>
      </w:rPr>
    </w:lvl>
  </w:abstractNum>
  <w:abstractNum w:abstractNumId="8">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Century Gothic" w:hAnsi="Century Gothic"/>
      </w:rPr>
    </w:lvl>
  </w:abstractNum>
  <w:abstractNum w:abstractNumId="9">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Century Gothic" w:hAnsi="Century Gothic"/>
      </w:rPr>
    </w:lvl>
  </w:abstractNum>
  <w:abstractNum w:abstractNumId="10">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Century Gothic" w:hAnsi="Century Gothic"/>
      </w:rPr>
    </w:lvl>
  </w:abstractNum>
  <w:abstractNum w:abstractNumId="11">
    <w:nsid w:val="FFFFFF89"/>
    <w:multiLevelType w:val="singleLevel"/>
    <w:tmpl w:val="FFFFFF89"/>
    <w:lvl w:ilvl="0" w:tentative="0">
      <w:start w:val="1"/>
      <w:numFmt w:val="bullet"/>
      <w:pStyle w:val="25"/>
      <w:lvlText w:val=""/>
      <w:lvlJc w:val="left"/>
      <w:pPr>
        <w:tabs>
          <w:tab w:val="left" w:pos="360"/>
        </w:tabs>
        <w:ind w:left="360" w:hanging="360" w:hangingChars="200"/>
      </w:pPr>
      <w:rPr>
        <w:rFonts w:hint="default" w:ascii="Century Gothic" w:hAnsi="Century Gothic"/>
      </w:rPr>
    </w:lvl>
  </w:abstractNum>
  <w:abstractNum w:abstractNumId="12">
    <w:nsid w:val="FFFFFFFB"/>
    <w:multiLevelType w:val="multilevel"/>
    <w:tmpl w:val="FFFFFFFB"/>
    <w:lvl w:ilvl="0" w:tentative="0">
      <w:start w:val="1"/>
      <w:numFmt w:val="decimal"/>
      <w:pStyle w:val="5"/>
      <w:lvlText w:val="%1."/>
      <w:lvlJc w:val="left"/>
      <w:pPr>
        <w:tabs>
          <w:tab w:val="left" w:pos="0"/>
        </w:tabs>
        <w:ind w:left="0" w:firstLine="0"/>
      </w:pPr>
      <w:rPr>
        <w:rFonts w:hint="eastAsia"/>
      </w:rPr>
    </w:lvl>
    <w:lvl w:ilvl="1" w:tentative="0">
      <w:start w:val="1"/>
      <w:numFmt w:val="decimal"/>
      <w:pStyle w:val="6"/>
      <w:lvlText w:val="%1.%2"/>
      <w:lvlJc w:val="left"/>
      <w:pPr>
        <w:tabs>
          <w:tab w:val="left" w:pos="0"/>
        </w:tabs>
        <w:ind w:left="0" w:firstLine="0"/>
      </w:pPr>
      <w:rPr>
        <w:rFonts w:hint="eastAsia"/>
      </w:rPr>
    </w:lvl>
    <w:lvl w:ilvl="2" w:tentative="0">
      <w:start w:val="1"/>
      <w:numFmt w:val="decimal"/>
      <w:pStyle w:val="7"/>
      <w:lvlText w:val="%1.%2.%3"/>
      <w:lvlJc w:val="left"/>
      <w:pPr>
        <w:tabs>
          <w:tab w:val="left" w:pos="0"/>
        </w:tabs>
        <w:ind w:left="0" w:firstLine="0"/>
      </w:pPr>
      <w:rPr>
        <w:rFonts w:hint="eastAsia"/>
        <w:color w:val="auto"/>
      </w:rPr>
    </w:lvl>
    <w:lvl w:ilvl="3" w:tentative="0">
      <w:start w:val="1"/>
      <w:numFmt w:val="decimal"/>
      <w:pStyle w:val="8"/>
      <w:lvlText w:val="%1.%2.%3.%4"/>
      <w:lvlJc w:val="left"/>
      <w:pPr>
        <w:tabs>
          <w:tab w:val="left" w:pos="1080"/>
        </w:tabs>
        <w:ind w:left="0" w:firstLine="0"/>
      </w:pPr>
      <w:rPr>
        <w:rFonts w:hint="default" w:ascii="Times New Roman" w:hAnsi="Times New Roman"/>
      </w:rPr>
    </w:lvl>
    <w:lvl w:ilvl="4" w:tentative="0">
      <w:start w:val="1"/>
      <w:numFmt w:val="decimal"/>
      <w:pStyle w:val="9"/>
      <w:lvlText w:val="%1.%2.%3.%4.%5"/>
      <w:lvlJc w:val="left"/>
      <w:pPr>
        <w:tabs>
          <w:tab w:val="left" w:pos="0"/>
        </w:tabs>
        <w:ind w:left="0" w:firstLine="0"/>
      </w:pPr>
      <w:rPr>
        <w:rFonts w:hint="eastAsia"/>
      </w:rPr>
    </w:lvl>
    <w:lvl w:ilvl="5" w:tentative="0">
      <w:start w:val="1"/>
      <w:numFmt w:val="decimal"/>
      <w:pStyle w:val="10"/>
      <w:lvlText w:val="%1.%2.%3.%4.%5.%6"/>
      <w:lvlJc w:val="left"/>
      <w:pPr>
        <w:tabs>
          <w:tab w:val="left" w:pos="0"/>
        </w:tabs>
        <w:ind w:left="0" w:firstLine="0"/>
      </w:pPr>
      <w:rPr>
        <w:rFonts w:hint="eastAsia"/>
      </w:rPr>
    </w:lvl>
    <w:lvl w:ilvl="6" w:tentative="0">
      <w:start w:val="1"/>
      <w:numFmt w:val="decimal"/>
      <w:pStyle w:val="11"/>
      <w:lvlText w:val="%1.%2.%3.%4.%5.%6.%7"/>
      <w:lvlJc w:val="left"/>
      <w:pPr>
        <w:tabs>
          <w:tab w:val="left" w:pos="0"/>
        </w:tabs>
        <w:ind w:left="0" w:firstLine="0"/>
      </w:pPr>
      <w:rPr>
        <w:rFonts w:hint="eastAsia"/>
      </w:rPr>
    </w:lvl>
    <w:lvl w:ilvl="7" w:tentative="0">
      <w:start w:val="1"/>
      <w:numFmt w:val="decimal"/>
      <w:pStyle w:val="12"/>
      <w:lvlText w:val="%1.%2.%3.%4.%5.%6.%7.%8"/>
      <w:lvlJc w:val="left"/>
      <w:pPr>
        <w:tabs>
          <w:tab w:val="left" w:pos="0"/>
        </w:tabs>
        <w:ind w:left="0" w:firstLine="0"/>
      </w:pPr>
      <w:rPr>
        <w:rFonts w:hint="eastAsia"/>
      </w:rPr>
    </w:lvl>
    <w:lvl w:ilvl="8" w:tentative="0">
      <w:start w:val="1"/>
      <w:numFmt w:val="decimal"/>
      <w:pStyle w:val="13"/>
      <w:lvlText w:val="%1.%2.%3.%4.%5.%6.%7.%8.%9"/>
      <w:lvlJc w:val="left"/>
      <w:pPr>
        <w:tabs>
          <w:tab w:val="left" w:pos="0"/>
        </w:tabs>
        <w:ind w:left="0" w:firstLine="0"/>
      </w:pPr>
      <w:rPr>
        <w:rFonts w:hint="eastAsia"/>
      </w:rPr>
    </w:lvl>
  </w:abstractNum>
  <w:abstractNum w:abstractNumId="13">
    <w:nsid w:val="1FAF45E0"/>
    <w:multiLevelType w:val="multilevel"/>
    <w:tmpl w:val="1FAF45E0"/>
    <w:lvl w:ilvl="0" w:tentative="0">
      <w:start w:val="1"/>
      <w:numFmt w:val="decimal"/>
      <w:pStyle w:val="850"/>
      <w:lvlText w:val="%1."/>
      <w:lvlJc w:val="left"/>
      <w:pPr>
        <w:tabs>
          <w:tab w:val="left" w:pos="425"/>
        </w:tabs>
        <w:ind w:left="425" w:hanging="425"/>
      </w:pPr>
      <w:rPr>
        <w:rFonts w:hint="default"/>
      </w:rPr>
    </w:lvl>
    <w:lvl w:ilvl="1" w:tentative="0">
      <w:start w:val="1"/>
      <w:numFmt w:val="decimal"/>
      <w:lvlText w:val="%1.%2."/>
      <w:lvlJc w:val="left"/>
      <w:pPr>
        <w:tabs>
          <w:tab w:val="left" w:pos="567"/>
        </w:tabs>
        <w:ind w:left="567" w:hanging="567"/>
      </w:pPr>
      <w:rPr>
        <w:rFonts w:hint="default"/>
        <w:kern w:val="2"/>
        <w:sz w:val="28"/>
      </w:rPr>
    </w:lvl>
    <w:lvl w:ilvl="2" w:tentative="0">
      <w:start w:val="1"/>
      <w:numFmt w:val="decimal"/>
      <w:lvlText w:val="%1.%2.%3."/>
      <w:lvlJc w:val="left"/>
      <w:pPr>
        <w:tabs>
          <w:tab w:val="left" w:pos="709"/>
        </w:tabs>
        <w:ind w:left="709" w:hanging="709"/>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92"/>
        </w:tabs>
        <w:ind w:left="992" w:hanging="992"/>
      </w:pPr>
      <w:rPr>
        <w:rFonts w:hint="default"/>
      </w:rPr>
    </w:lvl>
    <w:lvl w:ilvl="5" w:tentative="0">
      <w:start w:val="1"/>
      <w:numFmt w:val="decimal"/>
      <w:lvlText w:val="%1.%2.%3.%4.%5.%6."/>
      <w:lvlJc w:val="left"/>
      <w:pPr>
        <w:tabs>
          <w:tab w:val="left" w:pos="1134"/>
        </w:tabs>
        <w:ind w:left="1134" w:hanging="1134"/>
      </w:pPr>
      <w:rPr>
        <w:rFonts w:hint="default"/>
      </w:rPr>
    </w:lvl>
    <w:lvl w:ilvl="6" w:tentative="0">
      <w:start w:val="1"/>
      <w:numFmt w:val="decimal"/>
      <w:lvlText w:val="%1.%2.%3.%4.%5.%6.%7."/>
      <w:lvlJc w:val="left"/>
      <w:pPr>
        <w:tabs>
          <w:tab w:val="left" w:pos="1276"/>
        </w:tabs>
        <w:ind w:left="1276" w:hanging="1276"/>
      </w:pPr>
      <w:rPr>
        <w:rFonts w:hint="default"/>
      </w:rPr>
    </w:lvl>
    <w:lvl w:ilvl="7" w:tentative="0">
      <w:start w:val="1"/>
      <w:numFmt w:val="decimal"/>
      <w:lvlText w:val="%1.%2.%3.%4.%5.%6.%7.%8."/>
      <w:lvlJc w:val="left"/>
      <w:pPr>
        <w:tabs>
          <w:tab w:val="left" w:pos="1418"/>
        </w:tabs>
        <w:ind w:left="1418" w:hanging="1418"/>
      </w:pPr>
      <w:rPr>
        <w:rFonts w:hint="default"/>
      </w:rPr>
    </w:lvl>
    <w:lvl w:ilvl="8" w:tentative="0">
      <w:start w:val="1"/>
      <w:numFmt w:val="decimal"/>
      <w:lvlText w:val="%1.%2.%3.%4.%5.%6.%7.%8.%9."/>
      <w:lvlJc w:val="left"/>
      <w:pPr>
        <w:tabs>
          <w:tab w:val="left" w:pos="1559"/>
        </w:tabs>
        <w:ind w:left="1559" w:hanging="1559"/>
      </w:pPr>
      <w:rPr>
        <w:rFonts w:hint="default"/>
      </w:rPr>
    </w:lvl>
  </w:abstractNum>
  <w:abstractNum w:abstractNumId="14">
    <w:nsid w:val="2BB91DD9"/>
    <w:multiLevelType w:val="multilevel"/>
    <w:tmpl w:val="2BB91DD9"/>
    <w:lvl w:ilvl="0" w:tentative="0">
      <w:start w:val="2"/>
      <w:numFmt w:val="upperLetter"/>
      <w:pStyle w:val="638"/>
      <w:lvlText w:val="%1、"/>
      <w:lvlJc w:val="left"/>
      <w:pPr>
        <w:tabs>
          <w:tab w:val="left" w:pos="1280"/>
        </w:tabs>
        <w:ind w:left="1280" w:hanging="720"/>
      </w:pPr>
      <w:rPr>
        <w:rFonts w:hint="eastAsia"/>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5">
    <w:nsid w:val="39011363"/>
    <w:multiLevelType w:val="multilevel"/>
    <w:tmpl w:val="39011363"/>
    <w:lvl w:ilvl="0" w:tentative="0">
      <w:start w:val="4"/>
      <w:numFmt w:val="decimal"/>
      <w:pStyle w:val="203"/>
      <w:isLgl/>
      <w:lvlText w:val="%1."/>
      <w:lvlJc w:val="left"/>
      <w:pPr>
        <w:tabs>
          <w:tab w:val="left" w:pos="425"/>
        </w:tabs>
        <w:ind w:left="425" w:hanging="425"/>
      </w:pPr>
      <w:rPr>
        <w:rFonts w:hint="eastAsia"/>
      </w:rPr>
    </w:lvl>
    <w:lvl w:ilvl="1" w:tentative="0">
      <w:start w:val="5"/>
      <w:numFmt w:val="decimal"/>
      <w:lvlRestart w:val="0"/>
      <w:pStyle w:val="219"/>
      <w:isLgl/>
      <w:lvlText w:val="%1.%2."/>
      <w:lvlJc w:val="left"/>
      <w:pPr>
        <w:tabs>
          <w:tab w:val="left" w:pos="720"/>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3AA01EC7"/>
    <w:multiLevelType w:val="singleLevel"/>
    <w:tmpl w:val="3AA01EC7"/>
    <w:lvl w:ilvl="0" w:tentative="0">
      <w:start w:val="1"/>
      <w:numFmt w:val="decimal"/>
      <w:suff w:val="nothing"/>
      <w:lvlText w:val="%1、"/>
      <w:lvlJc w:val="left"/>
    </w:lvl>
  </w:abstractNum>
  <w:abstractNum w:abstractNumId="17">
    <w:nsid w:val="407E65F9"/>
    <w:multiLevelType w:val="multilevel"/>
    <w:tmpl w:val="407E65F9"/>
    <w:lvl w:ilvl="0" w:tentative="0">
      <w:start w:val="1"/>
      <w:numFmt w:val="none"/>
      <w:pStyle w:val="1071"/>
      <w:lvlText w:val="%1·　"/>
      <w:lvlJc w:val="left"/>
      <w:pPr>
        <w:tabs>
          <w:tab w:val="left" w:pos="1140"/>
        </w:tabs>
        <w:ind w:left="737" w:hanging="317"/>
      </w:pPr>
      <w:rPr>
        <w:rFonts w:hint="eastAsia" w:ascii="仿宋_GB2312" w:hAnsi="Courier New" w:eastAsia="仿宋_GB2312"/>
        <w:b w:val="0"/>
        <w:i w:val="0"/>
        <w:sz w:val="21"/>
      </w:rPr>
    </w:lvl>
    <w:lvl w:ilvl="1" w:tentative="0">
      <w:start w:val="1"/>
      <w:numFmt w:val="bullet"/>
      <w:lvlText w:val=""/>
      <w:lvlJc w:val="left"/>
      <w:pPr>
        <w:tabs>
          <w:tab w:val="left" w:pos="840"/>
        </w:tabs>
        <w:ind w:left="840" w:hanging="420"/>
      </w:pPr>
      <w:rPr>
        <w:rFonts w:hint="default" w:ascii="Century Gothic" w:hAnsi="Century Gothic"/>
      </w:rPr>
    </w:lvl>
    <w:lvl w:ilvl="2" w:tentative="0">
      <w:start w:val="1"/>
      <w:numFmt w:val="bullet"/>
      <w:lvlText w:val=""/>
      <w:lvlJc w:val="left"/>
      <w:pPr>
        <w:tabs>
          <w:tab w:val="left" w:pos="1260"/>
        </w:tabs>
        <w:ind w:left="1260" w:hanging="420"/>
      </w:pPr>
      <w:rPr>
        <w:rFonts w:hint="default" w:ascii="Century Gothic" w:hAnsi="Century Gothic"/>
      </w:rPr>
    </w:lvl>
    <w:lvl w:ilvl="3" w:tentative="0">
      <w:start w:val="1"/>
      <w:numFmt w:val="bullet"/>
      <w:lvlText w:val=""/>
      <w:lvlJc w:val="left"/>
      <w:pPr>
        <w:tabs>
          <w:tab w:val="left" w:pos="1680"/>
        </w:tabs>
        <w:ind w:left="1680" w:hanging="420"/>
      </w:pPr>
      <w:rPr>
        <w:rFonts w:hint="default" w:ascii="Century Gothic" w:hAnsi="Century Gothic"/>
      </w:rPr>
    </w:lvl>
    <w:lvl w:ilvl="4" w:tentative="0">
      <w:start w:val="1"/>
      <w:numFmt w:val="bullet"/>
      <w:lvlText w:val=""/>
      <w:lvlJc w:val="left"/>
      <w:pPr>
        <w:tabs>
          <w:tab w:val="left" w:pos="2100"/>
        </w:tabs>
        <w:ind w:left="2100" w:hanging="420"/>
      </w:pPr>
      <w:rPr>
        <w:rFonts w:hint="default" w:ascii="Century Gothic" w:hAnsi="Century Gothic"/>
      </w:rPr>
    </w:lvl>
    <w:lvl w:ilvl="5" w:tentative="0">
      <w:start w:val="1"/>
      <w:numFmt w:val="bullet"/>
      <w:lvlText w:val=""/>
      <w:lvlJc w:val="left"/>
      <w:pPr>
        <w:tabs>
          <w:tab w:val="left" w:pos="2520"/>
        </w:tabs>
        <w:ind w:left="2520" w:hanging="420"/>
      </w:pPr>
      <w:rPr>
        <w:rFonts w:hint="default" w:ascii="Century Gothic" w:hAnsi="Century Gothic"/>
      </w:rPr>
    </w:lvl>
    <w:lvl w:ilvl="6" w:tentative="0">
      <w:start w:val="1"/>
      <w:numFmt w:val="bullet"/>
      <w:lvlText w:val=""/>
      <w:lvlJc w:val="left"/>
      <w:pPr>
        <w:tabs>
          <w:tab w:val="left" w:pos="2940"/>
        </w:tabs>
        <w:ind w:left="2940" w:hanging="420"/>
      </w:pPr>
      <w:rPr>
        <w:rFonts w:hint="default" w:ascii="Century Gothic" w:hAnsi="Century Gothic"/>
      </w:rPr>
    </w:lvl>
    <w:lvl w:ilvl="7" w:tentative="0">
      <w:start w:val="1"/>
      <w:numFmt w:val="bullet"/>
      <w:lvlText w:val=""/>
      <w:lvlJc w:val="left"/>
      <w:pPr>
        <w:tabs>
          <w:tab w:val="left" w:pos="3360"/>
        </w:tabs>
        <w:ind w:left="3360" w:hanging="420"/>
      </w:pPr>
      <w:rPr>
        <w:rFonts w:hint="default" w:ascii="Century Gothic" w:hAnsi="Century Gothic"/>
      </w:rPr>
    </w:lvl>
    <w:lvl w:ilvl="8" w:tentative="0">
      <w:start w:val="1"/>
      <w:numFmt w:val="bullet"/>
      <w:lvlText w:val=""/>
      <w:lvlJc w:val="left"/>
      <w:pPr>
        <w:tabs>
          <w:tab w:val="left" w:pos="3780"/>
        </w:tabs>
        <w:ind w:left="3780" w:hanging="420"/>
      </w:pPr>
      <w:rPr>
        <w:rFonts w:hint="default" w:ascii="Century Gothic" w:hAnsi="Century Gothic"/>
      </w:rPr>
    </w:lvl>
  </w:abstractNum>
  <w:abstractNum w:abstractNumId="18">
    <w:nsid w:val="4F5C517C"/>
    <w:multiLevelType w:val="multilevel"/>
    <w:tmpl w:val="4F5C517C"/>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278"/>
      <w:lvlText w:val="%2.%1.%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2"/>
  </w:num>
  <w:num w:numId="2">
    <w:abstractNumId w:val="8"/>
  </w:num>
  <w:num w:numId="3">
    <w:abstractNumId w:val="11"/>
  </w:num>
  <w:num w:numId="4">
    <w:abstractNumId w:val="9"/>
  </w:num>
  <w:num w:numId="5">
    <w:abstractNumId w:val="6"/>
  </w:num>
  <w:num w:numId="6">
    <w:abstractNumId w:val="10"/>
  </w:num>
  <w:num w:numId="7">
    <w:abstractNumId w:val="7"/>
  </w:num>
  <w:num w:numId="8">
    <w:abstractNumId w:val="5"/>
  </w:num>
  <w:num w:numId="9">
    <w:abstractNumId w:val="4"/>
  </w:num>
  <w:num w:numId="10">
    <w:abstractNumId w:val="15"/>
  </w:num>
  <w:num w:numId="11">
    <w:abstractNumId w:val="18"/>
  </w:num>
  <w:num w:numId="12">
    <w:abstractNumId w:val="14"/>
  </w:num>
  <w:num w:numId="13">
    <w:abstractNumId w:val="13"/>
  </w:num>
  <w:num w:numId="14">
    <w:abstractNumId w:val="17"/>
  </w:num>
  <w:num w:numId="15">
    <w:abstractNumId w:val="16"/>
  </w:num>
  <w:num w:numId="16">
    <w:abstractNumId w:val="0"/>
  </w:num>
  <w:num w:numId="17">
    <w:abstractNumId w:val="2"/>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1YjM3OTVhNDdiNDkzZDkyYTdiMjQzNmVhMGI4OWIifQ=="/>
  </w:docVars>
  <w:rsids>
    <w:rsidRoot w:val="00172A27"/>
    <w:rsid w:val="00000947"/>
    <w:rsid w:val="00000A34"/>
    <w:rsid w:val="00000B36"/>
    <w:rsid w:val="00000D29"/>
    <w:rsid w:val="00002F26"/>
    <w:rsid w:val="0000354A"/>
    <w:rsid w:val="00003AB8"/>
    <w:rsid w:val="00003BB6"/>
    <w:rsid w:val="00004BE9"/>
    <w:rsid w:val="00005154"/>
    <w:rsid w:val="00005462"/>
    <w:rsid w:val="00005711"/>
    <w:rsid w:val="00006083"/>
    <w:rsid w:val="000068E3"/>
    <w:rsid w:val="00006DA1"/>
    <w:rsid w:val="00007DE6"/>
    <w:rsid w:val="000107C2"/>
    <w:rsid w:val="0001274A"/>
    <w:rsid w:val="000129A6"/>
    <w:rsid w:val="00013202"/>
    <w:rsid w:val="00013B22"/>
    <w:rsid w:val="00014350"/>
    <w:rsid w:val="00016B4A"/>
    <w:rsid w:val="00016DC9"/>
    <w:rsid w:val="00017264"/>
    <w:rsid w:val="00017274"/>
    <w:rsid w:val="000177B8"/>
    <w:rsid w:val="00017A76"/>
    <w:rsid w:val="00017F25"/>
    <w:rsid w:val="000202DB"/>
    <w:rsid w:val="0002184C"/>
    <w:rsid w:val="0002221B"/>
    <w:rsid w:val="000230E8"/>
    <w:rsid w:val="0002336E"/>
    <w:rsid w:val="000233A4"/>
    <w:rsid w:val="00023ADE"/>
    <w:rsid w:val="00023EC4"/>
    <w:rsid w:val="000241E3"/>
    <w:rsid w:val="000248B9"/>
    <w:rsid w:val="00024DCF"/>
    <w:rsid w:val="00024F4B"/>
    <w:rsid w:val="000250D0"/>
    <w:rsid w:val="000268EE"/>
    <w:rsid w:val="00026BD3"/>
    <w:rsid w:val="000306D6"/>
    <w:rsid w:val="000308E4"/>
    <w:rsid w:val="00030BB3"/>
    <w:rsid w:val="00032856"/>
    <w:rsid w:val="0003294B"/>
    <w:rsid w:val="00033320"/>
    <w:rsid w:val="0003386A"/>
    <w:rsid w:val="0003556C"/>
    <w:rsid w:val="00036A0C"/>
    <w:rsid w:val="00036A4D"/>
    <w:rsid w:val="00036A8A"/>
    <w:rsid w:val="00036E24"/>
    <w:rsid w:val="00036F82"/>
    <w:rsid w:val="0003742C"/>
    <w:rsid w:val="0003761A"/>
    <w:rsid w:val="0003793F"/>
    <w:rsid w:val="000405BB"/>
    <w:rsid w:val="00040959"/>
    <w:rsid w:val="00041124"/>
    <w:rsid w:val="00043BC9"/>
    <w:rsid w:val="00043F7E"/>
    <w:rsid w:val="00045892"/>
    <w:rsid w:val="00045B00"/>
    <w:rsid w:val="00046472"/>
    <w:rsid w:val="0004671A"/>
    <w:rsid w:val="00046C88"/>
    <w:rsid w:val="00047223"/>
    <w:rsid w:val="00047983"/>
    <w:rsid w:val="00050494"/>
    <w:rsid w:val="00050D7B"/>
    <w:rsid w:val="00050FAC"/>
    <w:rsid w:val="00050FEC"/>
    <w:rsid w:val="0005117C"/>
    <w:rsid w:val="000533DB"/>
    <w:rsid w:val="00053A39"/>
    <w:rsid w:val="0005443B"/>
    <w:rsid w:val="0005443E"/>
    <w:rsid w:val="000548F0"/>
    <w:rsid w:val="00055316"/>
    <w:rsid w:val="00055526"/>
    <w:rsid w:val="00055A43"/>
    <w:rsid w:val="00055F60"/>
    <w:rsid w:val="000562AD"/>
    <w:rsid w:val="00057363"/>
    <w:rsid w:val="0006077F"/>
    <w:rsid w:val="00060865"/>
    <w:rsid w:val="00061F32"/>
    <w:rsid w:val="00061FCA"/>
    <w:rsid w:val="0006305E"/>
    <w:rsid w:val="00063192"/>
    <w:rsid w:val="00063227"/>
    <w:rsid w:val="00063C42"/>
    <w:rsid w:val="00064695"/>
    <w:rsid w:val="00064A6A"/>
    <w:rsid w:val="000659C5"/>
    <w:rsid w:val="00065D5F"/>
    <w:rsid w:val="00065E73"/>
    <w:rsid w:val="000660DC"/>
    <w:rsid w:val="00066828"/>
    <w:rsid w:val="000669F8"/>
    <w:rsid w:val="00066BA6"/>
    <w:rsid w:val="000673C2"/>
    <w:rsid w:val="000673C6"/>
    <w:rsid w:val="000679A9"/>
    <w:rsid w:val="000701F3"/>
    <w:rsid w:val="000709C1"/>
    <w:rsid w:val="00071EE3"/>
    <w:rsid w:val="00073ABB"/>
    <w:rsid w:val="00074241"/>
    <w:rsid w:val="000749DB"/>
    <w:rsid w:val="00074CD5"/>
    <w:rsid w:val="00074EAD"/>
    <w:rsid w:val="00075325"/>
    <w:rsid w:val="00075A8D"/>
    <w:rsid w:val="00075F15"/>
    <w:rsid w:val="000762C7"/>
    <w:rsid w:val="000768EC"/>
    <w:rsid w:val="00077732"/>
    <w:rsid w:val="000801B5"/>
    <w:rsid w:val="00081168"/>
    <w:rsid w:val="00081738"/>
    <w:rsid w:val="0008174D"/>
    <w:rsid w:val="00081810"/>
    <w:rsid w:val="00081918"/>
    <w:rsid w:val="00081BDF"/>
    <w:rsid w:val="000822FD"/>
    <w:rsid w:val="0008353D"/>
    <w:rsid w:val="000837CC"/>
    <w:rsid w:val="000842F2"/>
    <w:rsid w:val="0008460A"/>
    <w:rsid w:val="000846AF"/>
    <w:rsid w:val="00084876"/>
    <w:rsid w:val="00084F93"/>
    <w:rsid w:val="0008543F"/>
    <w:rsid w:val="00085598"/>
    <w:rsid w:val="00085EB0"/>
    <w:rsid w:val="0008645F"/>
    <w:rsid w:val="0008667D"/>
    <w:rsid w:val="000866FE"/>
    <w:rsid w:val="00086CB6"/>
    <w:rsid w:val="00087320"/>
    <w:rsid w:val="00087C95"/>
    <w:rsid w:val="00087CE3"/>
    <w:rsid w:val="00087CF2"/>
    <w:rsid w:val="00087F93"/>
    <w:rsid w:val="000904C9"/>
    <w:rsid w:val="000908E5"/>
    <w:rsid w:val="00090978"/>
    <w:rsid w:val="00090E06"/>
    <w:rsid w:val="00091376"/>
    <w:rsid w:val="000918B2"/>
    <w:rsid w:val="000929DD"/>
    <w:rsid w:val="00094712"/>
    <w:rsid w:val="00094717"/>
    <w:rsid w:val="00094BE3"/>
    <w:rsid w:val="000953EA"/>
    <w:rsid w:val="000961C3"/>
    <w:rsid w:val="000963EF"/>
    <w:rsid w:val="0009658E"/>
    <w:rsid w:val="000965E6"/>
    <w:rsid w:val="0009769F"/>
    <w:rsid w:val="00097AA9"/>
    <w:rsid w:val="00097B98"/>
    <w:rsid w:val="000A057E"/>
    <w:rsid w:val="000A0D91"/>
    <w:rsid w:val="000A0FC6"/>
    <w:rsid w:val="000A1836"/>
    <w:rsid w:val="000A1BA4"/>
    <w:rsid w:val="000A1C14"/>
    <w:rsid w:val="000A2E18"/>
    <w:rsid w:val="000A439D"/>
    <w:rsid w:val="000A55BC"/>
    <w:rsid w:val="000A5769"/>
    <w:rsid w:val="000A5E18"/>
    <w:rsid w:val="000A6596"/>
    <w:rsid w:val="000A71A5"/>
    <w:rsid w:val="000A7658"/>
    <w:rsid w:val="000A7DF0"/>
    <w:rsid w:val="000B05B5"/>
    <w:rsid w:val="000B0F22"/>
    <w:rsid w:val="000B14EB"/>
    <w:rsid w:val="000B221A"/>
    <w:rsid w:val="000B320E"/>
    <w:rsid w:val="000B3634"/>
    <w:rsid w:val="000B5689"/>
    <w:rsid w:val="000B6E54"/>
    <w:rsid w:val="000B7073"/>
    <w:rsid w:val="000B707B"/>
    <w:rsid w:val="000B7259"/>
    <w:rsid w:val="000B785B"/>
    <w:rsid w:val="000B7928"/>
    <w:rsid w:val="000B7B17"/>
    <w:rsid w:val="000C022F"/>
    <w:rsid w:val="000C1679"/>
    <w:rsid w:val="000C1E3D"/>
    <w:rsid w:val="000C2384"/>
    <w:rsid w:val="000C24CF"/>
    <w:rsid w:val="000C2A1B"/>
    <w:rsid w:val="000C35C6"/>
    <w:rsid w:val="000C46D0"/>
    <w:rsid w:val="000C4A7E"/>
    <w:rsid w:val="000C57EC"/>
    <w:rsid w:val="000C61E7"/>
    <w:rsid w:val="000C63E8"/>
    <w:rsid w:val="000C68FA"/>
    <w:rsid w:val="000C7197"/>
    <w:rsid w:val="000C7981"/>
    <w:rsid w:val="000D03E4"/>
    <w:rsid w:val="000D0719"/>
    <w:rsid w:val="000D1102"/>
    <w:rsid w:val="000D1243"/>
    <w:rsid w:val="000D218D"/>
    <w:rsid w:val="000D229F"/>
    <w:rsid w:val="000D359E"/>
    <w:rsid w:val="000D35F1"/>
    <w:rsid w:val="000D3869"/>
    <w:rsid w:val="000D3B66"/>
    <w:rsid w:val="000D5109"/>
    <w:rsid w:val="000D5CFD"/>
    <w:rsid w:val="000D5E5F"/>
    <w:rsid w:val="000D6397"/>
    <w:rsid w:val="000D63FF"/>
    <w:rsid w:val="000D69CD"/>
    <w:rsid w:val="000D6AC1"/>
    <w:rsid w:val="000D6BFB"/>
    <w:rsid w:val="000D6F8D"/>
    <w:rsid w:val="000D74E3"/>
    <w:rsid w:val="000E054A"/>
    <w:rsid w:val="000E06F0"/>
    <w:rsid w:val="000E0FB0"/>
    <w:rsid w:val="000E1264"/>
    <w:rsid w:val="000E1D83"/>
    <w:rsid w:val="000E29D8"/>
    <w:rsid w:val="000E2B3E"/>
    <w:rsid w:val="000E36C2"/>
    <w:rsid w:val="000E415E"/>
    <w:rsid w:val="000E4AED"/>
    <w:rsid w:val="000E4F5B"/>
    <w:rsid w:val="000E5054"/>
    <w:rsid w:val="000E5167"/>
    <w:rsid w:val="000E6429"/>
    <w:rsid w:val="000E656E"/>
    <w:rsid w:val="000E6E52"/>
    <w:rsid w:val="000E705F"/>
    <w:rsid w:val="000E721E"/>
    <w:rsid w:val="000E785E"/>
    <w:rsid w:val="000F0247"/>
    <w:rsid w:val="000F03DD"/>
    <w:rsid w:val="000F0518"/>
    <w:rsid w:val="000F0B90"/>
    <w:rsid w:val="000F0CB3"/>
    <w:rsid w:val="000F31F1"/>
    <w:rsid w:val="000F3202"/>
    <w:rsid w:val="000F373A"/>
    <w:rsid w:val="000F3CD6"/>
    <w:rsid w:val="000F4069"/>
    <w:rsid w:val="000F4237"/>
    <w:rsid w:val="000F4303"/>
    <w:rsid w:val="000F512B"/>
    <w:rsid w:val="000F51BA"/>
    <w:rsid w:val="000F5493"/>
    <w:rsid w:val="000F6BEE"/>
    <w:rsid w:val="000F6BF0"/>
    <w:rsid w:val="000F6C3C"/>
    <w:rsid w:val="000F6F12"/>
    <w:rsid w:val="000F6FE5"/>
    <w:rsid w:val="000F761E"/>
    <w:rsid w:val="000F7637"/>
    <w:rsid w:val="000F7A04"/>
    <w:rsid w:val="00101464"/>
    <w:rsid w:val="00101B13"/>
    <w:rsid w:val="001022BC"/>
    <w:rsid w:val="00102785"/>
    <w:rsid w:val="00102852"/>
    <w:rsid w:val="00102B30"/>
    <w:rsid w:val="00103BFB"/>
    <w:rsid w:val="00103E0D"/>
    <w:rsid w:val="00104228"/>
    <w:rsid w:val="0010470D"/>
    <w:rsid w:val="001047B4"/>
    <w:rsid w:val="00105243"/>
    <w:rsid w:val="001053C8"/>
    <w:rsid w:val="00105A56"/>
    <w:rsid w:val="0010672F"/>
    <w:rsid w:val="00107675"/>
    <w:rsid w:val="00107A5E"/>
    <w:rsid w:val="00107F8B"/>
    <w:rsid w:val="00110309"/>
    <w:rsid w:val="00110B3D"/>
    <w:rsid w:val="00110B77"/>
    <w:rsid w:val="00110E8A"/>
    <w:rsid w:val="00110FD2"/>
    <w:rsid w:val="00111DC5"/>
    <w:rsid w:val="001120A8"/>
    <w:rsid w:val="00112CA2"/>
    <w:rsid w:val="00113217"/>
    <w:rsid w:val="001133C7"/>
    <w:rsid w:val="00113DC0"/>
    <w:rsid w:val="00114062"/>
    <w:rsid w:val="00114B82"/>
    <w:rsid w:val="00114C2D"/>
    <w:rsid w:val="00115171"/>
    <w:rsid w:val="00115310"/>
    <w:rsid w:val="001153A6"/>
    <w:rsid w:val="00115CD6"/>
    <w:rsid w:val="00115CD8"/>
    <w:rsid w:val="00115F71"/>
    <w:rsid w:val="00116149"/>
    <w:rsid w:val="001172F1"/>
    <w:rsid w:val="0011734C"/>
    <w:rsid w:val="0011738E"/>
    <w:rsid w:val="001175A5"/>
    <w:rsid w:val="00120A89"/>
    <w:rsid w:val="00121825"/>
    <w:rsid w:val="001218BC"/>
    <w:rsid w:val="00121DC7"/>
    <w:rsid w:val="00122892"/>
    <w:rsid w:val="00122D9E"/>
    <w:rsid w:val="00122F9A"/>
    <w:rsid w:val="001233BB"/>
    <w:rsid w:val="001237C6"/>
    <w:rsid w:val="001241AF"/>
    <w:rsid w:val="0012534C"/>
    <w:rsid w:val="00127F6A"/>
    <w:rsid w:val="0013092C"/>
    <w:rsid w:val="001312EA"/>
    <w:rsid w:val="00131325"/>
    <w:rsid w:val="001317E3"/>
    <w:rsid w:val="001319AF"/>
    <w:rsid w:val="00132F17"/>
    <w:rsid w:val="001332CE"/>
    <w:rsid w:val="00134418"/>
    <w:rsid w:val="00134C9E"/>
    <w:rsid w:val="00135112"/>
    <w:rsid w:val="001356D5"/>
    <w:rsid w:val="00135BB5"/>
    <w:rsid w:val="001360EC"/>
    <w:rsid w:val="00137DAC"/>
    <w:rsid w:val="00140511"/>
    <w:rsid w:val="00140AC8"/>
    <w:rsid w:val="00141D1B"/>
    <w:rsid w:val="00141EC4"/>
    <w:rsid w:val="001433F2"/>
    <w:rsid w:val="00144C6C"/>
    <w:rsid w:val="00144C91"/>
    <w:rsid w:val="00144CAB"/>
    <w:rsid w:val="00145893"/>
    <w:rsid w:val="00145EC8"/>
    <w:rsid w:val="001464CB"/>
    <w:rsid w:val="00146DDB"/>
    <w:rsid w:val="001500D3"/>
    <w:rsid w:val="001507A7"/>
    <w:rsid w:val="001511C3"/>
    <w:rsid w:val="001512BD"/>
    <w:rsid w:val="001518D3"/>
    <w:rsid w:val="00151B96"/>
    <w:rsid w:val="00152564"/>
    <w:rsid w:val="001535C5"/>
    <w:rsid w:val="00153636"/>
    <w:rsid w:val="00153C29"/>
    <w:rsid w:val="00153C44"/>
    <w:rsid w:val="00154A43"/>
    <w:rsid w:val="0015551E"/>
    <w:rsid w:val="001561E0"/>
    <w:rsid w:val="001573F6"/>
    <w:rsid w:val="001578FC"/>
    <w:rsid w:val="0016001D"/>
    <w:rsid w:val="00160038"/>
    <w:rsid w:val="00160747"/>
    <w:rsid w:val="001609F3"/>
    <w:rsid w:val="00161AD2"/>
    <w:rsid w:val="00161B95"/>
    <w:rsid w:val="00161C96"/>
    <w:rsid w:val="00161FE8"/>
    <w:rsid w:val="0016268B"/>
    <w:rsid w:val="001626A3"/>
    <w:rsid w:val="001626F1"/>
    <w:rsid w:val="00162DE5"/>
    <w:rsid w:val="00163449"/>
    <w:rsid w:val="00163F32"/>
    <w:rsid w:val="00164873"/>
    <w:rsid w:val="00165963"/>
    <w:rsid w:val="00166B89"/>
    <w:rsid w:val="00167CF6"/>
    <w:rsid w:val="00170B3B"/>
    <w:rsid w:val="00171AA2"/>
    <w:rsid w:val="00171C9E"/>
    <w:rsid w:val="00171D09"/>
    <w:rsid w:val="0017262B"/>
    <w:rsid w:val="001737EB"/>
    <w:rsid w:val="001746C6"/>
    <w:rsid w:val="00174955"/>
    <w:rsid w:val="00174ECF"/>
    <w:rsid w:val="00174ED3"/>
    <w:rsid w:val="00175683"/>
    <w:rsid w:val="001756C5"/>
    <w:rsid w:val="001756CA"/>
    <w:rsid w:val="00175C09"/>
    <w:rsid w:val="001764DF"/>
    <w:rsid w:val="00176F82"/>
    <w:rsid w:val="00177634"/>
    <w:rsid w:val="00177B4E"/>
    <w:rsid w:val="00177C20"/>
    <w:rsid w:val="00177E10"/>
    <w:rsid w:val="00180CB4"/>
    <w:rsid w:val="00180F71"/>
    <w:rsid w:val="001810BA"/>
    <w:rsid w:val="001827BE"/>
    <w:rsid w:val="00182C43"/>
    <w:rsid w:val="00183185"/>
    <w:rsid w:val="00183ED3"/>
    <w:rsid w:val="001843A1"/>
    <w:rsid w:val="001848FA"/>
    <w:rsid w:val="00184B6B"/>
    <w:rsid w:val="00185D87"/>
    <w:rsid w:val="0018605F"/>
    <w:rsid w:val="00186781"/>
    <w:rsid w:val="00187118"/>
    <w:rsid w:val="001875D0"/>
    <w:rsid w:val="001878CF"/>
    <w:rsid w:val="00187B88"/>
    <w:rsid w:val="001901BC"/>
    <w:rsid w:val="001909AF"/>
    <w:rsid w:val="00190C1A"/>
    <w:rsid w:val="00190C90"/>
    <w:rsid w:val="00190F89"/>
    <w:rsid w:val="00191129"/>
    <w:rsid w:val="00191963"/>
    <w:rsid w:val="001937C9"/>
    <w:rsid w:val="001940A1"/>
    <w:rsid w:val="001947AD"/>
    <w:rsid w:val="00194814"/>
    <w:rsid w:val="00195BF8"/>
    <w:rsid w:val="00196060"/>
    <w:rsid w:val="001963A6"/>
    <w:rsid w:val="001A0043"/>
    <w:rsid w:val="001A02C9"/>
    <w:rsid w:val="001A1727"/>
    <w:rsid w:val="001A174B"/>
    <w:rsid w:val="001A21F1"/>
    <w:rsid w:val="001A2DC1"/>
    <w:rsid w:val="001A324B"/>
    <w:rsid w:val="001A32E6"/>
    <w:rsid w:val="001A3909"/>
    <w:rsid w:val="001A3B04"/>
    <w:rsid w:val="001A3D4B"/>
    <w:rsid w:val="001A3E77"/>
    <w:rsid w:val="001A419D"/>
    <w:rsid w:val="001A42E4"/>
    <w:rsid w:val="001A4425"/>
    <w:rsid w:val="001A5BC6"/>
    <w:rsid w:val="001A6649"/>
    <w:rsid w:val="001B0910"/>
    <w:rsid w:val="001B0DEF"/>
    <w:rsid w:val="001B2740"/>
    <w:rsid w:val="001B289A"/>
    <w:rsid w:val="001B388B"/>
    <w:rsid w:val="001B3984"/>
    <w:rsid w:val="001B3F9F"/>
    <w:rsid w:val="001B4C22"/>
    <w:rsid w:val="001B4DB3"/>
    <w:rsid w:val="001B4E39"/>
    <w:rsid w:val="001B517E"/>
    <w:rsid w:val="001B54D4"/>
    <w:rsid w:val="001B5685"/>
    <w:rsid w:val="001B660D"/>
    <w:rsid w:val="001B745D"/>
    <w:rsid w:val="001B74B1"/>
    <w:rsid w:val="001B78C8"/>
    <w:rsid w:val="001B7D8C"/>
    <w:rsid w:val="001C01F6"/>
    <w:rsid w:val="001C02D7"/>
    <w:rsid w:val="001C130A"/>
    <w:rsid w:val="001C1800"/>
    <w:rsid w:val="001C1A2E"/>
    <w:rsid w:val="001C1A4D"/>
    <w:rsid w:val="001C1A79"/>
    <w:rsid w:val="001C1AB6"/>
    <w:rsid w:val="001C2385"/>
    <w:rsid w:val="001C2400"/>
    <w:rsid w:val="001C2AA8"/>
    <w:rsid w:val="001C2B01"/>
    <w:rsid w:val="001C2D28"/>
    <w:rsid w:val="001C39A8"/>
    <w:rsid w:val="001C3A65"/>
    <w:rsid w:val="001C416E"/>
    <w:rsid w:val="001C46B3"/>
    <w:rsid w:val="001C5064"/>
    <w:rsid w:val="001C57B9"/>
    <w:rsid w:val="001C5876"/>
    <w:rsid w:val="001C5A02"/>
    <w:rsid w:val="001C769C"/>
    <w:rsid w:val="001C7D25"/>
    <w:rsid w:val="001D0836"/>
    <w:rsid w:val="001D11A4"/>
    <w:rsid w:val="001D1A40"/>
    <w:rsid w:val="001D240B"/>
    <w:rsid w:val="001D244D"/>
    <w:rsid w:val="001D2949"/>
    <w:rsid w:val="001D2A52"/>
    <w:rsid w:val="001D2D3A"/>
    <w:rsid w:val="001D2EC6"/>
    <w:rsid w:val="001D303E"/>
    <w:rsid w:val="001D3D75"/>
    <w:rsid w:val="001D4111"/>
    <w:rsid w:val="001D4B52"/>
    <w:rsid w:val="001D4D4B"/>
    <w:rsid w:val="001D5322"/>
    <w:rsid w:val="001D53D8"/>
    <w:rsid w:val="001D550E"/>
    <w:rsid w:val="001D6556"/>
    <w:rsid w:val="001D658D"/>
    <w:rsid w:val="001D67FD"/>
    <w:rsid w:val="001D69DA"/>
    <w:rsid w:val="001D6F90"/>
    <w:rsid w:val="001D75F6"/>
    <w:rsid w:val="001D770F"/>
    <w:rsid w:val="001D7AE4"/>
    <w:rsid w:val="001D7BF1"/>
    <w:rsid w:val="001D7CC8"/>
    <w:rsid w:val="001E017E"/>
    <w:rsid w:val="001E0473"/>
    <w:rsid w:val="001E0B8F"/>
    <w:rsid w:val="001E0C2A"/>
    <w:rsid w:val="001E0F65"/>
    <w:rsid w:val="001E178A"/>
    <w:rsid w:val="001E17B0"/>
    <w:rsid w:val="001E1D1B"/>
    <w:rsid w:val="001E23E0"/>
    <w:rsid w:val="001E25E7"/>
    <w:rsid w:val="001E2E16"/>
    <w:rsid w:val="001E2FD6"/>
    <w:rsid w:val="001E3C0C"/>
    <w:rsid w:val="001E459C"/>
    <w:rsid w:val="001E4CB7"/>
    <w:rsid w:val="001E5E58"/>
    <w:rsid w:val="001E64A2"/>
    <w:rsid w:val="001E6594"/>
    <w:rsid w:val="001E6BCC"/>
    <w:rsid w:val="001E6F1E"/>
    <w:rsid w:val="001F06EB"/>
    <w:rsid w:val="001F0DBC"/>
    <w:rsid w:val="001F160E"/>
    <w:rsid w:val="001F1A35"/>
    <w:rsid w:val="001F2DEB"/>
    <w:rsid w:val="001F30D3"/>
    <w:rsid w:val="001F33FA"/>
    <w:rsid w:val="001F3804"/>
    <w:rsid w:val="001F38A9"/>
    <w:rsid w:val="001F3A10"/>
    <w:rsid w:val="001F3CC6"/>
    <w:rsid w:val="001F3EFB"/>
    <w:rsid w:val="001F4EE2"/>
    <w:rsid w:val="001F520E"/>
    <w:rsid w:val="001F581D"/>
    <w:rsid w:val="001F58C8"/>
    <w:rsid w:val="001F5969"/>
    <w:rsid w:val="001F6068"/>
    <w:rsid w:val="001F6793"/>
    <w:rsid w:val="001F6FF0"/>
    <w:rsid w:val="001F73AC"/>
    <w:rsid w:val="001F7694"/>
    <w:rsid w:val="001F7830"/>
    <w:rsid w:val="0020042B"/>
    <w:rsid w:val="00200BC6"/>
    <w:rsid w:val="00200C83"/>
    <w:rsid w:val="002017E0"/>
    <w:rsid w:val="00201DC7"/>
    <w:rsid w:val="002020AC"/>
    <w:rsid w:val="00202303"/>
    <w:rsid w:val="0020232C"/>
    <w:rsid w:val="0020340B"/>
    <w:rsid w:val="00203671"/>
    <w:rsid w:val="00203BB1"/>
    <w:rsid w:val="00204AE3"/>
    <w:rsid w:val="00205711"/>
    <w:rsid w:val="002065E2"/>
    <w:rsid w:val="00206698"/>
    <w:rsid w:val="00207119"/>
    <w:rsid w:val="002115FA"/>
    <w:rsid w:val="002115FB"/>
    <w:rsid w:val="00212E41"/>
    <w:rsid w:val="00212E45"/>
    <w:rsid w:val="002131FA"/>
    <w:rsid w:val="00213985"/>
    <w:rsid w:val="0021466F"/>
    <w:rsid w:val="002150EA"/>
    <w:rsid w:val="002153AC"/>
    <w:rsid w:val="00215435"/>
    <w:rsid w:val="00216ACC"/>
    <w:rsid w:val="00216F1E"/>
    <w:rsid w:val="0021719E"/>
    <w:rsid w:val="00217C84"/>
    <w:rsid w:val="00217FED"/>
    <w:rsid w:val="00220DBA"/>
    <w:rsid w:val="002212CE"/>
    <w:rsid w:val="00221617"/>
    <w:rsid w:val="002226B0"/>
    <w:rsid w:val="002226F4"/>
    <w:rsid w:val="00223197"/>
    <w:rsid w:val="00223DD0"/>
    <w:rsid w:val="00224A3D"/>
    <w:rsid w:val="00224C53"/>
    <w:rsid w:val="00224F78"/>
    <w:rsid w:val="00225124"/>
    <w:rsid w:val="002255C9"/>
    <w:rsid w:val="00225A7C"/>
    <w:rsid w:val="00225F5A"/>
    <w:rsid w:val="002276C7"/>
    <w:rsid w:val="002276F0"/>
    <w:rsid w:val="002300DC"/>
    <w:rsid w:val="00230495"/>
    <w:rsid w:val="002305F4"/>
    <w:rsid w:val="00231A06"/>
    <w:rsid w:val="00231A89"/>
    <w:rsid w:val="00231CC2"/>
    <w:rsid w:val="002323EF"/>
    <w:rsid w:val="00232692"/>
    <w:rsid w:val="002327BF"/>
    <w:rsid w:val="00233060"/>
    <w:rsid w:val="00234464"/>
    <w:rsid w:val="0023490E"/>
    <w:rsid w:val="00234B1D"/>
    <w:rsid w:val="00234BCC"/>
    <w:rsid w:val="00234E05"/>
    <w:rsid w:val="00234F15"/>
    <w:rsid w:val="002350E0"/>
    <w:rsid w:val="00235330"/>
    <w:rsid w:val="002369F8"/>
    <w:rsid w:val="00242119"/>
    <w:rsid w:val="00242318"/>
    <w:rsid w:val="00242700"/>
    <w:rsid w:val="00242994"/>
    <w:rsid w:val="00242D54"/>
    <w:rsid w:val="002436D5"/>
    <w:rsid w:val="00243935"/>
    <w:rsid w:val="00243B8C"/>
    <w:rsid w:val="00243D2F"/>
    <w:rsid w:val="002449FC"/>
    <w:rsid w:val="00244B28"/>
    <w:rsid w:val="00244DE4"/>
    <w:rsid w:val="00244F12"/>
    <w:rsid w:val="00245B1B"/>
    <w:rsid w:val="00245D79"/>
    <w:rsid w:val="00246381"/>
    <w:rsid w:val="00247053"/>
    <w:rsid w:val="0025098A"/>
    <w:rsid w:val="002511E7"/>
    <w:rsid w:val="00251363"/>
    <w:rsid w:val="00251813"/>
    <w:rsid w:val="00251A39"/>
    <w:rsid w:val="00251AC9"/>
    <w:rsid w:val="00251BB2"/>
    <w:rsid w:val="00252937"/>
    <w:rsid w:val="00253512"/>
    <w:rsid w:val="00253783"/>
    <w:rsid w:val="00253887"/>
    <w:rsid w:val="00253B36"/>
    <w:rsid w:val="002541D4"/>
    <w:rsid w:val="00254AAE"/>
    <w:rsid w:val="002554D2"/>
    <w:rsid w:val="00255FCC"/>
    <w:rsid w:val="00256322"/>
    <w:rsid w:val="00256398"/>
    <w:rsid w:val="00256706"/>
    <w:rsid w:val="00256A58"/>
    <w:rsid w:val="00256DB3"/>
    <w:rsid w:val="0025702C"/>
    <w:rsid w:val="00257473"/>
    <w:rsid w:val="002575B1"/>
    <w:rsid w:val="00257945"/>
    <w:rsid w:val="00257EC7"/>
    <w:rsid w:val="0026044C"/>
    <w:rsid w:val="002616F1"/>
    <w:rsid w:val="002616F5"/>
    <w:rsid w:val="0026379C"/>
    <w:rsid w:val="0026469C"/>
    <w:rsid w:val="00264F06"/>
    <w:rsid w:val="00265D12"/>
    <w:rsid w:val="0026667B"/>
    <w:rsid w:val="00266813"/>
    <w:rsid w:val="002669FF"/>
    <w:rsid w:val="002678B4"/>
    <w:rsid w:val="00267A0A"/>
    <w:rsid w:val="00270873"/>
    <w:rsid w:val="00270DB3"/>
    <w:rsid w:val="00270EB3"/>
    <w:rsid w:val="00271021"/>
    <w:rsid w:val="00271064"/>
    <w:rsid w:val="00271520"/>
    <w:rsid w:val="0027184D"/>
    <w:rsid w:val="00271B10"/>
    <w:rsid w:val="00271CF4"/>
    <w:rsid w:val="00271CFF"/>
    <w:rsid w:val="00272461"/>
    <w:rsid w:val="0027273C"/>
    <w:rsid w:val="0027290D"/>
    <w:rsid w:val="00272ADB"/>
    <w:rsid w:val="00272B7C"/>
    <w:rsid w:val="00272ED3"/>
    <w:rsid w:val="00273279"/>
    <w:rsid w:val="00273330"/>
    <w:rsid w:val="0027366D"/>
    <w:rsid w:val="002739DC"/>
    <w:rsid w:val="00273F1B"/>
    <w:rsid w:val="00274616"/>
    <w:rsid w:val="00274839"/>
    <w:rsid w:val="00274BF1"/>
    <w:rsid w:val="00275AA0"/>
    <w:rsid w:val="00275DE3"/>
    <w:rsid w:val="0027631A"/>
    <w:rsid w:val="00277BC3"/>
    <w:rsid w:val="00277D71"/>
    <w:rsid w:val="00280126"/>
    <w:rsid w:val="00280499"/>
    <w:rsid w:val="002807DB"/>
    <w:rsid w:val="00280B92"/>
    <w:rsid w:val="00280D65"/>
    <w:rsid w:val="00281632"/>
    <w:rsid w:val="00281AF7"/>
    <w:rsid w:val="002827B8"/>
    <w:rsid w:val="00282CD8"/>
    <w:rsid w:val="00282E3D"/>
    <w:rsid w:val="002838A6"/>
    <w:rsid w:val="002845F1"/>
    <w:rsid w:val="002850E1"/>
    <w:rsid w:val="0028541F"/>
    <w:rsid w:val="0028545E"/>
    <w:rsid w:val="00285FDD"/>
    <w:rsid w:val="00286A15"/>
    <w:rsid w:val="002870F3"/>
    <w:rsid w:val="00287F51"/>
    <w:rsid w:val="00290259"/>
    <w:rsid w:val="002907B4"/>
    <w:rsid w:val="00290820"/>
    <w:rsid w:val="00290ADC"/>
    <w:rsid w:val="00291714"/>
    <w:rsid w:val="00291B11"/>
    <w:rsid w:val="00292284"/>
    <w:rsid w:val="00292A68"/>
    <w:rsid w:val="00292C1A"/>
    <w:rsid w:val="00293821"/>
    <w:rsid w:val="00293B2F"/>
    <w:rsid w:val="00293C44"/>
    <w:rsid w:val="00294B7B"/>
    <w:rsid w:val="00294EB7"/>
    <w:rsid w:val="00296466"/>
    <w:rsid w:val="00296F11"/>
    <w:rsid w:val="00297864"/>
    <w:rsid w:val="00297E61"/>
    <w:rsid w:val="002A0A77"/>
    <w:rsid w:val="002A13E9"/>
    <w:rsid w:val="002A1531"/>
    <w:rsid w:val="002A1B0B"/>
    <w:rsid w:val="002A278E"/>
    <w:rsid w:val="002A321F"/>
    <w:rsid w:val="002A3BBB"/>
    <w:rsid w:val="002A3BFF"/>
    <w:rsid w:val="002A3E30"/>
    <w:rsid w:val="002A3F09"/>
    <w:rsid w:val="002A504D"/>
    <w:rsid w:val="002A5B8C"/>
    <w:rsid w:val="002A5E07"/>
    <w:rsid w:val="002A5E9C"/>
    <w:rsid w:val="002A6060"/>
    <w:rsid w:val="002A629E"/>
    <w:rsid w:val="002A6E85"/>
    <w:rsid w:val="002A70B4"/>
    <w:rsid w:val="002A71A0"/>
    <w:rsid w:val="002A77C9"/>
    <w:rsid w:val="002A7D18"/>
    <w:rsid w:val="002B05FF"/>
    <w:rsid w:val="002B14B0"/>
    <w:rsid w:val="002B242F"/>
    <w:rsid w:val="002B244E"/>
    <w:rsid w:val="002B3363"/>
    <w:rsid w:val="002B3AEA"/>
    <w:rsid w:val="002B3B96"/>
    <w:rsid w:val="002B42FC"/>
    <w:rsid w:val="002B51FA"/>
    <w:rsid w:val="002B5A2A"/>
    <w:rsid w:val="002B694E"/>
    <w:rsid w:val="002B6F1F"/>
    <w:rsid w:val="002B7228"/>
    <w:rsid w:val="002B7BB6"/>
    <w:rsid w:val="002B7C30"/>
    <w:rsid w:val="002C1DD0"/>
    <w:rsid w:val="002C201A"/>
    <w:rsid w:val="002C2340"/>
    <w:rsid w:val="002C2C84"/>
    <w:rsid w:val="002C31F0"/>
    <w:rsid w:val="002C35C5"/>
    <w:rsid w:val="002C3AD7"/>
    <w:rsid w:val="002C3F61"/>
    <w:rsid w:val="002C432A"/>
    <w:rsid w:val="002C43DC"/>
    <w:rsid w:val="002C4A18"/>
    <w:rsid w:val="002C4AE6"/>
    <w:rsid w:val="002C577C"/>
    <w:rsid w:val="002C5AC7"/>
    <w:rsid w:val="002C6176"/>
    <w:rsid w:val="002C630E"/>
    <w:rsid w:val="002C64D1"/>
    <w:rsid w:val="002C68FB"/>
    <w:rsid w:val="002C7148"/>
    <w:rsid w:val="002C72C8"/>
    <w:rsid w:val="002C7629"/>
    <w:rsid w:val="002D0129"/>
    <w:rsid w:val="002D0350"/>
    <w:rsid w:val="002D141D"/>
    <w:rsid w:val="002D1F9E"/>
    <w:rsid w:val="002D21DA"/>
    <w:rsid w:val="002D21F3"/>
    <w:rsid w:val="002D2A2C"/>
    <w:rsid w:val="002D2C0D"/>
    <w:rsid w:val="002D2F90"/>
    <w:rsid w:val="002D3149"/>
    <w:rsid w:val="002D326B"/>
    <w:rsid w:val="002D4528"/>
    <w:rsid w:val="002D5074"/>
    <w:rsid w:val="002D5132"/>
    <w:rsid w:val="002D62D3"/>
    <w:rsid w:val="002D751C"/>
    <w:rsid w:val="002D78DB"/>
    <w:rsid w:val="002D78F4"/>
    <w:rsid w:val="002E118B"/>
    <w:rsid w:val="002E298D"/>
    <w:rsid w:val="002E3B4A"/>
    <w:rsid w:val="002E40CF"/>
    <w:rsid w:val="002E4125"/>
    <w:rsid w:val="002E4208"/>
    <w:rsid w:val="002E54E2"/>
    <w:rsid w:val="002E617D"/>
    <w:rsid w:val="002E7354"/>
    <w:rsid w:val="002E79E0"/>
    <w:rsid w:val="002E7EFB"/>
    <w:rsid w:val="002F1C4A"/>
    <w:rsid w:val="002F1E68"/>
    <w:rsid w:val="002F1F88"/>
    <w:rsid w:val="002F235B"/>
    <w:rsid w:val="002F2CCE"/>
    <w:rsid w:val="002F3D51"/>
    <w:rsid w:val="002F3F0A"/>
    <w:rsid w:val="002F4176"/>
    <w:rsid w:val="002F463F"/>
    <w:rsid w:val="002F4884"/>
    <w:rsid w:val="002F4C95"/>
    <w:rsid w:val="002F4EFB"/>
    <w:rsid w:val="002F4FFD"/>
    <w:rsid w:val="002F509B"/>
    <w:rsid w:val="002F5503"/>
    <w:rsid w:val="002F5BE9"/>
    <w:rsid w:val="002F6258"/>
    <w:rsid w:val="002F7183"/>
    <w:rsid w:val="002F76F0"/>
    <w:rsid w:val="002F7794"/>
    <w:rsid w:val="002F7860"/>
    <w:rsid w:val="002F7F26"/>
    <w:rsid w:val="00300590"/>
    <w:rsid w:val="00300691"/>
    <w:rsid w:val="003008C9"/>
    <w:rsid w:val="00302100"/>
    <w:rsid w:val="003021FA"/>
    <w:rsid w:val="00302222"/>
    <w:rsid w:val="00302AF6"/>
    <w:rsid w:val="0030319A"/>
    <w:rsid w:val="003031B8"/>
    <w:rsid w:val="003034E0"/>
    <w:rsid w:val="003035F8"/>
    <w:rsid w:val="00303CD3"/>
    <w:rsid w:val="00305612"/>
    <w:rsid w:val="003059C7"/>
    <w:rsid w:val="0030636A"/>
    <w:rsid w:val="00306B37"/>
    <w:rsid w:val="00306FD0"/>
    <w:rsid w:val="00307BC3"/>
    <w:rsid w:val="00307F27"/>
    <w:rsid w:val="00310061"/>
    <w:rsid w:val="003106E7"/>
    <w:rsid w:val="00310C5E"/>
    <w:rsid w:val="00310E6D"/>
    <w:rsid w:val="00311B56"/>
    <w:rsid w:val="00312228"/>
    <w:rsid w:val="003122B8"/>
    <w:rsid w:val="0031294A"/>
    <w:rsid w:val="0031299F"/>
    <w:rsid w:val="003133CB"/>
    <w:rsid w:val="00313D97"/>
    <w:rsid w:val="00313FE2"/>
    <w:rsid w:val="0031458A"/>
    <w:rsid w:val="003161E3"/>
    <w:rsid w:val="003166C3"/>
    <w:rsid w:val="00316B29"/>
    <w:rsid w:val="00316D41"/>
    <w:rsid w:val="00317E4C"/>
    <w:rsid w:val="00320BB1"/>
    <w:rsid w:val="00320E57"/>
    <w:rsid w:val="0032112C"/>
    <w:rsid w:val="00322925"/>
    <w:rsid w:val="003229D7"/>
    <w:rsid w:val="003236F0"/>
    <w:rsid w:val="00323936"/>
    <w:rsid w:val="00323AD7"/>
    <w:rsid w:val="00323ECA"/>
    <w:rsid w:val="0032498F"/>
    <w:rsid w:val="003249D4"/>
    <w:rsid w:val="00324BD9"/>
    <w:rsid w:val="00324C24"/>
    <w:rsid w:val="0032549D"/>
    <w:rsid w:val="00325B8E"/>
    <w:rsid w:val="00325CEA"/>
    <w:rsid w:val="00325DD7"/>
    <w:rsid w:val="00325FAD"/>
    <w:rsid w:val="003263BD"/>
    <w:rsid w:val="00326591"/>
    <w:rsid w:val="003265AD"/>
    <w:rsid w:val="00332FD9"/>
    <w:rsid w:val="003332E0"/>
    <w:rsid w:val="00334111"/>
    <w:rsid w:val="00334518"/>
    <w:rsid w:val="00334CC6"/>
    <w:rsid w:val="00334D0E"/>
    <w:rsid w:val="003350CC"/>
    <w:rsid w:val="00335323"/>
    <w:rsid w:val="00335CD3"/>
    <w:rsid w:val="00335DF3"/>
    <w:rsid w:val="0033600D"/>
    <w:rsid w:val="003367E7"/>
    <w:rsid w:val="003368F7"/>
    <w:rsid w:val="0034045C"/>
    <w:rsid w:val="003417A8"/>
    <w:rsid w:val="0034189C"/>
    <w:rsid w:val="00342264"/>
    <w:rsid w:val="0034284C"/>
    <w:rsid w:val="00343216"/>
    <w:rsid w:val="00343218"/>
    <w:rsid w:val="00343714"/>
    <w:rsid w:val="003450C7"/>
    <w:rsid w:val="00345BDD"/>
    <w:rsid w:val="00346A8A"/>
    <w:rsid w:val="00346D01"/>
    <w:rsid w:val="003470EC"/>
    <w:rsid w:val="003470FE"/>
    <w:rsid w:val="00347CDC"/>
    <w:rsid w:val="00350E77"/>
    <w:rsid w:val="00351046"/>
    <w:rsid w:val="00352047"/>
    <w:rsid w:val="00352090"/>
    <w:rsid w:val="0035283E"/>
    <w:rsid w:val="003535B0"/>
    <w:rsid w:val="0035380D"/>
    <w:rsid w:val="00353D14"/>
    <w:rsid w:val="00355019"/>
    <w:rsid w:val="0035580E"/>
    <w:rsid w:val="00355C6A"/>
    <w:rsid w:val="00356128"/>
    <w:rsid w:val="003562A8"/>
    <w:rsid w:val="003564E4"/>
    <w:rsid w:val="00357145"/>
    <w:rsid w:val="003574F9"/>
    <w:rsid w:val="0035771D"/>
    <w:rsid w:val="003578F8"/>
    <w:rsid w:val="00357981"/>
    <w:rsid w:val="00357CF9"/>
    <w:rsid w:val="0036012A"/>
    <w:rsid w:val="003601F6"/>
    <w:rsid w:val="003601FA"/>
    <w:rsid w:val="0036195A"/>
    <w:rsid w:val="00362323"/>
    <w:rsid w:val="0036245B"/>
    <w:rsid w:val="0036273E"/>
    <w:rsid w:val="00362AA6"/>
    <w:rsid w:val="00362CDE"/>
    <w:rsid w:val="003630EE"/>
    <w:rsid w:val="00363137"/>
    <w:rsid w:val="0036343D"/>
    <w:rsid w:val="00363906"/>
    <w:rsid w:val="00363BC6"/>
    <w:rsid w:val="003643E1"/>
    <w:rsid w:val="00364A4A"/>
    <w:rsid w:val="00364A72"/>
    <w:rsid w:val="00364A94"/>
    <w:rsid w:val="00364B6C"/>
    <w:rsid w:val="0036553E"/>
    <w:rsid w:val="00365BC8"/>
    <w:rsid w:val="003661EE"/>
    <w:rsid w:val="00366AAE"/>
    <w:rsid w:val="00366B28"/>
    <w:rsid w:val="00366F33"/>
    <w:rsid w:val="00367271"/>
    <w:rsid w:val="00367304"/>
    <w:rsid w:val="003675D8"/>
    <w:rsid w:val="00367748"/>
    <w:rsid w:val="00370F72"/>
    <w:rsid w:val="00371546"/>
    <w:rsid w:val="00371627"/>
    <w:rsid w:val="00371B70"/>
    <w:rsid w:val="00372277"/>
    <w:rsid w:val="003732B4"/>
    <w:rsid w:val="00373B86"/>
    <w:rsid w:val="00373C18"/>
    <w:rsid w:val="0037415F"/>
    <w:rsid w:val="003742A3"/>
    <w:rsid w:val="003742D6"/>
    <w:rsid w:val="00374662"/>
    <w:rsid w:val="003746E9"/>
    <w:rsid w:val="00375252"/>
    <w:rsid w:val="0037546E"/>
    <w:rsid w:val="0037589C"/>
    <w:rsid w:val="00375C6A"/>
    <w:rsid w:val="003761DF"/>
    <w:rsid w:val="003765C7"/>
    <w:rsid w:val="003766FC"/>
    <w:rsid w:val="0037680A"/>
    <w:rsid w:val="00376925"/>
    <w:rsid w:val="00380506"/>
    <w:rsid w:val="00380544"/>
    <w:rsid w:val="003806CF"/>
    <w:rsid w:val="003814F3"/>
    <w:rsid w:val="003816DA"/>
    <w:rsid w:val="00381C3C"/>
    <w:rsid w:val="00381F84"/>
    <w:rsid w:val="0038264A"/>
    <w:rsid w:val="0038279A"/>
    <w:rsid w:val="003847E7"/>
    <w:rsid w:val="003847F5"/>
    <w:rsid w:val="00384A09"/>
    <w:rsid w:val="00384EB3"/>
    <w:rsid w:val="003855C9"/>
    <w:rsid w:val="00385649"/>
    <w:rsid w:val="00385698"/>
    <w:rsid w:val="00385DB1"/>
    <w:rsid w:val="0038632A"/>
    <w:rsid w:val="00386B79"/>
    <w:rsid w:val="003871D1"/>
    <w:rsid w:val="00387233"/>
    <w:rsid w:val="00387932"/>
    <w:rsid w:val="00387B56"/>
    <w:rsid w:val="00387C71"/>
    <w:rsid w:val="003900A9"/>
    <w:rsid w:val="003903C6"/>
    <w:rsid w:val="0039086B"/>
    <w:rsid w:val="00391226"/>
    <w:rsid w:val="00391F6E"/>
    <w:rsid w:val="0039213C"/>
    <w:rsid w:val="0039335C"/>
    <w:rsid w:val="00393965"/>
    <w:rsid w:val="003945C7"/>
    <w:rsid w:val="0039467D"/>
    <w:rsid w:val="00395C4C"/>
    <w:rsid w:val="00395D45"/>
    <w:rsid w:val="00395FA2"/>
    <w:rsid w:val="003974F9"/>
    <w:rsid w:val="003977EA"/>
    <w:rsid w:val="00397E23"/>
    <w:rsid w:val="003A01F3"/>
    <w:rsid w:val="003A0319"/>
    <w:rsid w:val="003A14A0"/>
    <w:rsid w:val="003A18B2"/>
    <w:rsid w:val="003A19C7"/>
    <w:rsid w:val="003A2591"/>
    <w:rsid w:val="003A303A"/>
    <w:rsid w:val="003A356F"/>
    <w:rsid w:val="003A3937"/>
    <w:rsid w:val="003A3B6D"/>
    <w:rsid w:val="003A4747"/>
    <w:rsid w:val="003A4DA7"/>
    <w:rsid w:val="003A5655"/>
    <w:rsid w:val="003A6068"/>
    <w:rsid w:val="003A68BC"/>
    <w:rsid w:val="003A6E5E"/>
    <w:rsid w:val="003A75AB"/>
    <w:rsid w:val="003A7A65"/>
    <w:rsid w:val="003B04B1"/>
    <w:rsid w:val="003B04CF"/>
    <w:rsid w:val="003B0A57"/>
    <w:rsid w:val="003B1153"/>
    <w:rsid w:val="003B1909"/>
    <w:rsid w:val="003B2269"/>
    <w:rsid w:val="003B244B"/>
    <w:rsid w:val="003B2FA0"/>
    <w:rsid w:val="003B3214"/>
    <w:rsid w:val="003B3279"/>
    <w:rsid w:val="003B3E4B"/>
    <w:rsid w:val="003B51A3"/>
    <w:rsid w:val="003B77F1"/>
    <w:rsid w:val="003B79C6"/>
    <w:rsid w:val="003B7F33"/>
    <w:rsid w:val="003C0B60"/>
    <w:rsid w:val="003C0C0E"/>
    <w:rsid w:val="003C2344"/>
    <w:rsid w:val="003C256F"/>
    <w:rsid w:val="003C2C19"/>
    <w:rsid w:val="003C2DA4"/>
    <w:rsid w:val="003C31DF"/>
    <w:rsid w:val="003C3434"/>
    <w:rsid w:val="003C3911"/>
    <w:rsid w:val="003C3A2B"/>
    <w:rsid w:val="003C3ED4"/>
    <w:rsid w:val="003C4121"/>
    <w:rsid w:val="003C43A7"/>
    <w:rsid w:val="003C4729"/>
    <w:rsid w:val="003C48F6"/>
    <w:rsid w:val="003C4AB1"/>
    <w:rsid w:val="003C55E4"/>
    <w:rsid w:val="003C5939"/>
    <w:rsid w:val="003C6EEA"/>
    <w:rsid w:val="003C72A2"/>
    <w:rsid w:val="003C77D4"/>
    <w:rsid w:val="003C7C75"/>
    <w:rsid w:val="003D07D2"/>
    <w:rsid w:val="003D14C7"/>
    <w:rsid w:val="003D1523"/>
    <w:rsid w:val="003D1DD4"/>
    <w:rsid w:val="003D209C"/>
    <w:rsid w:val="003D23F3"/>
    <w:rsid w:val="003D3121"/>
    <w:rsid w:val="003D3200"/>
    <w:rsid w:val="003D3A73"/>
    <w:rsid w:val="003D4219"/>
    <w:rsid w:val="003D5463"/>
    <w:rsid w:val="003D6453"/>
    <w:rsid w:val="003D6EAC"/>
    <w:rsid w:val="003D7DC8"/>
    <w:rsid w:val="003E0103"/>
    <w:rsid w:val="003E0237"/>
    <w:rsid w:val="003E0A65"/>
    <w:rsid w:val="003E0D3C"/>
    <w:rsid w:val="003E1A2B"/>
    <w:rsid w:val="003E2398"/>
    <w:rsid w:val="003E2A00"/>
    <w:rsid w:val="003E2A2D"/>
    <w:rsid w:val="003E2F32"/>
    <w:rsid w:val="003E30B9"/>
    <w:rsid w:val="003E3118"/>
    <w:rsid w:val="003E3128"/>
    <w:rsid w:val="003E44C3"/>
    <w:rsid w:val="003E45C8"/>
    <w:rsid w:val="003E4600"/>
    <w:rsid w:val="003E4FDB"/>
    <w:rsid w:val="003E51C3"/>
    <w:rsid w:val="003E5E9D"/>
    <w:rsid w:val="003E63B9"/>
    <w:rsid w:val="003E694C"/>
    <w:rsid w:val="003E701B"/>
    <w:rsid w:val="003E7FAE"/>
    <w:rsid w:val="003F1613"/>
    <w:rsid w:val="003F1918"/>
    <w:rsid w:val="003F22CD"/>
    <w:rsid w:val="003F29BA"/>
    <w:rsid w:val="003F349B"/>
    <w:rsid w:val="003F3AD4"/>
    <w:rsid w:val="003F4A9E"/>
    <w:rsid w:val="003F4D60"/>
    <w:rsid w:val="003F5753"/>
    <w:rsid w:val="003F5A66"/>
    <w:rsid w:val="003F5AFD"/>
    <w:rsid w:val="003F5CDA"/>
    <w:rsid w:val="003F6127"/>
    <w:rsid w:val="003F6F4B"/>
    <w:rsid w:val="003F7309"/>
    <w:rsid w:val="003F735B"/>
    <w:rsid w:val="003F7464"/>
    <w:rsid w:val="003F7A55"/>
    <w:rsid w:val="003F7ADC"/>
    <w:rsid w:val="003F7D26"/>
    <w:rsid w:val="00400218"/>
    <w:rsid w:val="004003E5"/>
    <w:rsid w:val="0040065C"/>
    <w:rsid w:val="00400BC9"/>
    <w:rsid w:val="00400E09"/>
    <w:rsid w:val="00401303"/>
    <w:rsid w:val="00401CB8"/>
    <w:rsid w:val="004042E9"/>
    <w:rsid w:val="004049A3"/>
    <w:rsid w:val="00404ECB"/>
    <w:rsid w:val="00404FA5"/>
    <w:rsid w:val="004052EB"/>
    <w:rsid w:val="00405769"/>
    <w:rsid w:val="00406074"/>
    <w:rsid w:val="004062DC"/>
    <w:rsid w:val="004066EA"/>
    <w:rsid w:val="0040687B"/>
    <w:rsid w:val="00407AF8"/>
    <w:rsid w:val="00410227"/>
    <w:rsid w:val="004102E0"/>
    <w:rsid w:val="00410561"/>
    <w:rsid w:val="0041085C"/>
    <w:rsid w:val="00410D33"/>
    <w:rsid w:val="004113D3"/>
    <w:rsid w:val="0041179D"/>
    <w:rsid w:val="004118AD"/>
    <w:rsid w:val="00411E0F"/>
    <w:rsid w:val="004125BD"/>
    <w:rsid w:val="00412E23"/>
    <w:rsid w:val="004138BC"/>
    <w:rsid w:val="00414056"/>
    <w:rsid w:val="00416005"/>
    <w:rsid w:val="00416472"/>
    <w:rsid w:val="00416B03"/>
    <w:rsid w:val="00417477"/>
    <w:rsid w:val="004203CC"/>
    <w:rsid w:val="00420CEF"/>
    <w:rsid w:val="00420E82"/>
    <w:rsid w:val="00421FB4"/>
    <w:rsid w:val="0042264E"/>
    <w:rsid w:val="0042268A"/>
    <w:rsid w:val="00422EE1"/>
    <w:rsid w:val="00423578"/>
    <w:rsid w:val="00423C5B"/>
    <w:rsid w:val="00425014"/>
    <w:rsid w:val="00425158"/>
    <w:rsid w:val="00426586"/>
    <w:rsid w:val="00426E41"/>
    <w:rsid w:val="00426F0E"/>
    <w:rsid w:val="004270E3"/>
    <w:rsid w:val="004272BB"/>
    <w:rsid w:val="0042752D"/>
    <w:rsid w:val="00427614"/>
    <w:rsid w:val="004300ED"/>
    <w:rsid w:val="0043153B"/>
    <w:rsid w:val="004319BE"/>
    <w:rsid w:val="00431B4E"/>
    <w:rsid w:val="00431F6B"/>
    <w:rsid w:val="00432207"/>
    <w:rsid w:val="00432A80"/>
    <w:rsid w:val="00434497"/>
    <w:rsid w:val="0043513F"/>
    <w:rsid w:val="00435227"/>
    <w:rsid w:val="0043640A"/>
    <w:rsid w:val="00436A00"/>
    <w:rsid w:val="00437563"/>
    <w:rsid w:val="0043767B"/>
    <w:rsid w:val="00437C53"/>
    <w:rsid w:val="004410FF"/>
    <w:rsid w:val="004416F4"/>
    <w:rsid w:val="00442492"/>
    <w:rsid w:val="00442BCB"/>
    <w:rsid w:val="00443576"/>
    <w:rsid w:val="004436CC"/>
    <w:rsid w:val="0044405B"/>
    <w:rsid w:val="00445418"/>
    <w:rsid w:val="00445E6F"/>
    <w:rsid w:val="00445EC5"/>
    <w:rsid w:val="00446E4F"/>
    <w:rsid w:val="004479D2"/>
    <w:rsid w:val="0045013F"/>
    <w:rsid w:val="0045015A"/>
    <w:rsid w:val="00451008"/>
    <w:rsid w:val="00451AB4"/>
    <w:rsid w:val="00451D86"/>
    <w:rsid w:val="00452D24"/>
    <w:rsid w:val="00452E20"/>
    <w:rsid w:val="00453A96"/>
    <w:rsid w:val="00453EDF"/>
    <w:rsid w:val="00454A8C"/>
    <w:rsid w:val="00455D19"/>
    <w:rsid w:val="00455F1E"/>
    <w:rsid w:val="00456DED"/>
    <w:rsid w:val="00457C0D"/>
    <w:rsid w:val="00460605"/>
    <w:rsid w:val="00460CDF"/>
    <w:rsid w:val="00461340"/>
    <w:rsid w:val="004614A3"/>
    <w:rsid w:val="00461981"/>
    <w:rsid w:val="00462703"/>
    <w:rsid w:val="004637E1"/>
    <w:rsid w:val="004639D7"/>
    <w:rsid w:val="00465474"/>
    <w:rsid w:val="00465608"/>
    <w:rsid w:val="0046566C"/>
    <w:rsid w:val="00466239"/>
    <w:rsid w:val="00466FCE"/>
    <w:rsid w:val="004670FB"/>
    <w:rsid w:val="00467172"/>
    <w:rsid w:val="0046731B"/>
    <w:rsid w:val="00467868"/>
    <w:rsid w:val="00467A44"/>
    <w:rsid w:val="00467DB3"/>
    <w:rsid w:val="0047010E"/>
    <w:rsid w:val="0047032E"/>
    <w:rsid w:val="004709B7"/>
    <w:rsid w:val="00470F74"/>
    <w:rsid w:val="0047107F"/>
    <w:rsid w:val="004716FA"/>
    <w:rsid w:val="00471D01"/>
    <w:rsid w:val="0047266D"/>
    <w:rsid w:val="0047275C"/>
    <w:rsid w:val="004733F3"/>
    <w:rsid w:val="00473A29"/>
    <w:rsid w:val="00473DD4"/>
    <w:rsid w:val="00474412"/>
    <w:rsid w:val="0047487D"/>
    <w:rsid w:val="00474E67"/>
    <w:rsid w:val="00474FAE"/>
    <w:rsid w:val="00475862"/>
    <w:rsid w:val="00475C73"/>
    <w:rsid w:val="0047683E"/>
    <w:rsid w:val="00476D1C"/>
    <w:rsid w:val="00476F65"/>
    <w:rsid w:val="004772BD"/>
    <w:rsid w:val="004775A8"/>
    <w:rsid w:val="004779DD"/>
    <w:rsid w:val="00477E67"/>
    <w:rsid w:val="00480F02"/>
    <w:rsid w:val="00480F30"/>
    <w:rsid w:val="004817C8"/>
    <w:rsid w:val="004818F1"/>
    <w:rsid w:val="0048230C"/>
    <w:rsid w:val="004824D6"/>
    <w:rsid w:val="004826D7"/>
    <w:rsid w:val="0048274B"/>
    <w:rsid w:val="00482B66"/>
    <w:rsid w:val="00482F30"/>
    <w:rsid w:val="00484920"/>
    <w:rsid w:val="00484B86"/>
    <w:rsid w:val="00485068"/>
    <w:rsid w:val="00485893"/>
    <w:rsid w:val="004859FB"/>
    <w:rsid w:val="00485ED9"/>
    <w:rsid w:val="004863F4"/>
    <w:rsid w:val="004872F7"/>
    <w:rsid w:val="00487CA0"/>
    <w:rsid w:val="00490AA1"/>
    <w:rsid w:val="00491A62"/>
    <w:rsid w:val="0049260D"/>
    <w:rsid w:val="004927EA"/>
    <w:rsid w:val="004933F5"/>
    <w:rsid w:val="00493552"/>
    <w:rsid w:val="00493FAF"/>
    <w:rsid w:val="00493FCD"/>
    <w:rsid w:val="004944B8"/>
    <w:rsid w:val="00494BB5"/>
    <w:rsid w:val="00494C2B"/>
    <w:rsid w:val="004953E2"/>
    <w:rsid w:val="00495442"/>
    <w:rsid w:val="00495494"/>
    <w:rsid w:val="00495EBC"/>
    <w:rsid w:val="0049609D"/>
    <w:rsid w:val="004978B7"/>
    <w:rsid w:val="00497AB0"/>
    <w:rsid w:val="004A1736"/>
    <w:rsid w:val="004A2105"/>
    <w:rsid w:val="004A26B8"/>
    <w:rsid w:val="004A37EB"/>
    <w:rsid w:val="004A3C5B"/>
    <w:rsid w:val="004A3DBA"/>
    <w:rsid w:val="004A4D4E"/>
    <w:rsid w:val="004A4F58"/>
    <w:rsid w:val="004A54A3"/>
    <w:rsid w:val="004A5B2A"/>
    <w:rsid w:val="004A5E9A"/>
    <w:rsid w:val="004A7701"/>
    <w:rsid w:val="004A7B2D"/>
    <w:rsid w:val="004A7E9D"/>
    <w:rsid w:val="004B03CB"/>
    <w:rsid w:val="004B1774"/>
    <w:rsid w:val="004B2A1A"/>
    <w:rsid w:val="004B44CC"/>
    <w:rsid w:val="004B5642"/>
    <w:rsid w:val="004B65D9"/>
    <w:rsid w:val="004B67B0"/>
    <w:rsid w:val="004B7787"/>
    <w:rsid w:val="004B784A"/>
    <w:rsid w:val="004B798D"/>
    <w:rsid w:val="004B7C48"/>
    <w:rsid w:val="004C0195"/>
    <w:rsid w:val="004C0847"/>
    <w:rsid w:val="004C097A"/>
    <w:rsid w:val="004C0C83"/>
    <w:rsid w:val="004C1040"/>
    <w:rsid w:val="004C11D6"/>
    <w:rsid w:val="004C145D"/>
    <w:rsid w:val="004C18A1"/>
    <w:rsid w:val="004C19D4"/>
    <w:rsid w:val="004C2CD5"/>
    <w:rsid w:val="004C387A"/>
    <w:rsid w:val="004C3A58"/>
    <w:rsid w:val="004C3D7F"/>
    <w:rsid w:val="004C3DF2"/>
    <w:rsid w:val="004C4A98"/>
    <w:rsid w:val="004C5B28"/>
    <w:rsid w:val="004C6086"/>
    <w:rsid w:val="004C6D8F"/>
    <w:rsid w:val="004D2689"/>
    <w:rsid w:val="004D2AE4"/>
    <w:rsid w:val="004D2CBE"/>
    <w:rsid w:val="004D30EF"/>
    <w:rsid w:val="004D31A3"/>
    <w:rsid w:val="004D34C1"/>
    <w:rsid w:val="004D3AEC"/>
    <w:rsid w:val="004D5569"/>
    <w:rsid w:val="004D564E"/>
    <w:rsid w:val="004D5F0B"/>
    <w:rsid w:val="004D623F"/>
    <w:rsid w:val="004D62BB"/>
    <w:rsid w:val="004D6A2A"/>
    <w:rsid w:val="004D6D07"/>
    <w:rsid w:val="004D6F9B"/>
    <w:rsid w:val="004D7112"/>
    <w:rsid w:val="004D71BC"/>
    <w:rsid w:val="004E06F4"/>
    <w:rsid w:val="004E135C"/>
    <w:rsid w:val="004E19AA"/>
    <w:rsid w:val="004E2175"/>
    <w:rsid w:val="004E40C8"/>
    <w:rsid w:val="004E4456"/>
    <w:rsid w:val="004E4B78"/>
    <w:rsid w:val="004E51BB"/>
    <w:rsid w:val="004E546E"/>
    <w:rsid w:val="004E59A6"/>
    <w:rsid w:val="004E5F7E"/>
    <w:rsid w:val="004E68B2"/>
    <w:rsid w:val="004E7159"/>
    <w:rsid w:val="004E7C4F"/>
    <w:rsid w:val="004F00FC"/>
    <w:rsid w:val="004F0707"/>
    <w:rsid w:val="004F079A"/>
    <w:rsid w:val="004F1263"/>
    <w:rsid w:val="004F178E"/>
    <w:rsid w:val="004F1E63"/>
    <w:rsid w:val="004F24C5"/>
    <w:rsid w:val="004F26D1"/>
    <w:rsid w:val="004F2F22"/>
    <w:rsid w:val="004F311D"/>
    <w:rsid w:val="004F43BD"/>
    <w:rsid w:val="004F52CE"/>
    <w:rsid w:val="004F6925"/>
    <w:rsid w:val="004F7F3F"/>
    <w:rsid w:val="0050097A"/>
    <w:rsid w:val="00500CD1"/>
    <w:rsid w:val="005015CE"/>
    <w:rsid w:val="00502191"/>
    <w:rsid w:val="0050312F"/>
    <w:rsid w:val="00503539"/>
    <w:rsid w:val="0050637D"/>
    <w:rsid w:val="0050677F"/>
    <w:rsid w:val="00506BB7"/>
    <w:rsid w:val="005073AA"/>
    <w:rsid w:val="005109BD"/>
    <w:rsid w:val="005109E0"/>
    <w:rsid w:val="0051141E"/>
    <w:rsid w:val="0051171A"/>
    <w:rsid w:val="00511BB0"/>
    <w:rsid w:val="00511DE4"/>
    <w:rsid w:val="00511FD8"/>
    <w:rsid w:val="00512056"/>
    <w:rsid w:val="00512B01"/>
    <w:rsid w:val="00512CB4"/>
    <w:rsid w:val="00513096"/>
    <w:rsid w:val="00513373"/>
    <w:rsid w:val="00513F20"/>
    <w:rsid w:val="00514352"/>
    <w:rsid w:val="00515D52"/>
    <w:rsid w:val="00515EDD"/>
    <w:rsid w:val="00516A68"/>
    <w:rsid w:val="00517599"/>
    <w:rsid w:val="00517A4A"/>
    <w:rsid w:val="00520869"/>
    <w:rsid w:val="005212EC"/>
    <w:rsid w:val="0052148C"/>
    <w:rsid w:val="00521906"/>
    <w:rsid w:val="00521953"/>
    <w:rsid w:val="00521F6E"/>
    <w:rsid w:val="005226BF"/>
    <w:rsid w:val="00522785"/>
    <w:rsid w:val="00522BBC"/>
    <w:rsid w:val="00522BFB"/>
    <w:rsid w:val="00522CD1"/>
    <w:rsid w:val="00522D46"/>
    <w:rsid w:val="00523B9C"/>
    <w:rsid w:val="00523D6D"/>
    <w:rsid w:val="0052413F"/>
    <w:rsid w:val="00524727"/>
    <w:rsid w:val="00524979"/>
    <w:rsid w:val="00524D2E"/>
    <w:rsid w:val="00525B0C"/>
    <w:rsid w:val="00525F9D"/>
    <w:rsid w:val="00526EF7"/>
    <w:rsid w:val="00527111"/>
    <w:rsid w:val="0052764C"/>
    <w:rsid w:val="00527B94"/>
    <w:rsid w:val="0053027E"/>
    <w:rsid w:val="00530F27"/>
    <w:rsid w:val="00532298"/>
    <w:rsid w:val="00533E68"/>
    <w:rsid w:val="00534880"/>
    <w:rsid w:val="005354AB"/>
    <w:rsid w:val="00536FC7"/>
    <w:rsid w:val="005376EF"/>
    <w:rsid w:val="005377AF"/>
    <w:rsid w:val="00540702"/>
    <w:rsid w:val="005408A8"/>
    <w:rsid w:val="00540B56"/>
    <w:rsid w:val="00541186"/>
    <w:rsid w:val="005415C3"/>
    <w:rsid w:val="0054210B"/>
    <w:rsid w:val="00542270"/>
    <w:rsid w:val="00542746"/>
    <w:rsid w:val="005429BB"/>
    <w:rsid w:val="00542D7F"/>
    <w:rsid w:val="00542FCD"/>
    <w:rsid w:val="005433C0"/>
    <w:rsid w:val="0054343C"/>
    <w:rsid w:val="00543CC8"/>
    <w:rsid w:val="005442EA"/>
    <w:rsid w:val="0054445E"/>
    <w:rsid w:val="005457B9"/>
    <w:rsid w:val="00545BC0"/>
    <w:rsid w:val="00545F78"/>
    <w:rsid w:val="00545F91"/>
    <w:rsid w:val="0054621A"/>
    <w:rsid w:val="00546669"/>
    <w:rsid w:val="0054667F"/>
    <w:rsid w:val="005473C0"/>
    <w:rsid w:val="005477A0"/>
    <w:rsid w:val="00547A9B"/>
    <w:rsid w:val="00547E3C"/>
    <w:rsid w:val="005505BE"/>
    <w:rsid w:val="0055141A"/>
    <w:rsid w:val="005514E5"/>
    <w:rsid w:val="005527D7"/>
    <w:rsid w:val="00552D25"/>
    <w:rsid w:val="00553ABB"/>
    <w:rsid w:val="00554275"/>
    <w:rsid w:val="0055427D"/>
    <w:rsid w:val="005545C0"/>
    <w:rsid w:val="00554A51"/>
    <w:rsid w:val="005554F6"/>
    <w:rsid w:val="00555CBB"/>
    <w:rsid w:val="00556126"/>
    <w:rsid w:val="005579F4"/>
    <w:rsid w:val="00560078"/>
    <w:rsid w:val="005608BA"/>
    <w:rsid w:val="005608C0"/>
    <w:rsid w:val="005610B3"/>
    <w:rsid w:val="005611FA"/>
    <w:rsid w:val="0056123B"/>
    <w:rsid w:val="00561B3B"/>
    <w:rsid w:val="00562149"/>
    <w:rsid w:val="005627B4"/>
    <w:rsid w:val="0056288A"/>
    <w:rsid w:val="00562E1F"/>
    <w:rsid w:val="00563822"/>
    <w:rsid w:val="0056476F"/>
    <w:rsid w:val="005659A7"/>
    <w:rsid w:val="00565BCE"/>
    <w:rsid w:val="00566349"/>
    <w:rsid w:val="00566F1A"/>
    <w:rsid w:val="00567415"/>
    <w:rsid w:val="005701CA"/>
    <w:rsid w:val="00570516"/>
    <w:rsid w:val="0057121F"/>
    <w:rsid w:val="00571D08"/>
    <w:rsid w:val="00571FD8"/>
    <w:rsid w:val="0057211C"/>
    <w:rsid w:val="0057229F"/>
    <w:rsid w:val="00572548"/>
    <w:rsid w:val="0057263E"/>
    <w:rsid w:val="00572EBB"/>
    <w:rsid w:val="005733A3"/>
    <w:rsid w:val="005739E2"/>
    <w:rsid w:val="00574678"/>
    <w:rsid w:val="00574E5B"/>
    <w:rsid w:val="00575136"/>
    <w:rsid w:val="005762C1"/>
    <w:rsid w:val="00576B1B"/>
    <w:rsid w:val="00580050"/>
    <w:rsid w:val="005807DA"/>
    <w:rsid w:val="00580838"/>
    <w:rsid w:val="00580E66"/>
    <w:rsid w:val="00581180"/>
    <w:rsid w:val="00581201"/>
    <w:rsid w:val="00583484"/>
    <w:rsid w:val="00583536"/>
    <w:rsid w:val="00583B72"/>
    <w:rsid w:val="005841CB"/>
    <w:rsid w:val="005844ED"/>
    <w:rsid w:val="00584A45"/>
    <w:rsid w:val="00584E0B"/>
    <w:rsid w:val="00585097"/>
    <w:rsid w:val="005864EF"/>
    <w:rsid w:val="005865B7"/>
    <w:rsid w:val="00586741"/>
    <w:rsid w:val="00586770"/>
    <w:rsid w:val="005867BF"/>
    <w:rsid w:val="00586818"/>
    <w:rsid w:val="00586A8C"/>
    <w:rsid w:val="00587C74"/>
    <w:rsid w:val="0059015B"/>
    <w:rsid w:val="00591445"/>
    <w:rsid w:val="00591D93"/>
    <w:rsid w:val="00591DEA"/>
    <w:rsid w:val="005920F3"/>
    <w:rsid w:val="0059326E"/>
    <w:rsid w:val="005943D8"/>
    <w:rsid w:val="00594898"/>
    <w:rsid w:val="00595D7B"/>
    <w:rsid w:val="00596BA1"/>
    <w:rsid w:val="00596D59"/>
    <w:rsid w:val="00596DAC"/>
    <w:rsid w:val="00597349"/>
    <w:rsid w:val="005975A6"/>
    <w:rsid w:val="005A09FE"/>
    <w:rsid w:val="005A0BA6"/>
    <w:rsid w:val="005A113A"/>
    <w:rsid w:val="005A1735"/>
    <w:rsid w:val="005A18DC"/>
    <w:rsid w:val="005A19B1"/>
    <w:rsid w:val="005A20B0"/>
    <w:rsid w:val="005A29EB"/>
    <w:rsid w:val="005A2A1E"/>
    <w:rsid w:val="005A2A22"/>
    <w:rsid w:val="005A2CCD"/>
    <w:rsid w:val="005A3598"/>
    <w:rsid w:val="005A423A"/>
    <w:rsid w:val="005A45F9"/>
    <w:rsid w:val="005A4801"/>
    <w:rsid w:val="005A5D49"/>
    <w:rsid w:val="005A6330"/>
    <w:rsid w:val="005A70F9"/>
    <w:rsid w:val="005A7384"/>
    <w:rsid w:val="005A7392"/>
    <w:rsid w:val="005A7AAD"/>
    <w:rsid w:val="005A7C0D"/>
    <w:rsid w:val="005B0636"/>
    <w:rsid w:val="005B092E"/>
    <w:rsid w:val="005B0BE4"/>
    <w:rsid w:val="005B144B"/>
    <w:rsid w:val="005B1655"/>
    <w:rsid w:val="005B1C42"/>
    <w:rsid w:val="005B2B61"/>
    <w:rsid w:val="005B2CFE"/>
    <w:rsid w:val="005B2DA7"/>
    <w:rsid w:val="005B2F2C"/>
    <w:rsid w:val="005B34FE"/>
    <w:rsid w:val="005B35F5"/>
    <w:rsid w:val="005B3624"/>
    <w:rsid w:val="005B4DE6"/>
    <w:rsid w:val="005B4EDB"/>
    <w:rsid w:val="005B535E"/>
    <w:rsid w:val="005B5754"/>
    <w:rsid w:val="005B5FC5"/>
    <w:rsid w:val="005B6479"/>
    <w:rsid w:val="005B6FFA"/>
    <w:rsid w:val="005B7434"/>
    <w:rsid w:val="005B7619"/>
    <w:rsid w:val="005B7707"/>
    <w:rsid w:val="005B7BAF"/>
    <w:rsid w:val="005C0155"/>
    <w:rsid w:val="005C0190"/>
    <w:rsid w:val="005C044E"/>
    <w:rsid w:val="005C0B76"/>
    <w:rsid w:val="005C0D25"/>
    <w:rsid w:val="005C2423"/>
    <w:rsid w:val="005C2444"/>
    <w:rsid w:val="005C2631"/>
    <w:rsid w:val="005C2F93"/>
    <w:rsid w:val="005C3EB8"/>
    <w:rsid w:val="005C6F28"/>
    <w:rsid w:val="005C707D"/>
    <w:rsid w:val="005C74DE"/>
    <w:rsid w:val="005C75DA"/>
    <w:rsid w:val="005C778A"/>
    <w:rsid w:val="005C787B"/>
    <w:rsid w:val="005C7D00"/>
    <w:rsid w:val="005C7DF5"/>
    <w:rsid w:val="005D0056"/>
    <w:rsid w:val="005D054D"/>
    <w:rsid w:val="005D09E8"/>
    <w:rsid w:val="005D0A3B"/>
    <w:rsid w:val="005D0AEB"/>
    <w:rsid w:val="005D196D"/>
    <w:rsid w:val="005D1F6A"/>
    <w:rsid w:val="005D215B"/>
    <w:rsid w:val="005D255F"/>
    <w:rsid w:val="005D3359"/>
    <w:rsid w:val="005D41CC"/>
    <w:rsid w:val="005D4461"/>
    <w:rsid w:val="005D4652"/>
    <w:rsid w:val="005D5527"/>
    <w:rsid w:val="005D5A91"/>
    <w:rsid w:val="005D5CB4"/>
    <w:rsid w:val="005D62F3"/>
    <w:rsid w:val="005D6681"/>
    <w:rsid w:val="005D6AAE"/>
    <w:rsid w:val="005D70C2"/>
    <w:rsid w:val="005D75AB"/>
    <w:rsid w:val="005D7D87"/>
    <w:rsid w:val="005D7DA6"/>
    <w:rsid w:val="005E0269"/>
    <w:rsid w:val="005E09C4"/>
    <w:rsid w:val="005E0A41"/>
    <w:rsid w:val="005E19F4"/>
    <w:rsid w:val="005E1E7A"/>
    <w:rsid w:val="005E2733"/>
    <w:rsid w:val="005E2C07"/>
    <w:rsid w:val="005E36F5"/>
    <w:rsid w:val="005E5FDF"/>
    <w:rsid w:val="005E612D"/>
    <w:rsid w:val="005E6308"/>
    <w:rsid w:val="005F0B50"/>
    <w:rsid w:val="005F0BDE"/>
    <w:rsid w:val="005F0CFB"/>
    <w:rsid w:val="005F14CE"/>
    <w:rsid w:val="005F18AC"/>
    <w:rsid w:val="005F3328"/>
    <w:rsid w:val="005F347E"/>
    <w:rsid w:val="005F34DA"/>
    <w:rsid w:val="005F3C22"/>
    <w:rsid w:val="005F4073"/>
    <w:rsid w:val="005F4701"/>
    <w:rsid w:val="005F4B86"/>
    <w:rsid w:val="005F5520"/>
    <w:rsid w:val="005F65FC"/>
    <w:rsid w:val="005F73B9"/>
    <w:rsid w:val="005F76A7"/>
    <w:rsid w:val="005F7A8D"/>
    <w:rsid w:val="005F7E1D"/>
    <w:rsid w:val="005F7E87"/>
    <w:rsid w:val="006002A3"/>
    <w:rsid w:val="006005C7"/>
    <w:rsid w:val="00600993"/>
    <w:rsid w:val="00601201"/>
    <w:rsid w:val="00602204"/>
    <w:rsid w:val="006022C1"/>
    <w:rsid w:val="00602408"/>
    <w:rsid w:val="00602C58"/>
    <w:rsid w:val="00602C60"/>
    <w:rsid w:val="00603CE6"/>
    <w:rsid w:val="00604016"/>
    <w:rsid w:val="00604103"/>
    <w:rsid w:val="00604D9D"/>
    <w:rsid w:val="00605918"/>
    <w:rsid w:val="00605CB8"/>
    <w:rsid w:val="00606071"/>
    <w:rsid w:val="00606767"/>
    <w:rsid w:val="00606AEF"/>
    <w:rsid w:val="00606F7D"/>
    <w:rsid w:val="0060792D"/>
    <w:rsid w:val="00607B01"/>
    <w:rsid w:val="0061011E"/>
    <w:rsid w:val="00610FBE"/>
    <w:rsid w:val="00612110"/>
    <w:rsid w:val="00613275"/>
    <w:rsid w:val="00613672"/>
    <w:rsid w:val="00613C87"/>
    <w:rsid w:val="00613D5F"/>
    <w:rsid w:val="00613DFF"/>
    <w:rsid w:val="006140CA"/>
    <w:rsid w:val="00615610"/>
    <w:rsid w:val="00615DAB"/>
    <w:rsid w:val="00615E9C"/>
    <w:rsid w:val="0061698F"/>
    <w:rsid w:val="0061766A"/>
    <w:rsid w:val="006200E5"/>
    <w:rsid w:val="0062050D"/>
    <w:rsid w:val="0062064E"/>
    <w:rsid w:val="006210D2"/>
    <w:rsid w:val="006215AA"/>
    <w:rsid w:val="00621F31"/>
    <w:rsid w:val="00622000"/>
    <w:rsid w:val="00622A4A"/>
    <w:rsid w:val="00622B2F"/>
    <w:rsid w:val="006236DD"/>
    <w:rsid w:val="00624FA7"/>
    <w:rsid w:val="00625042"/>
    <w:rsid w:val="00625131"/>
    <w:rsid w:val="00625257"/>
    <w:rsid w:val="00625D90"/>
    <w:rsid w:val="006262AB"/>
    <w:rsid w:val="00626D6C"/>
    <w:rsid w:val="006273E4"/>
    <w:rsid w:val="006277F9"/>
    <w:rsid w:val="00627B4C"/>
    <w:rsid w:val="00627C50"/>
    <w:rsid w:val="00627CFE"/>
    <w:rsid w:val="00627F8E"/>
    <w:rsid w:val="00630520"/>
    <w:rsid w:val="00630C50"/>
    <w:rsid w:val="00630FF8"/>
    <w:rsid w:val="00631105"/>
    <w:rsid w:val="006315F4"/>
    <w:rsid w:val="0063190F"/>
    <w:rsid w:val="00631C03"/>
    <w:rsid w:val="0063223D"/>
    <w:rsid w:val="00632A9B"/>
    <w:rsid w:val="00632E08"/>
    <w:rsid w:val="00633613"/>
    <w:rsid w:val="00634C24"/>
    <w:rsid w:val="00635A89"/>
    <w:rsid w:val="00635DE1"/>
    <w:rsid w:val="00636056"/>
    <w:rsid w:val="006361E0"/>
    <w:rsid w:val="0063650D"/>
    <w:rsid w:val="00636B4A"/>
    <w:rsid w:val="006370B6"/>
    <w:rsid w:val="00637136"/>
    <w:rsid w:val="00637799"/>
    <w:rsid w:val="00637C2F"/>
    <w:rsid w:val="006409DA"/>
    <w:rsid w:val="00640C2C"/>
    <w:rsid w:val="00640CCF"/>
    <w:rsid w:val="00641081"/>
    <w:rsid w:val="0064133F"/>
    <w:rsid w:val="00641906"/>
    <w:rsid w:val="00642036"/>
    <w:rsid w:val="00642A55"/>
    <w:rsid w:val="00644247"/>
    <w:rsid w:val="00644856"/>
    <w:rsid w:val="00644A60"/>
    <w:rsid w:val="00644AE8"/>
    <w:rsid w:val="00644DB8"/>
    <w:rsid w:val="00645145"/>
    <w:rsid w:val="006452F1"/>
    <w:rsid w:val="00645C97"/>
    <w:rsid w:val="00646151"/>
    <w:rsid w:val="0064740E"/>
    <w:rsid w:val="00647741"/>
    <w:rsid w:val="006477E6"/>
    <w:rsid w:val="00647B66"/>
    <w:rsid w:val="00650056"/>
    <w:rsid w:val="0065030D"/>
    <w:rsid w:val="00650DE4"/>
    <w:rsid w:val="006514AC"/>
    <w:rsid w:val="006522FA"/>
    <w:rsid w:val="006528D4"/>
    <w:rsid w:val="00653672"/>
    <w:rsid w:val="006546E2"/>
    <w:rsid w:val="00654853"/>
    <w:rsid w:val="00655391"/>
    <w:rsid w:val="0065541E"/>
    <w:rsid w:val="006562A1"/>
    <w:rsid w:val="0065679E"/>
    <w:rsid w:val="00656DB3"/>
    <w:rsid w:val="006570F1"/>
    <w:rsid w:val="00657357"/>
    <w:rsid w:val="00657529"/>
    <w:rsid w:val="00660206"/>
    <w:rsid w:val="0066020C"/>
    <w:rsid w:val="00660347"/>
    <w:rsid w:val="00660D9A"/>
    <w:rsid w:val="00660E41"/>
    <w:rsid w:val="00662451"/>
    <w:rsid w:val="006634DB"/>
    <w:rsid w:val="00664321"/>
    <w:rsid w:val="006643A4"/>
    <w:rsid w:val="006644EC"/>
    <w:rsid w:val="006647AA"/>
    <w:rsid w:val="006652D6"/>
    <w:rsid w:val="00665961"/>
    <w:rsid w:val="00665E71"/>
    <w:rsid w:val="00666297"/>
    <w:rsid w:val="00666EFE"/>
    <w:rsid w:val="0066756E"/>
    <w:rsid w:val="006713BC"/>
    <w:rsid w:val="006719E4"/>
    <w:rsid w:val="00671AF5"/>
    <w:rsid w:val="00671BA1"/>
    <w:rsid w:val="00671DCA"/>
    <w:rsid w:val="00671F25"/>
    <w:rsid w:val="00672408"/>
    <w:rsid w:val="00672611"/>
    <w:rsid w:val="0067279C"/>
    <w:rsid w:val="006731B1"/>
    <w:rsid w:val="006734D6"/>
    <w:rsid w:val="00674212"/>
    <w:rsid w:val="00674419"/>
    <w:rsid w:val="00674714"/>
    <w:rsid w:val="00674814"/>
    <w:rsid w:val="006750AB"/>
    <w:rsid w:val="006754F1"/>
    <w:rsid w:val="00675A5E"/>
    <w:rsid w:val="00675EDF"/>
    <w:rsid w:val="0067625E"/>
    <w:rsid w:val="0067711D"/>
    <w:rsid w:val="00677637"/>
    <w:rsid w:val="00677B56"/>
    <w:rsid w:val="00681481"/>
    <w:rsid w:val="00681B95"/>
    <w:rsid w:val="00681CB5"/>
    <w:rsid w:val="0068346C"/>
    <w:rsid w:val="006842F0"/>
    <w:rsid w:val="006846DA"/>
    <w:rsid w:val="006854CE"/>
    <w:rsid w:val="00685663"/>
    <w:rsid w:val="00685888"/>
    <w:rsid w:val="00686DF9"/>
    <w:rsid w:val="00687208"/>
    <w:rsid w:val="00687433"/>
    <w:rsid w:val="00687472"/>
    <w:rsid w:val="00687944"/>
    <w:rsid w:val="00687C23"/>
    <w:rsid w:val="00690498"/>
    <w:rsid w:val="00690E1D"/>
    <w:rsid w:val="00691691"/>
    <w:rsid w:val="00691F4E"/>
    <w:rsid w:val="00692132"/>
    <w:rsid w:val="00692310"/>
    <w:rsid w:val="00692C1E"/>
    <w:rsid w:val="00694040"/>
    <w:rsid w:val="0069467D"/>
    <w:rsid w:val="00694E70"/>
    <w:rsid w:val="006952CC"/>
    <w:rsid w:val="00695FBC"/>
    <w:rsid w:val="0069627B"/>
    <w:rsid w:val="00696362"/>
    <w:rsid w:val="006968E3"/>
    <w:rsid w:val="00696BC9"/>
    <w:rsid w:val="00696E11"/>
    <w:rsid w:val="00696F4F"/>
    <w:rsid w:val="00697D99"/>
    <w:rsid w:val="00697EB0"/>
    <w:rsid w:val="006A10BE"/>
    <w:rsid w:val="006A1E4B"/>
    <w:rsid w:val="006A1FB6"/>
    <w:rsid w:val="006A226B"/>
    <w:rsid w:val="006A230F"/>
    <w:rsid w:val="006A30E0"/>
    <w:rsid w:val="006A316A"/>
    <w:rsid w:val="006A365D"/>
    <w:rsid w:val="006A3770"/>
    <w:rsid w:val="006A4391"/>
    <w:rsid w:val="006A4421"/>
    <w:rsid w:val="006A4796"/>
    <w:rsid w:val="006A489C"/>
    <w:rsid w:val="006A4A85"/>
    <w:rsid w:val="006A4BAA"/>
    <w:rsid w:val="006A52AB"/>
    <w:rsid w:val="006A5E67"/>
    <w:rsid w:val="006A5F65"/>
    <w:rsid w:val="006A68B2"/>
    <w:rsid w:val="006A6FA8"/>
    <w:rsid w:val="006A7489"/>
    <w:rsid w:val="006A758D"/>
    <w:rsid w:val="006B04EF"/>
    <w:rsid w:val="006B083A"/>
    <w:rsid w:val="006B101F"/>
    <w:rsid w:val="006B1631"/>
    <w:rsid w:val="006B2738"/>
    <w:rsid w:val="006B2E37"/>
    <w:rsid w:val="006B2F9D"/>
    <w:rsid w:val="006B318B"/>
    <w:rsid w:val="006B4981"/>
    <w:rsid w:val="006B6000"/>
    <w:rsid w:val="006B6283"/>
    <w:rsid w:val="006B6339"/>
    <w:rsid w:val="006B6ADF"/>
    <w:rsid w:val="006B7BB5"/>
    <w:rsid w:val="006C034B"/>
    <w:rsid w:val="006C0519"/>
    <w:rsid w:val="006C1623"/>
    <w:rsid w:val="006C1E9C"/>
    <w:rsid w:val="006C365C"/>
    <w:rsid w:val="006C58B6"/>
    <w:rsid w:val="006C5B0C"/>
    <w:rsid w:val="006C5FDF"/>
    <w:rsid w:val="006C7737"/>
    <w:rsid w:val="006C78C2"/>
    <w:rsid w:val="006C7D1F"/>
    <w:rsid w:val="006D1410"/>
    <w:rsid w:val="006D1E37"/>
    <w:rsid w:val="006D2FAE"/>
    <w:rsid w:val="006D2FD4"/>
    <w:rsid w:val="006D32C8"/>
    <w:rsid w:val="006D3441"/>
    <w:rsid w:val="006D34E9"/>
    <w:rsid w:val="006D3657"/>
    <w:rsid w:val="006D3812"/>
    <w:rsid w:val="006D414F"/>
    <w:rsid w:val="006D4D39"/>
    <w:rsid w:val="006D5792"/>
    <w:rsid w:val="006D5BE3"/>
    <w:rsid w:val="006D7E33"/>
    <w:rsid w:val="006D7F7A"/>
    <w:rsid w:val="006E00CA"/>
    <w:rsid w:val="006E07C5"/>
    <w:rsid w:val="006E0ABA"/>
    <w:rsid w:val="006E0BB7"/>
    <w:rsid w:val="006E1C3C"/>
    <w:rsid w:val="006E1D66"/>
    <w:rsid w:val="006E280D"/>
    <w:rsid w:val="006E28E8"/>
    <w:rsid w:val="006E2980"/>
    <w:rsid w:val="006E2A72"/>
    <w:rsid w:val="006E335E"/>
    <w:rsid w:val="006E33CF"/>
    <w:rsid w:val="006E3660"/>
    <w:rsid w:val="006E42A0"/>
    <w:rsid w:val="006E61FC"/>
    <w:rsid w:val="006E64B2"/>
    <w:rsid w:val="006E67B7"/>
    <w:rsid w:val="006E6B22"/>
    <w:rsid w:val="006E7781"/>
    <w:rsid w:val="006E778C"/>
    <w:rsid w:val="006F0685"/>
    <w:rsid w:val="006F0A3F"/>
    <w:rsid w:val="006F222B"/>
    <w:rsid w:val="006F2342"/>
    <w:rsid w:val="006F4B7D"/>
    <w:rsid w:val="006F53D1"/>
    <w:rsid w:val="006F5939"/>
    <w:rsid w:val="006F5D38"/>
    <w:rsid w:val="006F6493"/>
    <w:rsid w:val="006F65E0"/>
    <w:rsid w:val="006F662D"/>
    <w:rsid w:val="006F66DC"/>
    <w:rsid w:val="006F6DA6"/>
    <w:rsid w:val="006F6DEA"/>
    <w:rsid w:val="006F6F93"/>
    <w:rsid w:val="006F74D6"/>
    <w:rsid w:val="006F79A6"/>
    <w:rsid w:val="0070046A"/>
    <w:rsid w:val="007008AA"/>
    <w:rsid w:val="007009B9"/>
    <w:rsid w:val="00700BF2"/>
    <w:rsid w:val="0070150E"/>
    <w:rsid w:val="00701C82"/>
    <w:rsid w:val="00703116"/>
    <w:rsid w:val="007036C2"/>
    <w:rsid w:val="00703E39"/>
    <w:rsid w:val="00706145"/>
    <w:rsid w:val="00707090"/>
    <w:rsid w:val="00707636"/>
    <w:rsid w:val="00707E3F"/>
    <w:rsid w:val="00710B2D"/>
    <w:rsid w:val="007112B9"/>
    <w:rsid w:val="007127D2"/>
    <w:rsid w:val="0071281A"/>
    <w:rsid w:val="00712FCC"/>
    <w:rsid w:val="0071381D"/>
    <w:rsid w:val="00713A2D"/>
    <w:rsid w:val="0071502B"/>
    <w:rsid w:val="0071577B"/>
    <w:rsid w:val="00715AF5"/>
    <w:rsid w:val="00715D23"/>
    <w:rsid w:val="0071632D"/>
    <w:rsid w:val="00716A2A"/>
    <w:rsid w:val="00717EDC"/>
    <w:rsid w:val="007205D5"/>
    <w:rsid w:val="00720F7B"/>
    <w:rsid w:val="00721313"/>
    <w:rsid w:val="007218D1"/>
    <w:rsid w:val="00721ED1"/>
    <w:rsid w:val="0072209D"/>
    <w:rsid w:val="00722EC4"/>
    <w:rsid w:val="00722F8C"/>
    <w:rsid w:val="00723465"/>
    <w:rsid w:val="007234A2"/>
    <w:rsid w:val="00723CF4"/>
    <w:rsid w:val="00724E2D"/>
    <w:rsid w:val="00724FFB"/>
    <w:rsid w:val="00725028"/>
    <w:rsid w:val="00725472"/>
    <w:rsid w:val="00725A46"/>
    <w:rsid w:val="00726660"/>
    <w:rsid w:val="00726C5E"/>
    <w:rsid w:val="00726D28"/>
    <w:rsid w:val="00726E7B"/>
    <w:rsid w:val="00727193"/>
    <w:rsid w:val="007271A2"/>
    <w:rsid w:val="0072787C"/>
    <w:rsid w:val="00727962"/>
    <w:rsid w:val="00727F5C"/>
    <w:rsid w:val="007302DB"/>
    <w:rsid w:val="007306CD"/>
    <w:rsid w:val="00730DE2"/>
    <w:rsid w:val="00730E5C"/>
    <w:rsid w:val="00731495"/>
    <w:rsid w:val="00731B08"/>
    <w:rsid w:val="00732103"/>
    <w:rsid w:val="00732624"/>
    <w:rsid w:val="0073296A"/>
    <w:rsid w:val="00732CD0"/>
    <w:rsid w:val="00732F49"/>
    <w:rsid w:val="007334CF"/>
    <w:rsid w:val="007338A2"/>
    <w:rsid w:val="00733EAD"/>
    <w:rsid w:val="00733F7B"/>
    <w:rsid w:val="0073410F"/>
    <w:rsid w:val="00734EB0"/>
    <w:rsid w:val="00734F10"/>
    <w:rsid w:val="00735976"/>
    <w:rsid w:val="007365DE"/>
    <w:rsid w:val="0073674E"/>
    <w:rsid w:val="00736BD1"/>
    <w:rsid w:val="00736D25"/>
    <w:rsid w:val="0073748E"/>
    <w:rsid w:val="00737711"/>
    <w:rsid w:val="00737753"/>
    <w:rsid w:val="00737AF6"/>
    <w:rsid w:val="007400FD"/>
    <w:rsid w:val="0074087C"/>
    <w:rsid w:val="00740940"/>
    <w:rsid w:val="0074117C"/>
    <w:rsid w:val="00741434"/>
    <w:rsid w:val="00742151"/>
    <w:rsid w:val="00742BFB"/>
    <w:rsid w:val="00742EFD"/>
    <w:rsid w:val="00742FB1"/>
    <w:rsid w:val="00743225"/>
    <w:rsid w:val="007434A1"/>
    <w:rsid w:val="007434C2"/>
    <w:rsid w:val="007446C3"/>
    <w:rsid w:val="0074475D"/>
    <w:rsid w:val="007450C4"/>
    <w:rsid w:val="00745ACF"/>
    <w:rsid w:val="00746592"/>
    <w:rsid w:val="007475E2"/>
    <w:rsid w:val="00747A73"/>
    <w:rsid w:val="007503CE"/>
    <w:rsid w:val="00750C41"/>
    <w:rsid w:val="00750DBB"/>
    <w:rsid w:val="007514F0"/>
    <w:rsid w:val="00751656"/>
    <w:rsid w:val="0075179D"/>
    <w:rsid w:val="007518FB"/>
    <w:rsid w:val="00751FB6"/>
    <w:rsid w:val="007522BA"/>
    <w:rsid w:val="007523B8"/>
    <w:rsid w:val="007529A1"/>
    <w:rsid w:val="007530CF"/>
    <w:rsid w:val="0075375F"/>
    <w:rsid w:val="00753B6E"/>
    <w:rsid w:val="00753E93"/>
    <w:rsid w:val="00754A39"/>
    <w:rsid w:val="00754B7F"/>
    <w:rsid w:val="00754C28"/>
    <w:rsid w:val="00755A55"/>
    <w:rsid w:val="00755C32"/>
    <w:rsid w:val="00755FC6"/>
    <w:rsid w:val="00756080"/>
    <w:rsid w:val="007571CB"/>
    <w:rsid w:val="0075786E"/>
    <w:rsid w:val="00760488"/>
    <w:rsid w:val="00760B76"/>
    <w:rsid w:val="00760FFA"/>
    <w:rsid w:val="007614E6"/>
    <w:rsid w:val="0076155E"/>
    <w:rsid w:val="0076277C"/>
    <w:rsid w:val="00762953"/>
    <w:rsid w:val="00763051"/>
    <w:rsid w:val="007638C9"/>
    <w:rsid w:val="00764554"/>
    <w:rsid w:val="00764BE5"/>
    <w:rsid w:val="00764F5F"/>
    <w:rsid w:val="00765669"/>
    <w:rsid w:val="00765D05"/>
    <w:rsid w:val="00765F9D"/>
    <w:rsid w:val="007667C6"/>
    <w:rsid w:val="00766913"/>
    <w:rsid w:val="00771C2A"/>
    <w:rsid w:val="00771E19"/>
    <w:rsid w:val="007729B7"/>
    <w:rsid w:val="007734BB"/>
    <w:rsid w:val="00773869"/>
    <w:rsid w:val="00773FE9"/>
    <w:rsid w:val="00774FA1"/>
    <w:rsid w:val="00774FE9"/>
    <w:rsid w:val="00775267"/>
    <w:rsid w:val="00775663"/>
    <w:rsid w:val="00775CD4"/>
    <w:rsid w:val="00776683"/>
    <w:rsid w:val="0077743E"/>
    <w:rsid w:val="00777451"/>
    <w:rsid w:val="007774BF"/>
    <w:rsid w:val="007777BC"/>
    <w:rsid w:val="00777999"/>
    <w:rsid w:val="00777FE6"/>
    <w:rsid w:val="0078076A"/>
    <w:rsid w:val="00780E72"/>
    <w:rsid w:val="00780F2C"/>
    <w:rsid w:val="0078191B"/>
    <w:rsid w:val="00781D65"/>
    <w:rsid w:val="00781D8D"/>
    <w:rsid w:val="00782C4C"/>
    <w:rsid w:val="00783818"/>
    <w:rsid w:val="00783867"/>
    <w:rsid w:val="00783A00"/>
    <w:rsid w:val="00783B4D"/>
    <w:rsid w:val="00783B79"/>
    <w:rsid w:val="00783DBD"/>
    <w:rsid w:val="00784185"/>
    <w:rsid w:val="007845A1"/>
    <w:rsid w:val="007846A9"/>
    <w:rsid w:val="00784C9C"/>
    <w:rsid w:val="00784E84"/>
    <w:rsid w:val="007853DC"/>
    <w:rsid w:val="0078569B"/>
    <w:rsid w:val="00785A2B"/>
    <w:rsid w:val="00785E33"/>
    <w:rsid w:val="00785E72"/>
    <w:rsid w:val="00786107"/>
    <w:rsid w:val="007874FF"/>
    <w:rsid w:val="0078753A"/>
    <w:rsid w:val="00790B55"/>
    <w:rsid w:val="00790D69"/>
    <w:rsid w:val="0079111B"/>
    <w:rsid w:val="0079136D"/>
    <w:rsid w:val="00791B7F"/>
    <w:rsid w:val="00791D64"/>
    <w:rsid w:val="007921F8"/>
    <w:rsid w:val="00792C40"/>
    <w:rsid w:val="00792CC6"/>
    <w:rsid w:val="0079403C"/>
    <w:rsid w:val="007944B0"/>
    <w:rsid w:val="007945BC"/>
    <w:rsid w:val="007954DE"/>
    <w:rsid w:val="00795B82"/>
    <w:rsid w:val="00795CFC"/>
    <w:rsid w:val="0079615B"/>
    <w:rsid w:val="0079678D"/>
    <w:rsid w:val="007976C3"/>
    <w:rsid w:val="00797C1E"/>
    <w:rsid w:val="007A16E3"/>
    <w:rsid w:val="007A177A"/>
    <w:rsid w:val="007A241C"/>
    <w:rsid w:val="007A2A0C"/>
    <w:rsid w:val="007A2A9E"/>
    <w:rsid w:val="007A2FA9"/>
    <w:rsid w:val="007A3702"/>
    <w:rsid w:val="007A406C"/>
    <w:rsid w:val="007A4144"/>
    <w:rsid w:val="007A4857"/>
    <w:rsid w:val="007A48F9"/>
    <w:rsid w:val="007A4B74"/>
    <w:rsid w:val="007A516F"/>
    <w:rsid w:val="007A52ED"/>
    <w:rsid w:val="007A5908"/>
    <w:rsid w:val="007A5BAC"/>
    <w:rsid w:val="007A5FA9"/>
    <w:rsid w:val="007A61B4"/>
    <w:rsid w:val="007B04E7"/>
    <w:rsid w:val="007B0C56"/>
    <w:rsid w:val="007B110E"/>
    <w:rsid w:val="007B117D"/>
    <w:rsid w:val="007B1619"/>
    <w:rsid w:val="007B1CC3"/>
    <w:rsid w:val="007B2C14"/>
    <w:rsid w:val="007B2E8D"/>
    <w:rsid w:val="007B2FD9"/>
    <w:rsid w:val="007B3DD4"/>
    <w:rsid w:val="007B3FBA"/>
    <w:rsid w:val="007B432F"/>
    <w:rsid w:val="007B4F7E"/>
    <w:rsid w:val="007C0578"/>
    <w:rsid w:val="007C08B1"/>
    <w:rsid w:val="007C2441"/>
    <w:rsid w:val="007C2450"/>
    <w:rsid w:val="007C2558"/>
    <w:rsid w:val="007C31F2"/>
    <w:rsid w:val="007C34BC"/>
    <w:rsid w:val="007C5396"/>
    <w:rsid w:val="007C5809"/>
    <w:rsid w:val="007C6AA5"/>
    <w:rsid w:val="007C6C5F"/>
    <w:rsid w:val="007C7167"/>
    <w:rsid w:val="007C7A0F"/>
    <w:rsid w:val="007C7D89"/>
    <w:rsid w:val="007C7E71"/>
    <w:rsid w:val="007C7F32"/>
    <w:rsid w:val="007D0E20"/>
    <w:rsid w:val="007D10D7"/>
    <w:rsid w:val="007D1749"/>
    <w:rsid w:val="007D1D0A"/>
    <w:rsid w:val="007D3461"/>
    <w:rsid w:val="007D3C89"/>
    <w:rsid w:val="007D3F1C"/>
    <w:rsid w:val="007D4170"/>
    <w:rsid w:val="007D4D59"/>
    <w:rsid w:val="007D600A"/>
    <w:rsid w:val="007D61BA"/>
    <w:rsid w:val="007D61ED"/>
    <w:rsid w:val="007D6689"/>
    <w:rsid w:val="007D686F"/>
    <w:rsid w:val="007D75B7"/>
    <w:rsid w:val="007D7884"/>
    <w:rsid w:val="007E04F3"/>
    <w:rsid w:val="007E0CFC"/>
    <w:rsid w:val="007E13CA"/>
    <w:rsid w:val="007E169C"/>
    <w:rsid w:val="007E1D52"/>
    <w:rsid w:val="007E2048"/>
    <w:rsid w:val="007E273A"/>
    <w:rsid w:val="007E3952"/>
    <w:rsid w:val="007E444E"/>
    <w:rsid w:val="007E4DD1"/>
    <w:rsid w:val="007E60C8"/>
    <w:rsid w:val="007E7A9C"/>
    <w:rsid w:val="007E7C98"/>
    <w:rsid w:val="007F1286"/>
    <w:rsid w:val="007F189A"/>
    <w:rsid w:val="007F1A59"/>
    <w:rsid w:val="007F1CFE"/>
    <w:rsid w:val="007F262B"/>
    <w:rsid w:val="007F2DF3"/>
    <w:rsid w:val="007F3256"/>
    <w:rsid w:val="007F3A93"/>
    <w:rsid w:val="007F3C92"/>
    <w:rsid w:val="007F3F4C"/>
    <w:rsid w:val="007F4988"/>
    <w:rsid w:val="007F4BB0"/>
    <w:rsid w:val="007F4F85"/>
    <w:rsid w:val="007F5652"/>
    <w:rsid w:val="007F5C6E"/>
    <w:rsid w:val="007F5FF9"/>
    <w:rsid w:val="007F6AE7"/>
    <w:rsid w:val="007F6B51"/>
    <w:rsid w:val="007F6D07"/>
    <w:rsid w:val="007F6DFE"/>
    <w:rsid w:val="007F7640"/>
    <w:rsid w:val="007F7EAC"/>
    <w:rsid w:val="00800600"/>
    <w:rsid w:val="00800642"/>
    <w:rsid w:val="00801EAB"/>
    <w:rsid w:val="00802010"/>
    <w:rsid w:val="0080370F"/>
    <w:rsid w:val="0080381C"/>
    <w:rsid w:val="008043E7"/>
    <w:rsid w:val="00804C90"/>
    <w:rsid w:val="008059F4"/>
    <w:rsid w:val="00805AD8"/>
    <w:rsid w:val="00805B76"/>
    <w:rsid w:val="0080613D"/>
    <w:rsid w:val="008066BB"/>
    <w:rsid w:val="0080675B"/>
    <w:rsid w:val="00806991"/>
    <w:rsid w:val="0080699E"/>
    <w:rsid w:val="00807EED"/>
    <w:rsid w:val="0081075E"/>
    <w:rsid w:val="008108D7"/>
    <w:rsid w:val="00810E17"/>
    <w:rsid w:val="00811153"/>
    <w:rsid w:val="008126A8"/>
    <w:rsid w:val="008127CA"/>
    <w:rsid w:val="00812941"/>
    <w:rsid w:val="00812AF8"/>
    <w:rsid w:val="00812F43"/>
    <w:rsid w:val="0081322D"/>
    <w:rsid w:val="00813276"/>
    <w:rsid w:val="00813767"/>
    <w:rsid w:val="008138DD"/>
    <w:rsid w:val="00814C74"/>
    <w:rsid w:val="00814DE3"/>
    <w:rsid w:val="00814F93"/>
    <w:rsid w:val="008158FD"/>
    <w:rsid w:val="00815AD7"/>
    <w:rsid w:val="00815E32"/>
    <w:rsid w:val="00815F61"/>
    <w:rsid w:val="0081615D"/>
    <w:rsid w:val="0081640F"/>
    <w:rsid w:val="0081645E"/>
    <w:rsid w:val="00816773"/>
    <w:rsid w:val="0081721D"/>
    <w:rsid w:val="00817F33"/>
    <w:rsid w:val="00820CCE"/>
    <w:rsid w:val="00821733"/>
    <w:rsid w:val="008229C4"/>
    <w:rsid w:val="00823A6A"/>
    <w:rsid w:val="008246B3"/>
    <w:rsid w:val="008250E1"/>
    <w:rsid w:val="008258D7"/>
    <w:rsid w:val="00825B8A"/>
    <w:rsid w:val="00826982"/>
    <w:rsid w:val="008269C2"/>
    <w:rsid w:val="00826A9F"/>
    <w:rsid w:val="00827A48"/>
    <w:rsid w:val="00830CE4"/>
    <w:rsid w:val="0083107C"/>
    <w:rsid w:val="00831310"/>
    <w:rsid w:val="008315B2"/>
    <w:rsid w:val="00832302"/>
    <w:rsid w:val="00833AA6"/>
    <w:rsid w:val="008345D0"/>
    <w:rsid w:val="00834620"/>
    <w:rsid w:val="0083499D"/>
    <w:rsid w:val="00834D78"/>
    <w:rsid w:val="00834F78"/>
    <w:rsid w:val="0083561A"/>
    <w:rsid w:val="00835670"/>
    <w:rsid w:val="00835A52"/>
    <w:rsid w:val="00836F3A"/>
    <w:rsid w:val="008371A9"/>
    <w:rsid w:val="00840670"/>
    <w:rsid w:val="0084082C"/>
    <w:rsid w:val="00841AA9"/>
    <w:rsid w:val="00842559"/>
    <w:rsid w:val="008426FD"/>
    <w:rsid w:val="008440DB"/>
    <w:rsid w:val="00844245"/>
    <w:rsid w:val="00844C61"/>
    <w:rsid w:val="008450EC"/>
    <w:rsid w:val="00845731"/>
    <w:rsid w:val="00846188"/>
    <w:rsid w:val="008462AA"/>
    <w:rsid w:val="00846946"/>
    <w:rsid w:val="00846B87"/>
    <w:rsid w:val="00846BB6"/>
    <w:rsid w:val="00846CFF"/>
    <w:rsid w:val="0085027B"/>
    <w:rsid w:val="0085093C"/>
    <w:rsid w:val="00850FBE"/>
    <w:rsid w:val="008510E4"/>
    <w:rsid w:val="00851A00"/>
    <w:rsid w:val="0085259B"/>
    <w:rsid w:val="0085267D"/>
    <w:rsid w:val="00852C65"/>
    <w:rsid w:val="008535ED"/>
    <w:rsid w:val="00853AF9"/>
    <w:rsid w:val="00854525"/>
    <w:rsid w:val="00854D5B"/>
    <w:rsid w:val="0085529C"/>
    <w:rsid w:val="008557FB"/>
    <w:rsid w:val="0085580C"/>
    <w:rsid w:val="0085600A"/>
    <w:rsid w:val="008567B9"/>
    <w:rsid w:val="00857899"/>
    <w:rsid w:val="00857AD5"/>
    <w:rsid w:val="00860453"/>
    <w:rsid w:val="00861BDB"/>
    <w:rsid w:val="00861D9B"/>
    <w:rsid w:val="008624D6"/>
    <w:rsid w:val="008625D5"/>
    <w:rsid w:val="00862C56"/>
    <w:rsid w:val="0086368D"/>
    <w:rsid w:val="00864067"/>
    <w:rsid w:val="00864324"/>
    <w:rsid w:val="00864A15"/>
    <w:rsid w:val="00865B1E"/>
    <w:rsid w:val="00866CF2"/>
    <w:rsid w:val="00866FAC"/>
    <w:rsid w:val="00867B11"/>
    <w:rsid w:val="00870295"/>
    <w:rsid w:val="008708EA"/>
    <w:rsid w:val="00870BA8"/>
    <w:rsid w:val="00870F30"/>
    <w:rsid w:val="00872DEC"/>
    <w:rsid w:val="00873AB6"/>
    <w:rsid w:val="00873E6A"/>
    <w:rsid w:val="00873EEC"/>
    <w:rsid w:val="00874355"/>
    <w:rsid w:val="008747A5"/>
    <w:rsid w:val="0087495A"/>
    <w:rsid w:val="00875CAB"/>
    <w:rsid w:val="00875CAF"/>
    <w:rsid w:val="00875E31"/>
    <w:rsid w:val="00876B26"/>
    <w:rsid w:val="008778EF"/>
    <w:rsid w:val="00877C5D"/>
    <w:rsid w:val="008804EF"/>
    <w:rsid w:val="008808EE"/>
    <w:rsid w:val="00880BAA"/>
    <w:rsid w:val="00880C27"/>
    <w:rsid w:val="008811E9"/>
    <w:rsid w:val="00881D01"/>
    <w:rsid w:val="00882944"/>
    <w:rsid w:val="0088336E"/>
    <w:rsid w:val="00883F9D"/>
    <w:rsid w:val="00884541"/>
    <w:rsid w:val="008846D7"/>
    <w:rsid w:val="008849E7"/>
    <w:rsid w:val="008850FC"/>
    <w:rsid w:val="00885570"/>
    <w:rsid w:val="00885683"/>
    <w:rsid w:val="0088627E"/>
    <w:rsid w:val="00886919"/>
    <w:rsid w:val="0088745B"/>
    <w:rsid w:val="00887842"/>
    <w:rsid w:val="0089028E"/>
    <w:rsid w:val="00890864"/>
    <w:rsid w:val="00890B7D"/>
    <w:rsid w:val="00890D17"/>
    <w:rsid w:val="008919FA"/>
    <w:rsid w:val="00892236"/>
    <w:rsid w:val="00892349"/>
    <w:rsid w:val="00892925"/>
    <w:rsid w:val="00892977"/>
    <w:rsid w:val="00892E62"/>
    <w:rsid w:val="008933C1"/>
    <w:rsid w:val="008943CA"/>
    <w:rsid w:val="00894D85"/>
    <w:rsid w:val="008950A9"/>
    <w:rsid w:val="008957B5"/>
    <w:rsid w:val="008958E3"/>
    <w:rsid w:val="00895C0E"/>
    <w:rsid w:val="00896075"/>
    <w:rsid w:val="00896678"/>
    <w:rsid w:val="0089678A"/>
    <w:rsid w:val="0089692C"/>
    <w:rsid w:val="008969EE"/>
    <w:rsid w:val="00896AB1"/>
    <w:rsid w:val="00896C98"/>
    <w:rsid w:val="00896CE9"/>
    <w:rsid w:val="00896D88"/>
    <w:rsid w:val="008970B2"/>
    <w:rsid w:val="008978D4"/>
    <w:rsid w:val="00897924"/>
    <w:rsid w:val="00897C34"/>
    <w:rsid w:val="008A01B3"/>
    <w:rsid w:val="008A074A"/>
    <w:rsid w:val="008A1485"/>
    <w:rsid w:val="008A1A58"/>
    <w:rsid w:val="008A23BD"/>
    <w:rsid w:val="008A27FB"/>
    <w:rsid w:val="008A2C8E"/>
    <w:rsid w:val="008A2E30"/>
    <w:rsid w:val="008A2FFE"/>
    <w:rsid w:val="008A3900"/>
    <w:rsid w:val="008A394F"/>
    <w:rsid w:val="008A418B"/>
    <w:rsid w:val="008A438E"/>
    <w:rsid w:val="008A575F"/>
    <w:rsid w:val="008A5BA3"/>
    <w:rsid w:val="008A5DB5"/>
    <w:rsid w:val="008A66FC"/>
    <w:rsid w:val="008A6D59"/>
    <w:rsid w:val="008A6EDF"/>
    <w:rsid w:val="008A6FFB"/>
    <w:rsid w:val="008A75E1"/>
    <w:rsid w:val="008B0126"/>
    <w:rsid w:val="008B0CDA"/>
    <w:rsid w:val="008B132E"/>
    <w:rsid w:val="008B1C56"/>
    <w:rsid w:val="008B1FF7"/>
    <w:rsid w:val="008B20FE"/>
    <w:rsid w:val="008B2214"/>
    <w:rsid w:val="008B26BD"/>
    <w:rsid w:val="008B2F3B"/>
    <w:rsid w:val="008B346A"/>
    <w:rsid w:val="008B4684"/>
    <w:rsid w:val="008B4D77"/>
    <w:rsid w:val="008B5C74"/>
    <w:rsid w:val="008B6173"/>
    <w:rsid w:val="008B6349"/>
    <w:rsid w:val="008B63F1"/>
    <w:rsid w:val="008B7233"/>
    <w:rsid w:val="008B77D4"/>
    <w:rsid w:val="008B7ADD"/>
    <w:rsid w:val="008B7C62"/>
    <w:rsid w:val="008B7D5E"/>
    <w:rsid w:val="008C076C"/>
    <w:rsid w:val="008C1460"/>
    <w:rsid w:val="008C16E3"/>
    <w:rsid w:val="008C1AF3"/>
    <w:rsid w:val="008C1E9A"/>
    <w:rsid w:val="008C2571"/>
    <w:rsid w:val="008C2642"/>
    <w:rsid w:val="008C2B79"/>
    <w:rsid w:val="008C3368"/>
    <w:rsid w:val="008C37D8"/>
    <w:rsid w:val="008C3ECF"/>
    <w:rsid w:val="008C42CD"/>
    <w:rsid w:val="008C4301"/>
    <w:rsid w:val="008C6599"/>
    <w:rsid w:val="008C67FD"/>
    <w:rsid w:val="008D0A34"/>
    <w:rsid w:val="008D0B53"/>
    <w:rsid w:val="008D17AA"/>
    <w:rsid w:val="008D19FE"/>
    <w:rsid w:val="008D250D"/>
    <w:rsid w:val="008D317F"/>
    <w:rsid w:val="008D4FA9"/>
    <w:rsid w:val="008D6DCF"/>
    <w:rsid w:val="008D6E7B"/>
    <w:rsid w:val="008D6F44"/>
    <w:rsid w:val="008D7814"/>
    <w:rsid w:val="008D7913"/>
    <w:rsid w:val="008E01F9"/>
    <w:rsid w:val="008E0931"/>
    <w:rsid w:val="008E1C43"/>
    <w:rsid w:val="008E1E41"/>
    <w:rsid w:val="008E27D5"/>
    <w:rsid w:val="008E3263"/>
    <w:rsid w:val="008E3D12"/>
    <w:rsid w:val="008E3D6C"/>
    <w:rsid w:val="008E3FAA"/>
    <w:rsid w:val="008E414A"/>
    <w:rsid w:val="008E5256"/>
    <w:rsid w:val="008E5A73"/>
    <w:rsid w:val="008E5E72"/>
    <w:rsid w:val="008E66A4"/>
    <w:rsid w:val="008E6E96"/>
    <w:rsid w:val="008E6F9F"/>
    <w:rsid w:val="008E74B3"/>
    <w:rsid w:val="008E7504"/>
    <w:rsid w:val="008E7599"/>
    <w:rsid w:val="008E7DC8"/>
    <w:rsid w:val="008F00AE"/>
    <w:rsid w:val="008F0146"/>
    <w:rsid w:val="008F108F"/>
    <w:rsid w:val="008F1359"/>
    <w:rsid w:val="008F1F10"/>
    <w:rsid w:val="008F20F8"/>
    <w:rsid w:val="008F2D5B"/>
    <w:rsid w:val="008F3AC1"/>
    <w:rsid w:val="008F3C7C"/>
    <w:rsid w:val="008F437F"/>
    <w:rsid w:val="008F43C6"/>
    <w:rsid w:val="008F46D7"/>
    <w:rsid w:val="008F4724"/>
    <w:rsid w:val="008F47E5"/>
    <w:rsid w:val="008F616C"/>
    <w:rsid w:val="008F62CC"/>
    <w:rsid w:val="008F6B48"/>
    <w:rsid w:val="008F7010"/>
    <w:rsid w:val="008F74A7"/>
    <w:rsid w:val="008F7C76"/>
    <w:rsid w:val="009013C2"/>
    <w:rsid w:val="00901451"/>
    <w:rsid w:val="00901CFD"/>
    <w:rsid w:val="0090253B"/>
    <w:rsid w:val="00903222"/>
    <w:rsid w:val="00903723"/>
    <w:rsid w:val="00903B26"/>
    <w:rsid w:val="00903B63"/>
    <w:rsid w:val="00903BCD"/>
    <w:rsid w:val="009048E8"/>
    <w:rsid w:val="00904AA7"/>
    <w:rsid w:val="0090626F"/>
    <w:rsid w:val="0090735B"/>
    <w:rsid w:val="00907442"/>
    <w:rsid w:val="00907BCE"/>
    <w:rsid w:val="0091064A"/>
    <w:rsid w:val="009107A1"/>
    <w:rsid w:val="00910995"/>
    <w:rsid w:val="0091124F"/>
    <w:rsid w:val="009112BE"/>
    <w:rsid w:val="00911CBA"/>
    <w:rsid w:val="009120AF"/>
    <w:rsid w:val="009120C1"/>
    <w:rsid w:val="0091227F"/>
    <w:rsid w:val="009122FC"/>
    <w:rsid w:val="009123ED"/>
    <w:rsid w:val="0091289D"/>
    <w:rsid w:val="00912BD1"/>
    <w:rsid w:val="0091334E"/>
    <w:rsid w:val="00913AEC"/>
    <w:rsid w:val="00913AF5"/>
    <w:rsid w:val="009140F4"/>
    <w:rsid w:val="009148D0"/>
    <w:rsid w:val="0091500F"/>
    <w:rsid w:val="00915DBF"/>
    <w:rsid w:val="009161B4"/>
    <w:rsid w:val="009163F1"/>
    <w:rsid w:val="0091658E"/>
    <w:rsid w:val="00917992"/>
    <w:rsid w:val="00920D38"/>
    <w:rsid w:val="00921BBD"/>
    <w:rsid w:val="00922C37"/>
    <w:rsid w:val="009234FB"/>
    <w:rsid w:val="0092354B"/>
    <w:rsid w:val="00923B7F"/>
    <w:rsid w:val="00924751"/>
    <w:rsid w:val="00924C28"/>
    <w:rsid w:val="0092552F"/>
    <w:rsid w:val="009258A2"/>
    <w:rsid w:val="00925B77"/>
    <w:rsid w:val="00926C5A"/>
    <w:rsid w:val="00926DD1"/>
    <w:rsid w:val="00927D6E"/>
    <w:rsid w:val="009301AE"/>
    <w:rsid w:val="00930D46"/>
    <w:rsid w:val="00930FDD"/>
    <w:rsid w:val="009311BD"/>
    <w:rsid w:val="00931A10"/>
    <w:rsid w:val="009327CE"/>
    <w:rsid w:val="00933860"/>
    <w:rsid w:val="00933BA5"/>
    <w:rsid w:val="00933CDF"/>
    <w:rsid w:val="00933D66"/>
    <w:rsid w:val="00934617"/>
    <w:rsid w:val="00934673"/>
    <w:rsid w:val="009347A1"/>
    <w:rsid w:val="00934A0B"/>
    <w:rsid w:val="00935DC9"/>
    <w:rsid w:val="009363D9"/>
    <w:rsid w:val="00936AB0"/>
    <w:rsid w:val="00936B21"/>
    <w:rsid w:val="00936C9D"/>
    <w:rsid w:val="0093705A"/>
    <w:rsid w:val="0093797B"/>
    <w:rsid w:val="00937EAB"/>
    <w:rsid w:val="0094009C"/>
    <w:rsid w:val="00941489"/>
    <w:rsid w:val="0094174D"/>
    <w:rsid w:val="00941F61"/>
    <w:rsid w:val="00942D6E"/>
    <w:rsid w:val="00943369"/>
    <w:rsid w:val="00943AA2"/>
    <w:rsid w:val="00944E3B"/>
    <w:rsid w:val="00945EC5"/>
    <w:rsid w:val="00946CCD"/>
    <w:rsid w:val="00947E68"/>
    <w:rsid w:val="00950EAA"/>
    <w:rsid w:val="00951098"/>
    <w:rsid w:val="00951131"/>
    <w:rsid w:val="0095118C"/>
    <w:rsid w:val="009511D0"/>
    <w:rsid w:val="00951C46"/>
    <w:rsid w:val="009520A6"/>
    <w:rsid w:val="009520CE"/>
    <w:rsid w:val="0095231F"/>
    <w:rsid w:val="00952E3D"/>
    <w:rsid w:val="009552C0"/>
    <w:rsid w:val="00955B00"/>
    <w:rsid w:val="00956249"/>
    <w:rsid w:val="00956E7B"/>
    <w:rsid w:val="00960DD1"/>
    <w:rsid w:val="00961A81"/>
    <w:rsid w:val="00961FCC"/>
    <w:rsid w:val="00963464"/>
    <w:rsid w:val="00963A89"/>
    <w:rsid w:val="00963ADE"/>
    <w:rsid w:val="00964032"/>
    <w:rsid w:val="00964241"/>
    <w:rsid w:val="009642E1"/>
    <w:rsid w:val="0096489F"/>
    <w:rsid w:val="00964C19"/>
    <w:rsid w:val="00964F3F"/>
    <w:rsid w:val="00964F73"/>
    <w:rsid w:val="009654D6"/>
    <w:rsid w:val="00966179"/>
    <w:rsid w:val="0096682E"/>
    <w:rsid w:val="00966A32"/>
    <w:rsid w:val="00967FA6"/>
    <w:rsid w:val="00970A14"/>
    <w:rsid w:val="009711CF"/>
    <w:rsid w:val="0097182A"/>
    <w:rsid w:val="00971C61"/>
    <w:rsid w:val="00971F54"/>
    <w:rsid w:val="009723C1"/>
    <w:rsid w:val="00972AB2"/>
    <w:rsid w:val="0097315E"/>
    <w:rsid w:val="009735DF"/>
    <w:rsid w:val="00973638"/>
    <w:rsid w:val="009739A6"/>
    <w:rsid w:val="00973A65"/>
    <w:rsid w:val="009745F7"/>
    <w:rsid w:val="00975BE5"/>
    <w:rsid w:val="009763DB"/>
    <w:rsid w:val="009774CE"/>
    <w:rsid w:val="0097784C"/>
    <w:rsid w:val="00977B18"/>
    <w:rsid w:val="009808EA"/>
    <w:rsid w:val="009818BF"/>
    <w:rsid w:val="00981E5D"/>
    <w:rsid w:val="00982539"/>
    <w:rsid w:val="0098258E"/>
    <w:rsid w:val="00983510"/>
    <w:rsid w:val="00983779"/>
    <w:rsid w:val="00983E89"/>
    <w:rsid w:val="00984CB0"/>
    <w:rsid w:val="00984DA2"/>
    <w:rsid w:val="009853E0"/>
    <w:rsid w:val="00985A4A"/>
    <w:rsid w:val="00985B3E"/>
    <w:rsid w:val="00985BDA"/>
    <w:rsid w:val="009878BF"/>
    <w:rsid w:val="00987E0E"/>
    <w:rsid w:val="00990B4E"/>
    <w:rsid w:val="009918C2"/>
    <w:rsid w:val="00991F28"/>
    <w:rsid w:val="00992246"/>
    <w:rsid w:val="00993B56"/>
    <w:rsid w:val="009948DD"/>
    <w:rsid w:val="00994BC3"/>
    <w:rsid w:val="00994DCA"/>
    <w:rsid w:val="00994F79"/>
    <w:rsid w:val="0099559C"/>
    <w:rsid w:val="009962C5"/>
    <w:rsid w:val="00996E36"/>
    <w:rsid w:val="00997253"/>
    <w:rsid w:val="009A01C2"/>
    <w:rsid w:val="009A0AC0"/>
    <w:rsid w:val="009A1594"/>
    <w:rsid w:val="009A1CF1"/>
    <w:rsid w:val="009A1F1F"/>
    <w:rsid w:val="009A1FAC"/>
    <w:rsid w:val="009A28A1"/>
    <w:rsid w:val="009A3002"/>
    <w:rsid w:val="009A301E"/>
    <w:rsid w:val="009A3403"/>
    <w:rsid w:val="009A35FA"/>
    <w:rsid w:val="009A3D5A"/>
    <w:rsid w:val="009A4C15"/>
    <w:rsid w:val="009A4C1D"/>
    <w:rsid w:val="009A4C39"/>
    <w:rsid w:val="009A5730"/>
    <w:rsid w:val="009A5D50"/>
    <w:rsid w:val="009A6091"/>
    <w:rsid w:val="009A6372"/>
    <w:rsid w:val="009A691A"/>
    <w:rsid w:val="009A6CDF"/>
    <w:rsid w:val="009A787E"/>
    <w:rsid w:val="009B01CA"/>
    <w:rsid w:val="009B16CD"/>
    <w:rsid w:val="009B1A40"/>
    <w:rsid w:val="009B1B95"/>
    <w:rsid w:val="009B20AB"/>
    <w:rsid w:val="009B2CAF"/>
    <w:rsid w:val="009B3E2A"/>
    <w:rsid w:val="009B4F9E"/>
    <w:rsid w:val="009B551D"/>
    <w:rsid w:val="009B5A68"/>
    <w:rsid w:val="009B5CFA"/>
    <w:rsid w:val="009B5D38"/>
    <w:rsid w:val="009B6397"/>
    <w:rsid w:val="009B6A9C"/>
    <w:rsid w:val="009B6ACA"/>
    <w:rsid w:val="009B7A6B"/>
    <w:rsid w:val="009C01AB"/>
    <w:rsid w:val="009C05F5"/>
    <w:rsid w:val="009C067B"/>
    <w:rsid w:val="009C0B32"/>
    <w:rsid w:val="009C0DEE"/>
    <w:rsid w:val="009C1E4C"/>
    <w:rsid w:val="009C2202"/>
    <w:rsid w:val="009C266E"/>
    <w:rsid w:val="009C397E"/>
    <w:rsid w:val="009C45E4"/>
    <w:rsid w:val="009C5A8B"/>
    <w:rsid w:val="009C6A2A"/>
    <w:rsid w:val="009C6E03"/>
    <w:rsid w:val="009C6E9F"/>
    <w:rsid w:val="009C74A5"/>
    <w:rsid w:val="009D0354"/>
    <w:rsid w:val="009D0A60"/>
    <w:rsid w:val="009D1495"/>
    <w:rsid w:val="009D17FC"/>
    <w:rsid w:val="009D1D54"/>
    <w:rsid w:val="009D2ACE"/>
    <w:rsid w:val="009D2CA3"/>
    <w:rsid w:val="009D306C"/>
    <w:rsid w:val="009D3262"/>
    <w:rsid w:val="009D3F06"/>
    <w:rsid w:val="009D440E"/>
    <w:rsid w:val="009D465A"/>
    <w:rsid w:val="009D4AD7"/>
    <w:rsid w:val="009D521C"/>
    <w:rsid w:val="009D525B"/>
    <w:rsid w:val="009D5446"/>
    <w:rsid w:val="009D559A"/>
    <w:rsid w:val="009D57C7"/>
    <w:rsid w:val="009D598D"/>
    <w:rsid w:val="009D5B05"/>
    <w:rsid w:val="009D62E6"/>
    <w:rsid w:val="009D70B0"/>
    <w:rsid w:val="009D77DF"/>
    <w:rsid w:val="009E01CA"/>
    <w:rsid w:val="009E05D4"/>
    <w:rsid w:val="009E0CB1"/>
    <w:rsid w:val="009E0DA1"/>
    <w:rsid w:val="009E132A"/>
    <w:rsid w:val="009E1525"/>
    <w:rsid w:val="009E20F7"/>
    <w:rsid w:val="009E2E83"/>
    <w:rsid w:val="009E318D"/>
    <w:rsid w:val="009E4435"/>
    <w:rsid w:val="009E4451"/>
    <w:rsid w:val="009E44FD"/>
    <w:rsid w:val="009E506F"/>
    <w:rsid w:val="009E5B29"/>
    <w:rsid w:val="009E5E15"/>
    <w:rsid w:val="009E60F6"/>
    <w:rsid w:val="009E684C"/>
    <w:rsid w:val="009E6944"/>
    <w:rsid w:val="009E6AF3"/>
    <w:rsid w:val="009E7159"/>
    <w:rsid w:val="009E77DC"/>
    <w:rsid w:val="009E78E3"/>
    <w:rsid w:val="009E7D48"/>
    <w:rsid w:val="009F12AE"/>
    <w:rsid w:val="009F1A0D"/>
    <w:rsid w:val="009F1E19"/>
    <w:rsid w:val="009F1F9B"/>
    <w:rsid w:val="009F2867"/>
    <w:rsid w:val="009F30FA"/>
    <w:rsid w:val="009F392E"/>
    <w:rsid w:val="009F4B28"/>
    <w:rsid w:val="009F5C43"/>
    <w:rsid w:val="009F5F48"/>
    <w:rsid w:val="009F67A8"/>
    <w:rsid w:val="009F67F0"/>
    <w:rsid w:val="009F778C"/>
    <w:rsid w:val="009F7799"/>
    <w:rsid w:val="00A001CE"/>
    <w:rsid w:val="00A00234"/>
    <w:rsid w:val="00A00710"/>
    <w:rsid w:val="00A00B6A"/>
    <w:rsid w:val="00A01471"/>
    <w:rsid w:val="00A01B70"/>
    <w:rsid w:val="00A02ED8"/>
    <w:rsid w:val="00A033C3"/>
    <w:rsid w:val="00A03DC8"/>
    <w:rsid w:val="00A0426B"/>
    <w:rsid w:val="00A04B6E"/>
    <w:rsid w:val="00A05AC7"/>
    <w:rsid w:val="00A05AF2"/>
    <w:rsid w:val="00A062E6"/>
    <w:rsid w:val="00A064BD"/>
    <w:rsid w:val="00A064F6"/>
    <w:rsid w:val="00A068CD"/>
    <w:rsid w:val="00A06CF0"/>
    <w:rsid w:val="00A06E4A"/>
    <w:rsid w:val="00A0785D"/>
    <w:rsid w:val="00A07B41"/>
    <w:rsid w:val="00A10425"/>
    <w:rsid w:val="00A10E78"/>
    <w:rsid w:val="00A11012"/>
    <w:rsid w:val="00A11231"/>
    <w:rsid w:val="00A11D34"/>
    <w:rsid w:val="00A12865"/>
    <w:rsid w:val="00A13092"/>
    <w:rsid w:val="00A141DF"/>
    <w:rsid w:val="00A151E2"/>
    <w:rsid w:val="00A15627"/>
    <w:rsid w:val="00A1563B"/>
    <w:rsid w:val="00A15B72"/>
    <w:rsid w:val="00A15BD5"/>
    <w:rsid w:val="00A16169"/>
    <w:rsid w:val="00A172A3"/>
    <w:rsid w:val="00A17C4C"/>
    <w:rsid w:val="00A207CB"/>
    <w:rsid w:val="00A207FE"/>
    <w:rsid w:val="00A209D4"/>
    <w:rsid w:val="00A20B04"/>
    <w:rsid w:val="00A20B41"/>
    <w:rsid w:val="00A20C65"/>
    <w:rsid w:val="00A20CE7"/>
    <w:rsid w:val="00A21396"/>
    <w:rsid w:val="00A21534"/>
    <w:rsid w:val="00A21B43"/>
    <w:rsid w:val="00A21E0D"/>
    <w:rsid w:val="00A21E57"/>
    <w:rsid w:val="00A21FD6"/>
    <w:rsid w:val="00A229E4"/>
    <w:rsid w:val="00A23092"/>
    <w:rsid w:val="00A236EF"/>
    <w:rsid w:val="00A23F52"/>
    <w:rsid w:val="00A24AD7"/>
    <w:rsid w:val="00A254CB"/>
    <w:rsid w:val="00A25CC9"/>
    <w:rsid w:val="00A25DC2"/>
    <w:rsid w:val="00A2657D"/>
    <w:rsid w:val="00A26796"/>
    <w:rsid w:val="00A273D8"/>
    <w:rsid w:val="00A27641"/>
    <w:rsid w:val="00A276A5"/>
    <w:rsid w:val="00A27814"/>
    <w:rsid w:val="00A27CB0"/>
    <w:rsid w:val="00A30453"/>
    <w:rsid w:val="00A30BCA"/>
    <w:rsid w:val="00A313FF"/>
    <w:rsid w:val="00A315EF"/>
    <w:rsid w:val="00A31D92"/>
    <w:rsid w:val="00A32CBA"/>
    <w:rsid w:val="00A341BD"/>
    <w:rsid w:val="00A34661"/>
    <w:rsid w:val="00A34813"/>
    <w:rsid w:val="00A34B5A"/>
    <w:rsid w:val="00A34F9B"/>
    <w:rsid w:val="00A34FF5"/>
    <w:rsid w:val="00A35C48"/>
    <w:rsid w:val="00A36192"/>
    <w:rsid w:val="00A3680D"/>
    <w:rsid w:val="00A36BEA"/>
    <w:rsid w:val="00A36C9A"/>
    <w:rsid w:val="00A36D8D"/>
    <w:rsid w:val="00A37438"/>
    <w:rsid w:val="00A37615"/>
    <w:rsid w:val="00A3777A"/>
    <w:rsid w:val="00A40140"/>
    <w:rsid w:val="00A40719"/>
    <w:rsid w:val="00A41E7D"/>
    <w:rsid w:val="00A42056"/>
    <w:rsid w:val="00A42D54"/>
    <w:rsid w:val="00A42FA5"/>
    <w:rsid w:val="00A43106"/>
    <w:rsid w:val="00A43B49"/>
    <w:rsid w:val="00A43D64"/>
    <w:rsid w:val="00A43F2F"/>
    <w:rsid w:val="00A44791"/>
    <w:rsid w:val="00A44B80"/>
    <w:rsid w:val="00A44E75"/>
    <w:rsid w:val="00A454D7"/>
    <w:rsid w:val="00A4551A"/>
    <w:rsid w:val="00A457B2"/>
    <w:rsid w:val="00A45BDA"/>
    <w:rsid w:val="00A45FB2"/>
    <w:rsid w:val="00A46E76"/>
    <w:rsid w:val="00A46F07"/>
    <w:rsid w:val="00A475C5"/>
    <w:rsid w:val="00A47ED4"/>
    <w:rsid w:val="00A50513"/>
    <w:rsid w:val="00A50ACF"/>
    <w:rsid w:val="00A50B69"/>
    <w:rsid w:val="00A51068"/>
    <w:rsid w:val="00A5245C"/>
    <w:rsid w:val="00A5290D"/>
    <w:rsid w:val="00A54505"/>
    <w:rsid w:val="00A5639D"/>
    <w:rsid w:val="00A5679B"/>
    <w:rsid w:val="00A57394"/>
    <w:rsid w:val="00A5750F"/>
    <w:rsid w:val="00A6012C"/>
    <w:rsid w:val="00A61139"/>
    <w:rsid w:val="00A62514"/>
    <w:rsid w:val="00A62CC0"/>
    <w:rsid w:val="00A62F8E"/>
    <w:rsid w:val="00A630EA"/>
    <w:rsid w:val="00A632A2"/>
    <w:rsid w:val="00A63AC9"/>
    <w:rsid w:val="00A644E7"/>
    <w:rsid w:val="00A65464"/>
    <w:rsid w:val="00A65A4F"/>
    <w:rsid w:val="00A65B6B"/>
    <w:rsid w:val="00A662AB"/>
    <w:rsid w:val="00A66479"/>
    <w:rsid w:val="00A66AA9"/>
    <w:rsid w:val="00A672A4"/>
    <w:rsid w:val="00A672C0"/>
    <w:rsid w:val="00A70F5F"/>
    <w:rsid w:val="00A71154"/>
    <w:rsid w:val="00A7154D"/>
    <w:rsid w:val="00A72A3D"/>
    <w:rsid w:val="00A72C3A"/>
    <w:rsid w:val="00A736E8"/>
    <w:rsid w:val="00A73A42"/>
    <w:rsid w:val="00A74CDF"/>
    <w:rsid w:val="00A7537C"/>
    <w:rsid w:val="00A7547A"/>
    <w:rsid w:val="00A77924"/>
    <w:rsid w:val="00A810B5"/>
    <w:rsid w:val="00A81401"/>
    <w:rsid w:val="00A81C07"/>
    <w:rsid w:val="00A82429"/>
    <w:rsid w:val="00A8253E"/>
    <w:rsid w:val="00A83300"/>
    <w:rsid w:val="00A834F2"/>
    <w:rsid w:val="00A83C77"/>
    <w:rsid w:val="00A83CFD"/>
    <w:rsid w:val="00A83D3C"/>
    <w:rsid w:val="00A83D57"/>
    <w:rsid w:val="00A844CC"/>
    <w:rsid w:val="00A84D7A"/>
    <w:rsid w:val="00A850C5"/>
    <w:rsid w:val="00A85851"/>
    <w:rsid w:val="00A85A7F"/>
    <w:rsid w:val="00A85CEC"/>
    <w:rsid w:val="00A85E90"/>
    <w:rsid w:val="00A85F4C"/>
    <w:rsid w:val="00A86D50"/>
    <w:rsid w:val="00A86F4A"/>
    <w:rsid w:val="00A87642"/>
    <w:rsid w:val="00A90074"/>
    <w:rsid w:val="00A906AB"/>
    <w:rsid w:val="00A91161"/>
    <w:rsid w:val="00A926EC"/>
    <w:rsid w:val="00A92A07"/>
    <w:rsid w:val="00A92A5A"/>
    <w:rsid w:val="00A92B0A"/>
    <w:rsid w:val="00A92C1B"/>
    <w:rsid w:val="00A93368"/>
    <w:rsid w:val="00A9467A"/>
    <w:rsid w:val="00A947BA"/>
    <w:rsid w:val="00A94AF8"/>
    <w:rsid w:val="00A94B81"/>
    <w:rsid w:val="00A9633D"/>
    <w:rsid w:val="00A963F2"/>
    <w:rsid w:val="00A966B1"/>
    <w:rsid w:val="00A96746"/>
    <w:rsid w:val="00A9699A"/>
    <w:rsid w:val="00A96D2D"/>
    <w:rsid w:val="00A96EB4"/>
    <w:rsid w:val="00A97DE2"/>
    <w:rsid w:val="00AA11DC"/>
    <w:rsid w:val="00AA132F"/>
    <w:rsid w:val="00AA1DCA"/>
    <w:rsid w:val="00AA1F6F"/>
    <w:rsid w:val="00AA2661"/>
    <w:rsid w:val="00AA2855"/>
    <w:rsid w:val="00AA3137"/>
    <w:rsid w:val="00AA4E46"/>
    <w:rsid w:val="00AA50EA"/>
    <w:rsid w:val="00AA613F"/>
    <w:rsid w:val="00AA6D0D"/>
    <w:rsid w:val="00AA6DC3"/>
    <w:rsid w:val="00AA740C"/>
    <w:rsid w:val="00AA7E2A"/>
    <w:rsid w:val="00AA7EDC"/>
    <w:rsid w:val="00AB0BB8"/>
    <w:rsid w:val="00AB161B"/>
    <w:rsid w:val="00AB17E9"/>
    <w:rsid w:val="00AB217D"/>
    <w:rsid w:val="00AB2773"/>
    <w:rsid w:val="00AB36C1"/>
    <w:rsid w:val="00AB3B0F"/>
    <w:rsid w:val="00AB4305"/>
    <w:rsid w:val="00AB48E8"/>
    <w:rsid w:val="00AB4B32"/>
    <w:rsid w:val="00AB5185"/>
    <w:rsid w:val="00AB52F5"/>
    <w:rsid w:val="00AB59D1"/>
    <w:rsid w:val="00AB5A30"/>
    <w:rsid w:val="00AB6942"/>
    <w:rsid w:val="00AB718F"/>
    <w:rsid w:val="00AB71CA"/>
    <w:rsid w:val="00AB7620"/>
    <w:rsid w:val="00AB7E21"/>
    <w:rsid w:val="00AB7E44"/>
    <w:rsid w:val="00AB7E5A"/>
    <w:rsid w:val="00AC0611"/>
    <w:rsid w:val="00AC14B9"/>
    <w:rsid w:val="00AC1E1E"/>
    <w:rsid w:val="00AC235C"/>
    <w:rsid w:val="00AC28C5"/>
    <w:rsid w:val="00AC2BA8"/>
    <w:rsid w:val="00AC3592"/>
    <w:rsid w:val="00AC36CF"/>
    <w:rsid w:val="00AC4185"/>
    <w:rsid w:val="00AC480F"/>
    <w:rsid w:val="00AC4B1F"/>
    <w:rsid w:val="00AC4F5B"/>
    <w:rsid w:val="00AC563A"/>
    <w:rsid w:val="00AC5BD9"/>
    <w:rsid w:val="00AC5E23"/>
    <w:rsid w:val="00AC5EC2"/>
    <w:rsid w:val="00AC62C6"/>
    <w:rsid w:val="00AC7A4B"/>
    <w:rsid w:val="00AD0221"/>
    <w:rsid w:val="00AD1981"/>
    <w:rsid w:val="00AD1CAA"/>
    <w:rsid w:val="00AD1E70"/>
    <w:rsid w:val="00AD1FDA"/>
    <w:rsid w:val="00AD261A"/>
    <w:rsid w:val="00AD27B1"/>
    <w:rsid w:val="00AD2968"/>
    <w:rsid w:val="00AD2F7A"/>
    <w:rsid w:val="00AD308F"/>
    <w:rsid w:val="00AD3E4F"/>
    <w:rsid w:val="00AD41C1"/>
    <w:rsid w:val="00AD4963"/>
    <w:rsid w:val="00AD4A32"/>
    <w:rsid w:val="00AD4AA5"/>
    <w:rsid w:val="00AD51A6"/>
    <w:rsid w:val="00AD5C5C"/>
    <w:rsid w:val="00AD62D4"/>
    <w:rsid w:val="00AD636D"/>
    <w:rsid w:val="00AD65E1"/>
    <w:rsid w:val="00AD6C44"/>
    <w:rsid w:val="00AD6E94"/>
    <w:rsid w:val="00AD74FA"/>
    <w:rsid w:val="00AE062A"/>
    <w:rsid w:val="00AE0BCA"/>
    <w:rsid w:val="00AE0EDD"/>
    <w:rsid w:val="00AE0FB4"/>
    <w:rsid w:val="00AE1B37"/>
    <w:rsid w:val="00AE204C"/>
    <w:rsid w:val="00AE2A8B"/>
    <w:rsid w:val="00AE30FE"/>
    <w:rsid w:val="00AE32D5"/>
    <w:rsid w:val="00AE3448"/>
    <w:rsid w:val="00AE371F"/>
    <w:rsid w:val="00AE3945"/>
    <w:rsid w:val="00AE3FCB"/>
    <w:rsid w:val="00AE4BB2"/>
    <w:rsid w:val="00AE4C57"/>
    <w:rsid w:val="00AE53EB"/>
    <w:rsid w:val="00AE559F"/>
    <w:rsid w:val="00AE5920"/>
    <w:rsid w:val="00AE5D40"/>
    <w:rsid w:val="00AE6117"/>
    <w:rsid w:val="00AE7389"/>
    <w:rsid w:val="00AE79BD"/>
    <w:rsid w:val="00AF020A"/>
    <w:rsid w:val="00AF0438"/>
    <w:rsid w:val="00AF085A"/>
    <w:rsid w:val="00AF1C0B"/>
    <w:rsid w:val="00AF2397"/>
    <w:rsid w:val="00AF2876"/>
    <w:rsid w:val="00AF32C8"/>
    <w:rsid w:val="00AF332D"/>
    <w:rsid w:val="00AF3463"/>
    <w:rsid w:val="00AF3E2D"/>
    <w:rsid w:val="00AF4516"/>
    <w:rsid w:val="00AF5A0E"/>
    <w:rsid w:val="00AF5C15"/>
    <w:rsid w:val="00AF5DF9"/>
    <w:rsid w:val="00AF5FD0"/>
    <w:rsid w:val="00AF6172"/>
    <w:rsid w:val="00AF6216"/>
    <w:rsid w:val="00AF6DF4"/>
    <w:rsid w:val="00AF6E67"/>
    <w:rsid w:val="00AF6F00"/>
    <w:rsid w:val="00AF7C50"/>
    <w:rsid w:val="00AF7DCD"/>
    <w:rsid w:val="00B00B05"/>
    <w:rsid w:val="00B01772"/>
    <w:rsid w:val="00B01CB4"/>
    <w:rsid w:val="00B01DF0"/>
    <w:rsid w:val="00B024EA"/>
    <w:rsid w:val="00B033B5"/>
    <w:rsid w:val="00B034F9"/>
    <w:rsid w:val="00B03A6C"/>
    <w:rsid w:val="00B044D2"/>
    <w:rsid w:val="00B04BA3"/>
    <w:rsid w:val="00B05086"/>
    <w:rsid w:val="00B05491"/>
    <w:rsid w:val="00B0650F"/>
    <w:rsid w:val="00B06692"/>
    <w:rsid w:val="00B06919"/>
    <w:rsid w:val="00B072E6"/>
    <w:rsid w:val="00B102DB"/>
    <w:rsid w:val="00B11325"/>
    <w:rsid w:val="00B11E99"/>
    <w:rsid w:val="00B1229E"/>
    <w:rsid w:val="00B1243F"/>
    <w:rsid w:val="00B1289D"/>
    <w:rsid w:val="00B12975"/>
    <w:rsid w:val="00B12A27"/>
    <w:rsid w:val="00B12C37"/>
    <w:rsid w:val="00B12DB9"/>
    <w:rsid w:val="00B12E02"/>
    <w:rsid w:val="00B13153"/>
    <w:rsid w:val="00B14005"/>
    <w:rsid w:val="00B14DBF"/>
    <w:rsid w:val="00B156A7"/>
    <w:rsid w:val="00B171B9"/>
    <w:rsid w:val="00B17531"/>
    <w:rsid w:val="00B17788"/>
    <w:rsid w:val="00B177E4"/>
    <w:rsid w:val="00B201FF"/>
    <w:rsid w:val="00B20660"/>
    <w:rsid w:val="00B20BCF"/>
    <w:rsid w:val="00B21007"/>
    <w:rsid w:val="00B21019"/>
    <w:rsid w:val="00B211DF"/>
    <w:rsid w:val="00B2211A"/>
    <w:rsid w:val="00B22BBC"/>
    <w:rsid w:val="00B22D8F"/>
    <w:rsid w:val="00B22EDE"/>
    <w:rsid w:val="00B238B5"/>
    <w:rsid w:val="00B23934"/>
    <w:rsid w:val="00B24216"/>
    <w:rsid w:val="00B24F42"/>
    <w:rsid w:val="00B25091"/>
    <w:rsid w:val="00B25166"/>
    <w:rsid w:val="00B25295"/>
    <w:rsid w:val="00B2545B"/>
    <w:rsid w:val="00B2579E"/>
    <w:rsid w:val="00B25B03"/>
    <w:rsid w:val="00B26E60"/>
    <w:rsid w:val="00B27295"/>
    <w:rsid w:val="00B304C8"/>
    <w:rsid w:val="00B30526"/>
    <w:rsid w:val="00B307CA"/>
    <w:rsid w:val="00B3082A"/>
    <w:rsid w:val="00B30F50"/>
    <w:rsid w:val="00B31257"/>
    <w:rsid w:val="00B32241"/>
    <w:rsid w:val="00B32309"/>
    <w:rsid w:val="00B32AD9"/>
    <w:rsid w:val="00B33259"/>
    <w:rsid w:val="00B33D21"/>
    <w:rsid w:val="00B341DA"/>
    <w:rsid w:val="00B34469"/>
    <w:rsid w:val="00B34D5B"/>
    <w:rsid w:val="00B351AE"/>
    <w:rsid w:val="00B357F8"/>
    <w:rsid w:val="00B3648E"/>
    <w:rsid w:val="00B36742"/>
    <w:rsid w:val="00B36AE3"/>
    <w:rsid w:val="00B36E5E"/>
    <w:rsid w:val="00B3733A"/>
    <w:rsid w:val="00B3793B"/>
    <w:rsid w:val="00B37FBB"/>
    <w:rsid w:val="00B40D0A"/>
    <w:rsid w:val="00B40DAB"/>
    <w:rsid w:val="00B40DEF"/>
    <w:rsid w:val="00B40F4F"/>
    <w:rsid w:val="00B419AB"/>
    <w:rsid w:val="00B41A9A"/>
    <w:rsid w:val="00B41DDD"/>
    <w:rsid w:val="00B4209C"/>
    <w:rsid w:val="00B424D9"/>
    <w:rsid w:val="00B426D4"/>
    <w:rsid w:val="00B42913"/>
    <w:rsid w:val="00B42BCC"/>
    <w:rsid w:val="00B43B09"/>
    <w:rsid w:val="00B44B50"/>
    <w:rsid w:val="00B44F01"/>
    <w:rsid w:val="00B4535B"/>
    <w:rsid w:val="00B461CE"/>
    <w:rsid w:val="00B4634C"/>
    <w:rsid w:val="00B46769"/>
    <w:rsid w:val="00B469D8"/>
    <w:rsid w:val="00B46BDF"/>
    <w:rsid w:val="00B46F49"/>
    <w:rsid w:val="00B471FD"/>
    <w:rsid w:val="00B478A7"/>
    <w:rsid w:val="00B47F74"/>
    <w:rsid w:val="00B47FE1"/>
    <w:rsid w:val="00B50A3B"/>
    <w:rsid w:val="00B511A4"/>
    <w:rsid w:val="00B52777"/>
    <w:rsid w:val="00B52B81"/>
    <w:rsid w:val="00B531EB"/>
    <w:rsid w:val="00B54E9F"/>
    <w:rsid w:val="00B5566E"/>
    <w:rsid w:val="00B56575"/>
    <w:rsid w:val="00B56AFD"/>
    <w:rsid w:val="00B56BA2"/>
    <w:rsid w:val="00B56D2B"/>
    <w:rsid w:val="00B57196"/>
    <w:rsid w:val="00B57492"/>
    <w:rsid w:val="00B57671"/>
    <w:rsid w:val="00B5771E"/>
    <w:rsid w:val="00B57DEB"/>
    <w:rsid w:val="00B602DE"/>
    <w:rsid w:val="00B605CB"/>
    <w:rsid w:val="00B61271"/>
    <w:rsid w:val="00B6176D"/>
    <w:rsid w:val="00B621DE"/>
    <w:rsid w:val="00B62990"/>
    <w:rsid w:val="00B62C8D"/>
    <w:rsid w:val="00B62F61"/>
    <w:rsid w:val="00B63D9F"/>
    <w:rsid w:val="00B64708"/>
    <w:rsid w:val="00B64E3A"/>
    <w:rsid w:val="00B65121"/>
    <w:rsid w:val="00B6539E"/>
    <w:rsid w:val="00B653EB"/>
    <w:rsid w:val="00B65A31"/>
    <w:rsid w:val="00B66B8D"/>
    <w:rsid w:val="00B67F42"/>
    <w:rsid w:val="00B70761"/>
    <w:rsid w:val="00B709C0"/>
    <w:rsid w:val="00B71243"/>
    <w:rsid w:val="00B71E98"/>
    <w:rsid w:val="00B7240A"/>
    <w:rsid w:val="00B72686"/>
    <w:rsid w:val="00B72AB2"/>
    <w:rsid w:val="00B72F59"/>
    <w:rsid w:val="00B73CD7"/>
    <w:rsid w:val="00B73E45"/>
    <w:rsid w:val="00B74905"/>
    <w:rsid w:val="00B74CF9"/>
    <w:rsid w:val="00B75D93"/>
    <w:rsid w:val="00B760AF"/>
    <w:rsid w:val="00B7762A"/>
    <w:rsid w:val="00B80D82"/>
    <w:rsid w:val="00B812D1"/>
    <w:rsid w:val="00B813EB"/>
    <w:rsid w:val="00B8163F"/>
    <w:rsid w:val="00B8245E"/>
    <w:rsid w:val="00B82B22"/>
    <w:rsid w:val="00B82F4F"/>
    <w:rsid w:val="00B8366C"/>
    <w:rsid w:val="00B839D3"/>
    <w:rsid w:val="00B839FC"/>
    <w:rsid w:val="00B846F5"/>
    <w:rsid w:val="00B8474E"/>
    <w:rsid w:val="00B849FA"/>
    <w:rsid w:val="00B855A1"/>
    <w:rsid w:val="00B85CCD"/>
    <w:rsid w:val="00B86363"/>
    <w:rsid w:val="00B864D7"/>
    <w:rsid w:val="00B8675F"/>
    <w:rsid w:val="00B86F9E"/>
    <w:rsid w:val="00B870B9"/>
    <w:rsid w:val="00B873FF"/>
    <w:rsid w:val="00B875EA"/>
    <w:rsid w:val="00B87ABD"/>
    <w:rsid w:val="00B87CC9"/>
    <w:rsid w:val="00B9037B"/>
    <w:rsid w:val="00B90809"/>
    <w:rsid w:val="00B90D26"/>
    <w:rsid w:val="00B90D87"/>
    <w:rsid w:val="00B9107F"/>
    <w:rsid w:val="00B910DE"/>
    <w:rsid w:val="00B91723"/>
    <w:rsid w:val="00B918E7"/>
    <w:rsid w:val="00B91AA7"/>
    <w:rsid w:val="00B92DD2"/>
    <w:rsid w:val="00B941E2"/>
    <w:rsid w:val="00B9441D"/>
    <w:rsid w:val="00B94424"/>
    <w:rsid w:val="00B9520E"/>
    <w:rsid w:val="00B95473"/>
    <w:rsid w:val="00B95946"/>
    <w:rsid w:val="00B95D65"/>
    <w:rsid w:val="00B962B8"/>
    <w:rsid w:val="00B96A4B"/>
    <w:rsid w:val="00B96E95"/>
    <w:rsid w:val="00B96E96"/>
    <w:rsid w:val="00B9717F"/>
    <w:rsid w:val="00B97701"/>
    <w:rsid w:val="00B9792B"/>
    <w:rsid w:val="00BA014D"/>
    <w:rsid w:val="00BA07D4"/>
    <w:rsid w:val="00BA14F0"/>
    <w:rsid w:val="00BA1643"/>
    <w:rsid w:val="00BA1B53"/>
    <w:rsid w:val="00BA2410"/>
    <w:rsid w:val="00BA24B3"/>
    <w:rsid w:val="00BA3D4B"/>
    <w:rsid w:val="00BA4342"/>
    <w:rsid w:val="00BA44FE"/>
    <w:rsid w:val="00BA46C9"/>
    <w:rsid w:val="00BA5357"/>
    <w:rsid w:val="00BA5A3F"/>
    <w:rsid w:val="00BA5C14"/>
    <w:rsid w:val="00BA60E3"/>
    <w:rsid w:val="00BA65EA"/>
    <w:rsid w:val="00BA72A4"/>
    <w:rsid w:val="00BB02DA"/>
    <w:rsid w:val="00BB03CF"/>
    <w:rsid w:val="00BB068E"/>
    <w:rsid w:val="00BB075B"/>
    <w:rsid w:val="00BB13AD"/>
    <w:rsid w:val="00BB303D"/>
    <w:rsid w:val="00BB4079"/>
    <w:rsid w:val="00BB4B03"/>
    <w:rsid w:val="00BB4CAC"/>
    <w:rsid w:val="00BB6755"/>
    <w:rsid w:val="00BB676F"/>
    <w:rsid w:val="00BB6843"/>
    <w:rsid w:val="00BB6B95"/>
    <w:rsid w:val="00BB6BAF"/>
    <w:rsid w:val="00BB7122"/>
    <w:rsid w:val="00BB77F4"/>
    <w:rsid w:val="00BB7BB6"/>
    <w:rsid w:val="00BC03CD"/>
    <w:rsid w:val="00BC062F"/>
    <w:rsid w:val="00BC0646"/>
    <w:rsid w:val="00BC0811"/>
    <w:rsid w:val="00BC121B"/>
    <w:rsid w:val="00BC2219"/>
    <w:rsid w:val="00BC2539"/>
    <w:rsid w:val="00BC25E0"/>
    <w:rsid w:val="00BC3396"/>
    <w:rsid w:val="00BC3469"/>
    <w:rsid w:val="00BC4ED0"/>
    <w:rsid w:val="00BC5A2F"/>
    <w:rsid w:val="00BC6368"/>
    <w:rsid w:val="00BC70A5"/>
    <w:rsid w:val="00BC7A93"/>
    <w:rsid w:val="00BC7D22"/>
    <w:rsid w:val="00BC7E96"/>
    <w:rsid w:val="00BD083E"/>
    <w:rsid w:val="00BD199C"/>
    <w:rsid w:val="00BD1D31"/>
    <w:rsid w:val="00BD292A"/>
    <w:rsid w:val="00BD33CA"/>
    <w:rsid w:val="00BD3BED"/>
    <w:rsid w:val="00BD3FEF"/>
    <w:rsid w:val="00BD46F5"/>
    <w:rsid w:val="00BD4E31"/>
    <w:rsid w:val="00BD4E57"/>
    <w:rsid w:val="00BD5268"/>
    <w:rsid w:val="00BD532D"/>
    <w:rsid w:val="00BD5460"/>
    <w:rsid w:val="00BE031C"/>
    <w:rsid w:val="00BE06ED"/>
    <w:rsid w:val="00BE0AEF"/>
    <w:rsid w:val="00BE1B6A"/>
    <w:rsid w:val="00BE1F2D"/>
    <w:rsid w:val="00BE25C0"/>
    <w:rsid w:val="00BE26D3"/>
    <w:rsid w:val="00BE2878"/>
    <w:rsid w:val="00BE3487"/>
    <w:rsid w:val="00BE43B9"/>
    <w:rsid w:val="00BE4760"/>
    <w:rsid w:val="00BE4825"/>
    <w:rsid w:val="00BE53CE"/>
    <w:rsid w:val="00BE7D45"/>
    <w:rsid w:val="00BE7F4F"/>
    <w:rsid w:val="00BF0AF9"/>
    <w:rsid w:val="00BF0C88"/>
    <w:rsid w:val="00BF1209"/>
    <w:rsid w:val="00BF165D"/>
    <w:rsid w:val="00BF17AD"/>
    <w:rsid w:val="00BF2187"/>
    <w:rsid w:val="00BF25E5"/>
    <w:rsid w:val="00BF3365"/>
    <w:rsid w:val="00BF3AD6"/>
    <w:rsid w:val="00BF3B97"/>
    <w:rsid w:val="00BF40DA"/>
    <w:rsid w:val="00BF4F4B"/>
    <w:rsid w:val="00BF53D3"/>
    <w:rsid w:val="00BF5860"/>
    <w:rsid w:val="00BF58D3"/>
    <w:rsid w:val="00BF63E7"/>
    <w:rsid w:val="00BF6953"/>
    <w:rsid w:val="00BF7295"/>
    <w:rsid w:val="00BF77DF"/>
    <w:rsid w:val="00C0023C"/>
    <w:rsid w:val="00C002F8"/>
    <w:rsid w:val="00C00599"/>
    <w:rsid w:val="00C00CA4"/>
    <w:rsid w:val="00C00EA3"/>
    <w:rsid w:val="00C028D2"/>
    <w:rsid w:val="00C02B0A"/>
    <w:rsid w:val="00C02C5A"/>
    <w:rsid w:val="00C02E9A"/>
    <w:rsid w:val="00C03002"/>
    <w:rsid w:val="00C0314B"/>
    <w:rsid w:val="00C037F2"/>
    <w:rsid w:val="00C039D2"/>
    <w:rsid w:val="00C03DB6"/>
    <w:rsid w:val="00C0584C"/>
    <w:rsid w:val="00C05932"/>
    <w:rsid w:val="00C05A56"/>
    <w:rsid w:val="00C073D8"/>
    <w:rsid w:val="00C07623"/>
    <w:rsid w:val="00C07909"/>
    <w:rsid w:val="00C07965"/>
    <w:rsid w:val="00C07B53"/>
    <w:rsid w:val="00C1031B"/>
    <w:rsid w:val="00C10DC9"/>
    <w:rsid w:val="00C11100"/>
    <w:rsid w:val="00C112BE"/>
    <w:rsid w:val="00C1181C"/>
    <w:rsid w:val="00C11F70"/>
    <w:rsid w:val="00C12341"/>
    <w:rsid w:val="00C12793"/>
    <w:rsid w:val="00C13338"/>
    <w:rsid w:val="00C1384A"/>
    <w:rsid w:val="00C13BCB"/>
    <w:rsid w:val="00C1404D"/>
    <w:rsid w:val="00C14228"/>
    <w:rsid w:val="00C1432A"/>
    <w:rsid w:val="00C14FA1"/>
    <w:rsid w:val="00C15F41"/>
    <w:rsid w:val="00C166DF"/>
    <w:rsid w:val="00C166F3"/>
    <w:rsid w:val="00C16C18"/>
    <w:rsid w:val="00C16DF7"/>
    <w:rsid w:val="00C1787F"/>
    <w:rsid w:val="00C20139"/>
    <w:rsid w:val="00C20282"/>
    <w:rsid w:val="00C20D8B"/>
    <w:rsid w:val="00C217F5"/>
    <w:rsid w:val="00C21B2F"/>
    <w:rsid w:val="00C21E9D"/>
    <w:rsid w:val="00C21F7E"/>
    <w:rsid w:val="00C22291"/>
    <w:rsid w:val="00C2234E"/>
    <w:rsid w:val="00C22F67"/>
    <w:rsid w:val="00C232F2"/>
    <w:rsid w:val="00C23353"/>
    <w:rsid w:val="00C23B7E"/>
    <w:rsid w:val="00C23C28"/>
    <w:rsid w:val="00C23F00"/>
    <w:rsid w:val="00C24B44"/>
    <w:rsid w:val="00C24B6D"/>
    <w:rsid w:val="00C24CAC"/>
    <w:rsid w:val="00C24E55"/>
    <w:rsid w:val="00C24F3F"/>
    <w:rsid w:val="00C254D8"/>
    <w:rsid w:val="00C27CB1"/>
    <w:rsid w:val="00C30BE0"/>
    <w:rsid w:val="00C30FC1"/>
    <w:rsid w:val="00C31553"/>
    <w:rsid w:val="00C31974"/>
    <w:rsid w:val="00C31C9C"/>
    <w:rsid w:val="00C32144"/>
    <w:rsid w:val="00C32922"/>
    <w:rsid w:val="00C341BA"/>
    <w:rsid w:val="00C348B6"/>
    <w:rsid w:val="00C34AFA"/>
    <w:rsid w:val="00C34C82"/>
    <w:rsid w:val="00C3504B"/>
    <w:rsid w:val="00C35E45"/>
    <w:rsid w:val="00C3649D"/>
    <w:rsid w:val="00C37293"/>
    <w:rsid w:val="00C37405"/>
    <w:rsid w:val="00C37564"/>
    <w:rsid w:val="00C37A5F"/>
    <w:rsid w:val="00C40026"/>
    <w:rsid w:val="00C400BF"/>
    <w:rsid w:val="00C4034B"/>
    <w:rsid w:val="00C403CB"/>
    <w:rsid w:val="00C40B99"/>
    <w:rsid w:val="00C40C2C"/>
    <w:rsid w:val="00C4228B"/>
    <w:rsid w:val="00C4235A"/>
    <w:rsid w:val="00C42BA3"/>
    <w:rsid w:val="00C42D38"/>
    <w:rsid w:val="00C44CDE"/>
    <w:rsid w:val="00C44F53"/>
    <w:rsid w:val="00C45384"/>
    <w:rsid w:val="00C45854"/>
    <w:rsid w:val="00C46006"/>
    <w:rsid w:val="00C461FF"/>
    <w:rsid w:val="00C46A6A"/>
    <w:rsid w:val="00C46C89"/>
    <w:rsid w:val="00C46FD2"/>
    <w:rsid w:val="00C4794D"/>
    <w:rsid w:val="00C47ACF"/>
    <w:rsid w:val="00C47B07"/>
    <w:rsid w:val="00C5132D"/>
    <w:rsid w:val="00C51E66"/>
    <w:rsid w:val="00C523F7"/>
    <w:rsid w:val="00C55744"/>
    <w:rsid w:val="00C55A93"/>
    <w:rsid w:val="00C56C73"/>
    <w:rsid w:val="00C579A3"/>
    <w:rsid w:val="00C60370"/>
    <w:rsid w:val="00C60A1A"/>
    <w:rsid w:val="00C61301"/>
    <w:rsid w:val="00C61462"/>
    <w:rsid w:val="00C615C9"/>
    <w:rsid w:val="00C61901"/>
    <w:rsid w:val="00C61AC1"/>
    <w:rsid w:val="00C62180"/>
    <w:rsid w:val="00C627A4"/>
    <w:rsid w:val="00C62C92"/>
    <w:rsid w:val="00C63525"/>
    <w:rsid w:val="00C63CC1"/>
    <w:rsid w:val="00C63DC3"/>
    <w:rsid w:val="00C647E1"/>
    <w:rsid w:val="00C64A5E"/>
    <w:rsid w:val="00C64C90"/>
    <w:rsid w:val="00C657F1"/>
    <w:rsid w:val="00C65875"/>
    <w:rsid w:val="00C66232"/>
    <w:rsid w:val="00C72A75"/>
    <w:rsid w:val="00C72B2D"/>
    <w:rsid w:val="00C73813"/>
    <w:rsid w:val="00C746BC"/>
    <w:rsid w:val="00C75088"/>
    <w:rsid w:val="00C75D86"/>
    <w:rsid w:val="00C75F2F"/>
    <w:rsid w:val="00C7623F"/>
    <w:rsid w:val="00C763A1"/>
    <w:rsid w:val="00C77593"/>
    <w:rsid w:val="00C777A2"/>
    <w:rsid w:val="00C77BAC"/>
    <w:rsid w:val="00C77D3C"/>
    <w:rsid w:val="00C803E9"/>
    <w:rsid w:val="00C803FF"/>
    <w:rsid w:val="00C812A1"/>
    <w:rsid w:val="00C81894"/>
    <w:rsid w:val="00C81EC5"/>
    <w:rsid w:val="00C82397"/>
    <w:rsid w:val="00C825AD"/>
    <w:rsid w:val="00C82829"/>
    <w:rsid w:val="00C82B3F"/>
    <w:rsid w:val="00C83097"/>
    <w:rsid w:val="00C830FA"/>
    <w:rsid w:val="00C8337D"/>
    <w:rsid w:val="00C83797"/>
    <w:rsid w:val="00C83DBE"/>
    <w:rsid w:val="00C8401D"/>
    <w:rsid w:val="00C84080"/>
    <w:rsid w:val="00C84A81"/>
    <w:rsid w:val="00C84DB3"/>
    <w:rsid w:val="00C853BF"/>
    <w:rsid w:val="00C85E8F"/>
    <w:rsid w:val="00C86576"/>
    <w:rsid w:val="00C8658A"/>
    <w:rsid w:val="00C86F14"/>
    <w:rsid w:val="00C87D30"/>
    <w:rsid w:val="00C87E0F"/>
    <w:rsid w:val="00C9021E"/>
    <w:rsid w:val="00C90C7A"/>
    <w:rsid w:val="00C91481"/>
    <w:rsid w:val="00C91ADA"/>
    <w:rsid w:val="00C92433"/>
    <w:rsid w:val="00C9256E"/>
    <w:rsid w:val="00C926A9"/>
    <w:rsid w:val="00C93788"/>
    <w:rsid w:val="00C94435"/>
    <w:rsid w:val="00C94670"/>
    <w:rsid w:val="00C955C4"/>
    <w:rsid w:val="00C95BE7"/>
    <w:rsid w:val="00C96B7C"/>
    <w:rsid w:val="00C970B2"/>
    <w:rsid w:val="00C974D0"/>
    <w:rsid w:val="00C97750"/>
    <w:rsid w:val="00C97A0F"/>
    <w:rsid w:val="00CA0505"/>
    <w:rsid w:val="00CA0A1A"/>
    <w:rsid w:val="00CA0E2A"/>
    <w:rsid w:val="00CA1385"/>
    <w:rsid w:val="00CA13D9"/>
    <w:rsid w:val="00CA1F03"/>
    <w:rsid w:val="00CA1FF6"/>
    <w:rsid w:val="00CA2A07"/>
    <w:rsid w:val="00CA2D05"/>
    <w:rsid w:val="00CA3231"/>
    <w:rsid w:val="00CA343B"/>
    <w:rsid w:val="00CA365D"/>
    <w:rsid w:val="00CA40BB"/>
    <w:rsid w:val="00CA445A"/>
    <w:rsid w:val="00CA4575"/>
    <w:rsid w:val="00CA4BB8"/>
    <w:rsid w:val="00CA625E"/>
    <w:rsid w:val="00CA6888"/>
    <w:rsid w:val="00CA71F6"/>
    <w:rsid w:val="00CA7462"/>
    <w:rsid w:val="00CA7B82"/>
    <w:rsid w:val="00CB1488"/>
    <w:rsid w:val="00CB1650"/>
    <w:rsid w:val="00CB2AAD"/>
    <w:rsid w:val="00CB2D56"/>
    <w:rsid w:val="00CB41F6"/>
    <w:rsid w:val="00CB4782"/>
    <w:rsid w:val="00CB521D"/>
    <w:rsid w:val="00CB6527"/>
    <w:rsid w:val="00CB7E46"/>
    <w:rsid w:val="00CC005F"/>
    <w:rsid w:val="00CC0E70"/>
    <w:rsid w:val="00CC10DA"/>
    <w:rsid w:val="00CC1EC7"/>
    <w:rsid w:val="00CC21DD"/>
    <w:rsid w:val="00CC228A"/>
    <w:rsid w:val="00CC2C08"/>
    <w:rsid w:val="00CC3274"/>
    <w:rsid w:val="00CC349D"/>
    <w:rsid w:val="00CC3A7F"/>
    <w:rsid w:val="00CC4089"/>
    <w:rsid w:val="00CC42DC"/>
    <w:rsid w:val="00CC528B"/>
    <w:rsid w:val="00CC5FCB"/>
    <w:rsid w:val="00CC6112"/>
    <w:rsid w:val="00CC6C7C"/>
    <w:rsid w:val="00CC7311"/>
    <w:rsid w:val="00CC74F7"/>
    <w:rsid w:val="00CC753E"/>
    <w:rsid w:val="00CC76BD"/>
    <w:rsid w:val="00CD0099"/>
    <w:rsid w:val="00CD00E4"/>
    <w:rsid w:val="00CD0FD8"/>
    <w:rsid w:val="00CD10A6"/>
    <w:rsid w:val="00CD1460"/>
    <w:rsid w:val="00CD1743"/>
    <w:rsid w:val="00CD1B0A"/>
    <w:rsid w:val="00CD27A3"/>
    <w:rsid w:val="00CD2E32"/>
    <w:rsid w:val="00CD313D"/>
    <w:rsid w:val="00CD3579"/>
    <w:rsid w:val="00CD3B7B"/>
    <w:rsid w:val="00CD42C6"/>
    <w:rsid w:val="00CD48BD"/>
    <w:rsid w:val="00CD511D"/>
    <w:rsid w:val="00CD5B99"/>
    <w:rsid w:val="00CD624D"/>
    <w:rsid w:val="00CD6812"/>
    <w:rsid w:val="00CD6E91"/>
    <w:rsid w:val="00CD6F96"/>
    <w:rsid w:val="00CD6FA8"/>
    <w:rsid w:val="00CD719C"/>
    <w:rsid w:val="00CD73EB"/>
    <w:rsid w:val="00CD75DF"/>
    <w:rsid w:val="00CD7629"/>
    <w:rsid w:val="00CD78E7"/>
    <w:rsid w:val="00CE027F"/>
    <w:rsid w:val="00CE1532"/>
    <w:rsid w:val="00CE3424"/>
    <w:rsid w:val="00CE3AD8"/>
    <w:rsid w:val="00CE4461"/>
    <w:rsid w:val="00CE4EC4"/>
    <w:rsid w:val="00CE4F34"/>
    <w:rsid w:val="00CE5000"/>
    <w:rsid w:val="00CE5BB3"/>
    <w:rsid w:val="00CE5C96"/>
    <w:rsid w:val="00CE5E94"/>
    <w:rsid w:val="00CE5FF7"/>
    <w:rsid w:val="00CE6163"/>
    <w:rsid w:val="00CE6AE5"/>
    <w:rsid w:val="00CE6BCF"/>
    <w:rsid w:val="00CE6D31"/>
    <w:rsid w:val="00CE75C8"/>
    <w:rsid w:val="00CE79E0"/>
    <w:rsid w:val="00CE7E3E"/>
    <w:rsid w:val="00CE7FAD"/>
    <w:rsid w:val="00CF046B"/>
    <w:rsid w:val="00CF0B10"/>
    <w:rsid w:val="00CF214E"/>
    <w:rsid w:val="00CF2350"/>
    <w:rsid w:val="00CF264A"/>
    <w:rsid w:val="00CF2AE0"/>
    <w:rsid w:val="00CF3630"/>
    <w:rsid w:val="00CF374D"/>
    <w:rsid w:val="00CF4F68"/>
    <w:rsid w:val="00CF5356"/>
    <w:rsid w:val="00CF6236"/>
    <w:rsid w:val="00CF6767"/>
    <w:rsid w:val="00CF7860"/>
    <w:rsid w:val="00CF7D32"/>
    <w:rsid w:val="00D00652"/>
    <w:rsid w:val="00D008CF"/>
    <w:rsid w:val="00D01640"/>
    <w:rsid w:val="00D01A09"/>
    <w:rsid w:val="00D01DF0"/>
    <w:rsid w:val="00D01EA8"/>
    <w:rsid w:val="00D0281C"/>
    <w:rsid w:val="00D035FC"/>
    <w:rsid w:val="00D03885"/>
    <w:rsid w:val="00D03C7D"/>
    <w:rsid w:val="00D03DB6"/>
    <w:rsid w:val="00D05006"/>
    <w:rsid w:val="00D077A8"/>
    <w:rsid w:val="00D10078"/>
    <w:rsid w:val="00D10533"/>
    <w:rsid w:val="00D10A36"/>
    <w:rsid w:val="00D1269B"/>
    <w:rsid w:val="00D133E6"/>
    <w:rsid w:val="00D133EA"/>
    <w:rsid w:val="00D13DD4"/>
    <w:rsid w:val="00D168C1"/>
    <w:rsid w:val="00D16971"/>
    <w:rsid w:val="00D16C53"/>
    <w:rsid w:val="00D16E73"/>
    <w:rsid w:val="00D16ED5"/>
    <w:rsid w:val="00D17058"/>
    <w:rsid w:val="00D170EF"/>
    <w:rsid w:val="00D175F9"/>
    <w:rsid w:val="00D17893"/>
    <w:rsid w:val="00D1795C"/>
    <w:rsid w:val="00D17AD8"/>
    <w:rsid w:val="00D17B37"/>
    <w:rsid w:val="00D207BF"/>
    <w:rsid w:val="00D215C1"/>
    <w:rsid w:val="00D21946"/>
    <w:rsid w:val="00D22733"/>
    <w:rsid w:val="00D22952"/>
    <w:rsid w:val="00D22D25"/>
    <w:rsid w:val="00D239FC"/>
    <w:rsid w:val="00D23E7B"/>
    <w:rsid w:val="00D2469E"/>
    <w:rsid w:val="00D248D8"/>
    <w:rsid w:val="00D24A88"/>
    <w:rsid w:val="00D24D4B"/>
    <w:rsid w:val="00D2524A"/>
    <w:rsid w:val="00D26F4F"/>
    <w:rsid w:val="00D2724E"/>
    <w:rsid w:val="00D273C4"/>
    <w:rsid w:val="00D27714"/>
    <w:rsid w:val="00D27E4F"/>
    <w:rsid w:val="00D27EB7"/>
    <w:rsid w:val="00D30095"/>
    <w:rsid w:val="00D306E7"/>
    <w:rsid w:val="00D312AC"/>
    <w:rsid w:val="00D312F6"/>
    <w:rsid w:val="00D31375"/>
    <w:rsid w:val="00D32139"/>
    <w:rsid w:val="00D32550"/>
    <w:rsid w:val="00D32CF1"/>
    <w:rsid w:val="00D32FD7"/>
    <w:rsid w:val="00D3338A"/>
    <w:rsid w:val="00D33505"/>
    <w:rsid w:val="00D336FF"/>
    <w:rsid w:val="00D33B1A"/>
    <w:rsid w:val="00D341D0"/>
    <w:rsid w:val="00D3455C"/>
    <w:rsid w:val="00D34738"/>
    <w:rsid w:val="00D349EA"/>
    <w:rsid w:val="00D34B88"/>
    <w:rsid w:val="00D34CF4"/>
    <w:rsid w:val="00D350A0"/>
    <w:rsid w:val="00D3590A"/>
    <w:rsid w:val="00D35FEE"/>
    <w:rsid w:val="00D379B0"/>
    <w:rsid w:val="00D4015E"/>
    <w:rsid w:val="00D401C4"/>
    <w:rsid w:val="00D4118A"/>
    <w:rsid w:val="00D41935"/>
    <w:rsid w:val="00D4261D"/>
    <w:rsid w:val="00D43084"/>
    <w:rsid w:val="00D4344E"/>
    <w:rsid w:val="00D435AD"/>
    <w:rsid w:val="00D436FD"/>
    <w:rsid w:val="00D437BD"/>
    <w:rsid w:val="00D46860"/>
    <w:rsid w:val="00D46A1B"/>
    <w:rsid w:val="00D46A7A"/>
    <w:rsid w:val="00D47C46"/>
    <w:rsid w:val="00D47C62"/>
    <w:rsid w:val="00D507B2"/>
    <w:rsid w:val="00D51566"/>
    <w:rsid w:val="00D519CD"/>
    <w:rsid w:val="00D51A1E"/>
    <w:rsid w:val="00D51CD1"/>
    <w:rsid w:val="00D51CF7"/>
    <w:rsid w:val="00D51E4D"/>
    <w:rsid w:val="00D52A1D"/>
    <w:rsid w:val="00D52AE2"/>
    <w:rsid w:val="00D52F33"/>
    <w:rsid w:val="00D54C75"/>
    <w:rsid w:val="00D5501C"/>
    <w:rsid w:val="00D5507D"/>
    <w:rsid w:val="00D55227"/>
    <w:rsid w:val="00D55516"/>
    <w:rsid w:val="00D555C6"/>
    <w:rsid w:val="00D55E8A"/>
    <w:rsid w:val="00D55EF3"/>
    <w:rsid w:val="00D5604E"/>
    <w:rsid w:val="00D56517"/>
    <w:rsid w:val="00D566C4"/>
    <w:rsid w:val="00D56927"/>
    <w:rsid w:val="00D57416"/>
    <w:rsid w:val="00D57AAA"/>
    <w:rsid w:val="00D57C6B"/>
    <w:rsid w:val="00D613E2"/>
    <w:rsid w:val="00D616F8"/>
    <w:rsid w:val="00D62108"/>
    <w:rsid w:val="00D627D0"/>
    <w:rsid w:val="00D6320F"/>
    <w:rsid w:val="00D63358"/>
    <w:rsid w:val="00D634E8"/>
    <w:rsid w:val="00D6394A"/>
    <w:rsid w:val="00D641B3"/>
    <w:rsid w:val="00D654D5"/>
    <w:rsid w:val="00D65DFF"/>
    <w:rsid w:val="00D66354"/>
    <w:rsid w:val="00D666B8"/>
    <w:rsid w:val="00D66A4D"/>
    <w:rsid w:val="00D675DE"/>
    <w:rsid w:val="00D67910"/>
    <w:rsid w:val="00D679F9"/>
    <w:rsid w:val="00D67BC3"/>
    <w:rsid w:val="00D70055"/>
    <w:rsid w:val="00D702F3"/>
    <w:rsid w:val="00D712B5"/>
    <w:rsid w:val="00D7145E"/>
    <w:rsid w:val="00D71E92"/>
    <w:rsid w:val="00D7205B"/>
    <w:rsid w:val="00D73492"/>
    <w:rsid w:val="00D73495"/>
    <w:rsid w:val="00D73A86"/>
    <w:rsid w:val="00D73E23"/>
    <w:rsid w:val="00D74959"/>
    <w:rsid w:val="00D74BA8"/>
    <w:rsid w:val="00D750FB"/>
    <w:rsid w:val="00D76330"/>
    <w:rsid w:val="00D77251"/>
    <w:rsid w:val="00D7771B"/>
    <w:rsid w:val="00D77F89"/>
    <w:rsid w:val="00D8078B"/>
    <w:rsid w:val="00D810F8"/>
    <w:rsid w:val="00D81A9F"/>
    <w:rsid w:val="00D82557"/>
    <w:rsid w:val="00D827F4"/>
    <w:rsid w:val="00D83773"/>
    <w:rsid w:val="00D83849"/>
    <w:rsid w:val="00D84623"/>
    <w:rsid w:val="00D84704"/>
    <w:rsid w:val="00D85270"/>
    <w:rsid w:val="00D855C7"/>
    <w:rsid w:val="00D85E00"/>
    <w:rsid w:val="00D8626E"/>
    <w:rsid w:val="00D86335"/>
    <w:rsid w:val="00D8644E"/>
    <w:rsid w:val="00D865E8"/>
    <w:rsid w:val="00D87458"/>
    <w:rsid w:val="00D8771B"/>
    <w:rsid w:val="00D90013"/>
    <w:rsid w:val="00D90260"/>
    <w:rsid w:val="00D90C6C"/>
    <w:rsid w:val="00D90E80"/>
    <w:rsid w:val="00D910F8"/>
    <w:rsid w:val="00D9181F"/>
    <w:rsid w:val="00D91D5A"/>
    <w:rsid w:val="00D91D5B"/>
    <w:rsid w:val="00D91EE5"/>
    <w:rsid w:val="00D920F5"/>
    <w:rsid w:val="00D92DE0"/>
    <w:rsid w:val="00D93165"/>
    <w:rsid w:val="00D94315"/>
    <w:rsid w:val="00D94546"/>
    <w:rsid w:val="00D950C9"/>
    <w:rsid w:val="00D95CD8"/>
    <w:rsid w:val="00D95E08"/>
    <w:rsid w:val="00D9652E"/>
    <w:rsid w:val="00D97620"/>
    <w:rsid w:val="00D97E52"/>
    <w:rsid w:val="00DA04FA"/>
    <w:rsid w:val="00DA08DB"/>
    <w:rsid w:val="00DA1839"/>
    <w:rsid w:val="00DA192C"/>
    <w:rsid w:val="00DA1B19"/>
    <w:rsid w:val="00DA1C21"/>
    <w:rsid w:val="00DA27E3"/>
    <w:rsid w:val="00DA296D"/>
    <w:rsid w:val="00DA2BEF"/>
    <w:rsid w:val="00DA2C08"/>
    <w:rsid w:val="00DA382B"/>
    <w:rsid w:val="00DA4209"/>
    <w:rsid w:val="00DA5672"/>
    <w:rsid w:val="00DA616F"/>
    <w:rsid w:val="00DA7069"/>
    <w:rsid w:val="00DA735C"/>
    <w:rsid w:val="00DA7371"/>
    <w:rsid w:val="00DB0202"/>
    <w:rsid w:val="00DB06A8"/>
    <w:rsid w:val="00DB10E1"/>
    <w:rsid w:val="00DB1267"/>
    <w:rsid w:val="00DB1CEF"/>
    <w:rsid w:val="00DB1F7F"/>
    <w:rsid w:val="00DB20B3"/>
    <w:rsid w:val="00DB2C0E"/>
    <w:rsid w:val="00DB30CC"/>
    <w:rsid w:val="00DB3832"/>
    <w:rsid w:val="00DB4619"/>
    <w:rsid w:val="00DB496C"/>
    <w:rsid w:val="00DB4E70"/>
    <w:rsid w:val="00DB548A"/>
    <w:rsid w:val="00DB5A8F"/>
    <w:rsid w:val="00DB60B8"/>
    <w:rsid w:val="00DB6F7E"/>
    <w:rsid w:val="00DB7A23"/>
    <w:rsid w:val="00DB7B26"/>
    <w:rsid w:val="00DB7E2F"/>
    <w:rsid w:val="00DB7EB7"/>
    <w:rsid w:val="00DC04FE"/>
    <w:rsid w:val="00DC05CC"/>
    <w:rsid w:val="00DC12BD"/>
    <w:rsid w:val="00DC157A"/>
    <w:rsid w:val="00DC15E4"/>
    <w:rsid w:val="00DC1925"/>
    <w:rsid w:val="00DC1D08"/>
    <w:rsid w:val="00DC1D86"/>
    <w:rsid w:val="00DC2081"/>
    <w:rsid w:val="00DC210F"/>
    <w:rsid w:val="00DC262A"/>
    <w:rsid w:val="00DC272E"/>
    <w:rsid w:val="00DC29AA"/>
    <w:rsid w:val="00DC2BAE"/>
    <w:rsid w:val="00DC2C20"/>
    <w:rsid w:val="00DC2C76"/>
    <w:rsid w:val="00DC2E87"/>
    <w:rsid w:val="00DC34D2"/>
    <w:rsid w:val="00DC3FB1"/>
    <w:rsid w:val="00DC58EC"/>
    <w:rsid w:val="00DC60C4"/>
    <w:rsid w:val="00DC71D4"/>
    <w:rsid w:val="00DD09EB"/>
    <w:rsid w:val="00DD0BC5"/>
    <w:rsid w:val="00DD0C5C"/>
    <w:rsid w:val="00DD0C7A"/>
    <w:rsid w:val="00DD1133"/>
    <w:rsid w:val="00DD1392"/>
    <w:rsid w:val="00DD1F46"/>
    <w:rsid w:val="00DD219C"/>
    <w:rsid w:val="00DD2242"/>
    <w:rsid w:val="00DD22B1"/>
    <w:rsid w:val="00DD2759"/>
    <w:rsid w:val="00DD2C6A"/>
    <w:rsid w:val="00DD2D57"/>
    <w:rsid w:val="00DD3724"/>
    <w:rsid w:val="00DD42E7"/>
    <w:rsid w:val="00DD55F3"/>
    <w:rsid w:val="00DD5AD8"/>
    <w:rsid w:val="00DD5BC6"/>
    <w:rsid w:val="00DD5F8F"/>
    <w:rsid w:val="00DD6203"/>
    <w:rsid w:val="00DD6A1B"/>
    <w:rsid w:val="00DD71EF"/>
    <w:rsid w:val="00DD741F"/>
    <w:rsid w:val="00DE004D"/>
    <w:rsid w:val="00DE0237"/>
    <w:rsid w:val="00DE0418"/>
    <w:rsid w:val="00DE0466"/>
    <w:rsid w:val="00DE06CB"/>
    <w:rsid w:val="00DE2FEA"/>
    <w:rsid w:val="00DE3087"/>
    <w:rsid w:val="00DE3118"/>
    <w:rsid w:val="00DE3B35"/>
    <w:rsid w:val="00DE3ECC"/>
    <w:rsid w:val="00DE421A"/>
    <w:rsid w:val="00DE4A3F"/>
    <w:rsid w:val="00DE4F85"/>
    <w:rsid w:val="00DE5841"/>
    <w:rsid w:val="00DE5CD8"/>
    <w:rsid w:val="00DE69C3"/>
    <w:rsid w:val="00DE6ADC"/>
    <w:rsid w:val="00DE72CC"/>
    <w:rsid w:val="00DE73DB"/>
    <w:rsid w:val="00DE78D9"/>
    <w:rsid w:val="00DE7D05"/>
    <w:rsid w:val="00DF01C9"/>
    <w:rsid w:val="00DF0D3E"/>
    <w:rsid w:val="00DF13C4"/>
    <w:rsid w:val="00DF1DF2"/>
    <w:rsid w:val="00DF2361"/>
    <w:rsid w:val="00DF2CC9"/>
    <w:rsid w:val="00DF337C"/>
    <w:rsid w:val="00DF3B1B"/>
    <w:rsid w:val="00DF3F88"/>
    <w:rsid w:val="00DF434C"/>
    <w:rsid w:val="00DF4765"/>
    <w:rsid w:val="00DF5AD5"/>
    <w:rsid w:val="00DF5C24"/>
    <w:rsid w:val="00DF6DA1"/>
    <w:rsid w:val="00DF71E1"/>
    <w:rsid w:val="00E007BE"/>
    <w:rsid w:val="00E01035"/>
    <w:rsid w:val="00E01100"/>
    <w:rsid w:val="00E01220"/>
    <w:rsid w:val="00E012B4"/>
    <w:rsid w:val="00E02353"/>
    <w:rsid w:val="00E02A83"/>
    <w:rsid w:val="00E02AD6"/>
    <w:rsid w:val="00E02F81"/>
    <w:rsid w:val="00E03FD7"/>
    <w:rsid w:val="00E04367"/>
    <w:rsid w:val="00E0444D"/>
    <w:rsid w:val="00E04C28"/>
    <w:rsid w:val="00E04C96"/>
    <w:rsid w:val="00E04E16"/>
    <w:rsid w:val="00E05993"/>
    <w:rsid w:val="00E06FFE"/>
    <w:rsid w:val="00E07563"/>
    <w:rsid w:val="00E07752"/>
    <w:rsid w:val="00E07D36"/>
    <w:rsid w:val="00E109C8"/>
    <w:rsid w:val="00E10B84"/>
    <w:rsid w:val="00E11186"/>
    <w:rsid w:val="00E11315"/>
    <w:rsid w:val="00E12094"/>
    <w:rsid w:val="00E130C3"/>
    <w:rsid w:val="00E131C9"/>
    <w:rsid w:val="00E13AFF"/>
    <w:rsid w:val="00E13DBE"/>
    <w:rsid w:val="00E13F93"/>
    <w:rsid w:val="00E14B50"/>
    <w:rsid w:val="00E14E49"/>
    <w:rsid w:val="00E1509B"/>
    <w:rsid w:val="00E161B4"/>
    <w:rsid w:val="00E166E6"/>
    <w:rsid w:val="00E16979"/>
    <w:rsid w:val="00E16A86"/>
    <w:rsid w:val="00E16AB6"/>
    <w:rsid w:val="00E17B5F"/>
    <w:rsid w:val="00E17BEE"/>
    <w:rsid w:val="00E17C97"/>
    <w:rsid w:val="00E20EA4"/>
    <w:rsid w:val="00E20FFC"/>
    <w:rsid w:val="00E21B0A"/>
    <w:rsid w:val="00E2205C"/>
    <w:rsid w:val="00E22CCE"/>
    <w:rsid w:val="00E22E0D"/>
    <w:rsid w:val="00E23F80"/>
    <w:rsid w:val="00E2433E"/>
    <w:rsid w:val="00E24A1D"/>
    <w:rsid w:val="00E24D7E"/>
    <w:rsid w:val="00E24D81"/>
    <w:rsid w:val="00E25277"/>
    <w:rsid w:val="00E2543F"/>
    <w:rsid w:val="00E25E0B"/>
    <w:rsid w:val="00E263D0"/>
    <w:rsid w:val="00E271FE"/>
    <w:rsid w:val="00E2747E"/>
    <w:rsid w:val="00E27C21"/>
    <w:rsid w:val="00E30F50"/>
    <w:rsid w:val="00E31267"/>
    <w:rsid w:val="00E313B8"/>
    <w:rsid w:val="00E31B1A"/>
    <w:rsid w:val="00E320F7"/>
    <w:rsid w:val="00E32EE7"/>
    <w:rsid w:val="00E33DA0"/>
    <w:rsid w:val="00E34A76"/>
    <w:rsid w:val="00E34D3C"/>
    <w:rsid w:val="00E350D4"/>
    <w:rsid w:val="00E36042"/>
    <w:rsid w:val="00E36457"/>
    <w:rsid w:val="00E364C9"/>
    <w:rsid w:val="00E36C51"/>
    <w:rsid w:val="00E37645"/>
    <w:rsid w:val="00E37963"/>
    <w:rsid w:val="00E37DF2"/>
    <w:rsid w:val="00E408F5"/>
    <w:rsid w:val="00E40A1E"/>
    <w:rsid w:val="00E41C7F"/>
    <w:rsid w:val="00E429F0"/>
    <w:rsid w:val="00E42E11"/>
    <w:rsid w:val="00E42F73"/>
    <w:rsid w:val="00E431B1"/>
    <w:rsid w:val="00E4380A"/>
    <w:rsid w:val="00E43A45"/>
    <w:rsid w:val="00E43E1D"/>
    <w:rsid w:val="00E4426A"/>
    <w:rsid w:val="00E44613"/>
    <w:rsid w:val="00E4574D"/>
    <w:rsid w:val="00E46458"/>
    <w:rsid w:val="00E46861"/>
    <w:rsid w:val="00E4782A"/>
    <w:rsid w:val="00E47EB4"/>
    <w:rsid w:val="00E50255"/>
    <w:rsid w:val="00E50431"/>
    <w:rsid w:val="00E50925"/>
    <w:rsid w:val="00E5094A"/>
    <w:rsid w:val="00E51E1B"/>
    <w:rsid w:val="00E524DA"/>
    <w:rsid w:val="00E52763"/>
    <w:rsid w:val="00E52DAC"/>
    <w:rsid w:val="00E53994"/>
    <w:rsid w:val="00E53DBA"/>
    <w:rsid w:val="00E53EFE"/>
    <w:rsid w:val="00E541C1"/>
    <w:rsid w:val="00E54210"/>
    <w:rsid w:val="00E54537"/>
    <w:rsid w:val="00E54713"/>
    <w:rsid w:val="00E55515"/>
    <w:rsid w:val="00E55FB8"/>
    <w:rsid w:val="00E55FD5"/>
    <w:rsid w:val="00E56291"/>
    <w:rsid w:val="00E5686F"/>
    <w:rsid w:val="00E56F78"/>
    <w:rsid w:val="00E577B7"/>
    <w:rsid w:val="00E57BAA"/>
    <w:rsid w:val="00E60CDF"/>
    <w:rsid w:val="00E622C4"/>
    <w:rsid w:val="00E624C5"/>
    <w:rsid w:val="00E62B22"/>
    <w:rsid w:val="00E630B4"/>
    <w:rsid w:val="00E631AB"/>
    <w:rsid w:val="00E63D16"/>
    <w:rsid w:val="00E65581"/>
    <w:rsid w:val="00E65860"/>
    <w:rsid w:val="00E65BDC"/>
    <w:rsid w:val="00E66D34"/>
    <w:rsid w:val="00E67099"/>
    <w:rsid w:val="00E670D7"/>
    <w:rsid w:val="00E675ED"/>
    <w:rsid w:val="00E67704"/>
    <w:rsid w:val="00E700CA"/>
    <w:rsid w:val="00E70138"/>
    <w:rsid w:val="00E70316"/>
    <w:rsid w:val="00E70E24"/>
    <w:rsid w:val="00E70E9C"/>
    <w:rsid w:val="00E7154F"/>
    <w:rsid w:val="00E71818"/>
    <w:rsid w:val="00E718E6"/>
    <w:rsid w:val="00E71F88"/>
    <w:rsid w:val="00E72B54"/>
    <w:rsid w:val="00E72C03"/>
    <w:rsid w:val="00E734ED"/>
    <w:rsid w:val="00E73750"/>
    <w:rsid w:val="00E74115"/>
    <w:rsid w:val="00E741CB"/>
    <w:rsid w:val="00E749B0"/>
    <w:rsid w:val="00E74F5F"/>
    <w:rsid w:val="00E762F5"/>
    <w:rsid w:val="00E7780D"/>
    <w:rsid w:val="00E77C64"/>
    <w:rsid w:val="00E80669"/>
    <w:rsid w:val="00E809B0"/>
    <w:rsid w:val="00E80DA7"/>
    <w:rsid w:val="00E811C9"/>
    <w:rsid w:val="00E81E8E"/>
    <w:rsid w:val="00E829A8"/>
    <w:rsid w:val="00E82D43"/>
    <w:rsid w:val="00E83957"/>
    <w:rsid w:val="00E83B20"/>
    <w:rsid w:val="00E83FBD"/>
    <w:rsid w:val="00E850DA"/>
    <w:rsid w:val="00E852FF"/>
    <w:rsid w:val="00E8585B"/>
    <w:rsid w:val="00E86266"/>
    <w:rsid w:val="00E863E1"/>
    <w:rsid w:val="00E86CB7"/>
    <w:rsid w:val="00E86E2F"/>
    <w:rsid w:val="00E90026"/>
    <w:rsid w:val="00E90A3D"/>
    <w:rsid w:val="00E90CE1"/>
    <w:rsid w:val="00E90F9D"/>
    <w:rsid w:val="00E91C5B"/>
    <w:rsid w:val="00E91F12"/>
    <w:rsid w:val="00E920FD"/>
    <w:rsid w:val="00E9293A"/>
    <w:rsid w:val="00E92AA2"/>
    <w:rsid w:val="00E9313E"/>
    <w:rsid w:val="00E93C98"/>
    <w:rsid w:val="00E93D44"/>
    <w:rsid w:val="00E952C1"/>
    <w:rsid w:val="00E9641F"/>
    <w:rsid w:val="00E96A04"/>
    <w:rsid w:val="00E96F77"/>
    <w:rsid w:val="00EA0139"/>
    <w:rsid w:val="00EA0646"/>
    <w:rsid w:val="00EA0952"/>
    <w:rsid w:val="00EA0BF7"/>
    <w:rsid w:val="00EA140F"/>
    <w:rsid w:val="00EA1C23"/>
    <w:rsid w:val="00EA1CD5"/>
    <w:rsid w:val="00EA1E04"/>
    <w:rsid w:val="00EA2412"/>
    <w:rsid w:val="00EA2449"/>
    <w:rsid w:val="00EA352A"/>
    <w:rsid w:val="00EA3C09"/>
    <w:rsid w:val="00EA4525"/>
    <w:rsid w:val="00EA4704"/>
    <w:rsid w:val="00EA5266"/>
    <w:rsid w:val="00EA56E1"/>
    <w:rsid w:val="00EA6DF8"/>
    <w:rsid w:val="00EA78F5"/>
    <w:rsid w:val="00EA7933"/>
    <w:rsid w:val="00EB04A0"/>
    <w:rsid w:val="00EB1B9C"/>
    <w:rsid w:val="00EB21A9"/>
    <w:rsid w:val="00EB2616"/>
    <w:rsid w:val="00EB2FBF"/>
    <w:rsid w:val="00EB3735"/>
    <w:rsid w:val="00EB3801"/>
    <w:rsid w:val="00EB442A"/>
    <w:rsid w:val="00EB4C8B"/>
    <w:rsid w:val="00EB5871"/>
    <w:rsid w:val="00EB5EB6"/>
    <w:rsid w:val="00EB69CC"/>
    <w:rsid w:val="00EB6C19"/>
    <w:rsid w:val="00EB6D28"/>
    <w:rsid w:val="00EB76D1"/>
    <w:rsid w:val="00EB7A96"/>
    <w:rsid w:val="00EC0946"/>
    <w:rsid w:val="00EC0D75"/>
    <w:rsid w:val="00EC0FD0"/>
    <w:rsid w:val="00EC1016"/>
    <w:rsid w:val="00EC1045"/>
    <w:rsid w:val="00EC1431"/>
    <w:rsid w:val="00EC1A9A"/>
    <w:rsid w:val="00EC2B93"/>
    <w:rsid w:val="00EC2E0A"/>
    <w:rsid w:val="00EC389D"/>
    <w:rsid w:val="00EC3A33"/>
    <w:rsid w:val="00EC3D1E"/>
    <w:rsid w:val="00EC4005"/>
    <w:rsid w:val="00EC50DC"/>
    <w:rsid w:val="00EC5E30"/>
    <w:rsid w:val="00EC5E39"/>
    <w:rsid w:val="00EC6B22"/>
    <w:rsid w:val="00EC6D3D"/>
    <w:rsid w:val="00EC6FB3"/>
    <w:rsid w:val="00EC742D"/>
    <w:rsid w:val="00EC7CC2"/>
    <w:rsid w:val="00ED0748"/>
    <w:rsid w:val="00ED0845"/>
    <w:rsid w:val="00ED0AFF"/>
    <w:rsid w:val="00ED1775"/>
    <w:rsid w:val="00ED17FE"/>
    <w:rsid w:val="00ED2592"/>
    <w:rsid w:val="00ED2D7C"/>
    <w:rsid w:val="00ED2DBC"/>
    <w:rsid w:val="00ED3313"/>
    <w:rsid w:val="00ED3581"/>
    <w:rsid w:val="00ED38E0"/>
    <w:rsid w:val="00ED44F5"/>
    <w:rsid w:val="00ED45F3"/>
    <w:rsid w:val="00ED4A23"/>
    <w:rsid w:val="00ED4AC1"/>
    <w:rsid w:val="00ED4B0B"/>
    <w:rsid w:val="00ED4B30"/>
    <w:rsid w:val="00ED57E2"/>
    <w:rsid w:val="00ED711C"/>
    <w:rsid w:val="00ED7428"/>
    <w:rsid w:val="00ED7F7D"/>
    <w:rsid w:val="00EE10E2"/>
    <w:rsid w:val="00EE146F"/>
    <w:rsid w:val="00EE1A3E"/>
    <w:rsid w:val="00EE2346"/>
    <w:rsid w:val="00EE278D"/>
    <w:rsid w:val="00EE359A"/>
    <w:rsid w:val="00EE375B"/>
    <w:rsid w:val="00EE43A4"/>
    <w:rsid w:val="00EE45B3"/>
    <w:rsid w:val="00EE4748"/>
    <w:rsid w:val="00EE4FC3"/>
    <w:rsid w:val="00EE55BF"/>
    <w:rsid w:val="00EE5F62"/>
    <w:rsid w:val="00EE635C"/>
    <w:rsid w:val="00EE7153"/>
    <w:rsid w:val="00EE718E"/>
    <w:rsid w:val="00EE7279"/>
    <w:rsid w:val="00EE7AB4"/>
    <w:rsid w:val="00EE7C20"/>
    <w:rsid w:val="00EF0C64"/>
    <w:rsid w:val="00EF21B2"/>
    <w:rsid w:val="00EF3007"/>
    <w:rsid w:val="00EF3044"/>
    <w:rsid w:val="00EF326F"/>
    <w:rsid w:val="00EF36BA"/>
    <w:rsid w:val="00EF36EB"/>
    <w:rsid w:val="00EF49A0"/>
    <w:rsid w:val="00EF534A"/>
    <w:rsid w:val="00EF5DD3"/>
    <w:rsid w:val="00EF7101"/>
    <w:rsid w:val="00EF784A"/>
    <w:rsid w:val="00F000DF"/>
    <w:rsid w:val="00F00169"/>
    <w:rsid w:val="00F00EA2"/>
    <w:rsid w:val="00F021CB"/>
    <w:rsid w:val="00F02B2A"/>
    <w:rsid w:val="00F03039"/>
    <w:rsid w:val="00F03D54"/>
    <w:rsid w:val="00F04199"/>
    <w:rsid w:val="00F046F3"/>
    <w:rsid w:val="00F051B7"/>
    <w:rsid w:val="00F051E6"/>
    <w:rsid w:val="00F05CAC"/>
    <w:rsid w:val="00F05DCA"/>
    <w:rsid w:val="00F06031"/>
    <w:rsid w:val="00F061E6"/>
    <w:rsid w:val="00F10048"/>
    <w:rsid w:val="00F10854"/>
    <w:rsid w:val="00F11743"/>
    <w:rsid w:val="00F120F2"/>
    <w:rsid w:val="00F133A2"/>
    <w:rsid w:val="00F1385D"/>
    <w:rsid w:val="00F1387C"/>
    <w:rsid w:val="00F1404E"/>
    <w:rsid w:val="00F14820"/>
    <w:rsid w:val="00F14983"/>
    <w:rsid w:val="00F16209"/>
    <w:rsid w:val="00F1647C"/>
    <w:rsid w:val="00F16630"/>
    <w:rsid w:val="00F16DBC"/>
    <w:rsid w:val="00F170C4"/>
    <w:rsid w:val="00F1730E"/>
    <w:rsid w:val="00F17A8F"/>
    <w:rsid w:val="00F17F0E"/>
    <w:rsid w:val="00F20455"/>
    <w:rsid w:val="00F20D03"/>
    <w:rsid w:val="00F21074"/>
    <w:rsid w:val="00F2156F"/>
    <w:rsid w:val="00F21620"/>
    <w:rsid w:val="00F21663"/>
    <w:rsid w:val="00F21820"/>
    <w:rsid w:val="00F21BFB"/>
    <w:rsid w:val="00F21DCA"/>
    <w:rsid w:val="00F22740"/>
    <w:rsid w:val="00F22B35"/>
    <w:rsid w:val="00F23C28"/>
    <w:rsid w:val="00F23D18"/>
    <w:rsid w:val="00F23EF8"/>
    <w:rsid w:val="00F2460C"/>
    <w:rsid w:val="00F248B5"/>
    <w:rsid w:val="00F2495C"/>
    <w:rsid w:val="00F24AA7"/>
    <w:rsid w:val="00F252F4"/>
    <w:rsid w:val="00F257AF"/>
    <w:rsid w:val="00F26268"/>
    <w:rsid w:val="00F26D06"/>
    <w:rsid w:val="00F26E47"/>
    <w:rsid w:val="00F26FDB"/>
    <w:rsid w:val="00F27F63"/>
    <w:rsid w:val="00F305C5"/>
    <w:rsid w:val="00F30DCC"/>
    <w:rsid w:val="00F31215"/>
    <w:rsid w:val="00F317A5"/>
    <w:rsid w:val="00F31CA9"/>
    <w:rsid w:val="00F3274C"/>
    <w:rsid w:val="00F32AB0"/>
    <w:rsid w:val="00F32BFC"/>
    <w:rsid w:val="00F32EA8"/>
    <w:rsid w:val="00F332B0"/>
    <w:rsid w:val="00F33802"/>
    <w:rsid w:val="00F3418B"/>
    <w:rsid w:val="00F344C3"/>
    <w:rsid w:val="00F3483C"/>
    <w:rsid w:val="00F34B2C"/>
    <w:rsid w:val="00F34FF8"/>
    <w:rsid w:val="00F35636"/>
    <w:rsid w:val="00F35924"/>
    <w:rsid w:val="00F36A6B"/>
    <w:rsid w:val="00F36F7A"/>
    <w:rsid w:val="00F37D27"/>
    <w:rsid w:val="00F406C0"/>
    <w:rsid w:val="00F42099"/>
    <w:rsid w:val="00F420A5"/>
    <w:rsid w:val="00F4248D"/>
    <w:rsid w:val="00F426A6"/>
    <w:rsid w:val="00F42998"/>
    <w:rsid w:val="00F4397C"/>
    <w:rsid w:val="00F44531"/>
    <w:rsid w:val="00F44699"/>
    <w:rsid w:val="00F44819"/>
    <w:rsid w:val="00F44A14"/>
    <w:rsid w:val="00F44E06"/>
    <w:rsid w:val="00F452FA"/>
    <w:rsid w:val="00F464C5"/>
    <w:rsid w:val="00F46BC5"/>
    <w:rsid w:val="00F4793F"/>
    <w:rsid w:val="00F5046B"/>
    <w:rsid w:val="00F5085E"/>
    <w:rsid w:val="00F510C1"/>
    <w:rsid w:val="00F515C6"/>
    <w:rsid w:val="00F51789"/>
    <w:rsid w:val="00F51B16"/>
    <w:rsid w:val="00F52435"/>
    <w:rsid w:val="00F5259F"/>
    <w:rsid w:val="00F52673"/>
    <w:rsid w:val="00F5271E"/>
    <w:rsid w:val="00F52933"/>
    <w:rsid w:val="00F52A6F"/>
    <w:rsid w:val="00F54453"/>
    <w:rsid w:val="00F5477F"/>
    <w:rsid w:val="00F54E40"/>
    <w:rsid w:val="00F565B2"/>
    <w:rsid w:val="00F5698A"/>
    <w:rsid w:val="00F570B4"/>
    <w:rsid w:val="00F577F5"/>
    <w:rsid w:val="00F578B5"/>
    <w:rsid w:val="00F60211"/>
    <w:rsid w:val="00F609A8"/>
    <w:rsid w:val="00F61EA2"/>
    <w:rsid w:val="00F62C3A"/>
    <w:rsid w:val="00F63A69"/>
    <w:rsid w:val="00F64B4F"/>
    <w:rsid w:val="00F6514D"/>
    <w:rsid w:val="00F654DA"/>
    <w:rsid w:val="00F65A3A"/>
    <w:rsid w:val="00F66233"/>
    <w:rsid w:val="00F6660D"/>
    <w:rsid w:val="00F66974"/>
    <w:rsid w:val="00F66C5F"/>
    <w:rsid w:val="00F671F6"/>
    <w:rsid w:val="00F67F41"/>
    <w:rsid w:val="00F70530"/>
    <w:rsid w:val="00F71915"/>
    <w:rsid w:val="00F71AD1"/>
    <w:rsid w:val="00F71CAA"/>
    <w:rsid w:val="00F71D03"/>
    <w:rsid w:val="00F7398C"/>
    <w:rsid w:val="00F740AE"/>
    <w:rsid w:val="00F744AD"/>
    <w:rsid w:val="00F750CE"/>
    <w:rsid w:val="00F760F6"/>
    <w:rsid w:val="00F76349"/>
    <w:rsid w:val="00F76BB9"/>
    <w:rsid w:val="00F77A25"/>
    <w:rsid w:val="00F80AC7"/>
    <w:rsid w:val="00F80F8D"/>
    <w:rsid w:val="00F81091"/>
    <w:rsid w:val="00F828A5"/>
    <w:rsid w:val="00F84222"/>
    <w:rsid w:val="00F85762"/>
    <w:rsid w:val="00F86233"/>
    <w:rsid w:val="00F87449"/>
    <w:rsid w:val="00F874C8"/>
    <w:rsid w:val="00F87EB5"/>
    <w:rsid w:val="00F90686"/>
    <w:rsid w:val="00F90858"/>
    <w:rsid w:val="00F9090A"/>
    <w:rsid w:val="00F910AE"/>
    <w:rsid w:val="00F91424"/>
    <w:rsid w:val="00F918F5"/>
    <w:rsid w:val="00F9206A"/>
    <w:rsid w:val="00F92AF7"/>
    <w:rsid w:val="00F92DE6"/>
    <w:rsid w:val="00F93FCF"/>
    <w:rsid w:val="00F945C7"/>
    <w:rsid w:val="00F94682"/>
    <w:rsid w:val="00F94BC1"/>
    <w:rsid w:val="00F94F2A"/>
    <w:rsid w:val="00F95461"/>
    <w:rsid w:val="00F954A8"/>
    <w:rsid w:val="00F95ABA"/>
    <w:rsid w:val="00F9650B"/>
    <w:rsid w:val="00F96D6E"/>
    <w:rsid w:val="00F97C65"/>
    <w:rsid w:val="00FA15C8"/>
    <w:rsid w:val="00FA1995"/>
    <w:rsid w:val="00FA1D97"/>
    <w:rsid w:val="00FA2427"/>
    <w:rsid w:val="00FA36C5"/>
    <w:rsid w:val="00FA42D9"/>
    <w:rsid w:val="00FA4502"/>
    <w:rsid w:val="00FA48F7"/>
    <w:rsid w:val="00FA54A3"/>
    <w:rsid w:val="00FA6791"/>
    <w:rsid w:val="00FA6C9B"/>
    <w:rsid w:val="00FA6DA9"/>
    <w:rsid w:val="00FB0CA6"/>
    <w:rsid w:val="00FB0E31"/>
    <w:rsid w:val="00FB1329"/>
    <w:rsid w:val="00FB1359"/>
    <w:rsid w:val="00FB15DC"/>
    <w:rsid w:val="00FB16D7"/>
    <w:rsid w:val="00FB4634"/>
    <w:rsid w:val="00FB4A74"/>
    <w:rsid w:val="00FB639A"/>
    <w:rsid w:val="00FB6CB9"/>
    <w:rsid w:val="00FB6F02"/>
    <w:rsid w:val="00FB73B7"/>
    <w:rsid w:val="00FB7B49"/>
    <w:rsid w:val="00FC12F1"/>
    <w:rsid w:val="00FC261B"/>
    <w:rsid w:val="00FC31B1"/>
    <w:rsid w:val="00FC31D6"/>
    <w:rsid w:val="00FC37AC"/>
    <w:rsid w:val="00FC4B22"/>
    <w:rsid w:val="00FC5325"/>
    <w:rsid w:val="00FC6D0F"/>
    <w:rsid w:val="00FC767B"/>
    <w:rsid w:val="00FC79A4"/>
    <w:rsid w:val="00FC7B3B"/>
    <w:rsid w:val="00FC7E3C"/>
    <w:rsid w:val="00FD06B4"/>
    <w:rsid w:val="00FD06CF"/>
    <w:rsid w:val="00FD0830"/>
    <w:rsid w:val="00FD09D2"/>
    <w:rsid w:val="00FD0B6B"/>
    <w:rsid w:val="00FD1699"/>
    <w:rsid w:val="00FD1BB4"/>
    <w:rsid w:val="00FD298B"/>
    <w:rsid w:val="00FD3898"/>
    <w:rsid w:val="00FD4730"/>
    <w:rsid w:val="00FD47F9"/>
    <w:rsid w:val="00FD4858"/>
    <w:rsid w:val="00FD4EB5"/>
    <w:rsid w:val="00FD5E51"/>
    <w:rsid w:val="00FD6B6F"/>
    <w:rsid w:val="00FD7899"/>
    <w:rsid w:val="00FE0519"/>
    <w:rsid w:val="00FE05DF"/>
    <w:rsid w:val="00FE080F"/>
    <w:rsid w:val="00FE082A"/>
    <w:rsid w:val="00FE10E3"/>
    <w:rsid w:val="00FE14BB"/>
    <w:rsid w:val="00FE1523"/>
    <w:rsid w:val="00FE180B"/>
    <w:rsid w:val="00FE1C8B"/>
    <w:rsid w:val="00FE1ED4"/>
    <w:rsid w:val="00FE2169"/>
    <w:rsid w:val="00FE2B3F"/>
    <w:rsid w:val="00FE2CDF"/>
    <w:rsid w:val="00FE3E90"/>
    <w:rsid w:val="00FE439B"/>
    <w:rsid w:val="00FE45B2"/>
    <w:rsid w:val="00FE4FE3"/>
    <w:rsid w:val="00FE61C9"/>
    <w:rsid w:val="00FE63EA"/>
    <w:rsid w:val="00FE656B"/>
    <w:rsid w:val="00FE6F3C"/>
    <w:rsid w:val="00FE6F8C"/>
    <w:rsid w:val="00FE7CC0"/>
    <w:rsid w:val="00FF1AF2"/>
    <w:rsid w:val="00FF1EAD"/>
    <w:rsid w:val="00FF1F55"/>
    <w:rsid w:val="00FF1FCE"/>
    <w:rsid w:val="00FF1FD6"/>
    <w:rsid w:val="00FF256F"/>
    <w:rsid w:val="00FF2ACF"/>
    <w:rsid w:val="00FF31A8"/>
    <w:rsid w:val="00FF435E"/>
    <w:rsid w:val="00FF4516"/>
    <w:rsid w:val="00FF4768"/>
    <w:rsid w:val="00FF49CC"/>
    <w:rsid w:val="00FF4EEB"/>
    <w:rsid w:val="00FF4FC0"/>
    <w:rsid w:val="00FF5724"/>
    <w:rsid w:val="00FF6728"/>
    <w:rsid w:val="00FF70F7"/>
    <w:rsid w:val="00FF727D"/>
    <w:rsid w:val="00FF73E4"/>
    <w:rsid w:val="00FF78E5"/>
    <w:rsid w:val="01326B8B"/>
    <w:rsid w:val="0195616C"/>
    <w:rsid w:val="01D26D88"/>
    <w:rsid w:val="020D0BB2"/>
    <w:rsid w:val="02182FE7"/>
    <w:rsid w:val="024D13DD"/>
    <w:rsid w:val="02893B1A"/>
    <w:rsid w:val="029E3902"/>
    <w:rsid w:val="03406C0C"/>
    <w:rsid w:val="039825C1"/>
    <w:rsid w:val="03FE3B8A"/>
    <w:rsid w:val="041220D8"/>
    <w:rsid w:val="047916B9"/>
    <w:rsid w:val="04BA415D"/>
    <w:rsid w:val="04C471D7"/>
    <w:rsid w:val="04FF037E"/>
    <w:rsid w:val="05197C15"/>
    <w:rsid w:val="051B6B92"/>
    <w:rsid w:val="05B82449"/>
    <w:rsid w:val="05D56CAA"/>
    <w:rsid w:val="065D6DF3"/>
    <w:rsid w:val="06787335"/>
    <w:rsid w:val="068B1B51"/>
    <w:rsid w:val="06DD28AF"/>
    <w:rsid w:val="07004315"/>
    <w:rsid w:val="07604CD9"/>
    <w:rsid w:val="0772523A"/>
    <w:rsid w:val="079A75C3"/>
    <w:rsid w:val="07A33441"/>
    <w:rsid w:val="07D030D6"/>
    <w:rsid w:val="08713163"/>
    <w:rsid w:val="08782476"/>
    <w:rsid w:val="08A4045F"/>
    <w:rsid w:val="08D34713"/>
    <w:rsid w:val="090A0CDB"/>
    <w:rsid w:val="092E1232"/>
    <w:rsid w:val="093C0049"/>
    <w:rsid w:val="098744C5"/>
    <w:rsid w:val="09D2250D"/>
    <w:rsid w:val="0A072161"/>
    <w:rsid w:val="0A0F4BBF"/>
    <w:rsid w:val="0A1C7DD0"/>
    <w:rsid w:val="0A5C7B2B"/>
    <w:rsid w:val="0A9B42F9"/>
    <w:rsid w:val="0AA226B6"/>
    <w:rsid w:val="0AF6148F"/>
    <w:rsid w:val="0B1F1765"/>
    <w:rsid w:val="0BB13BD7"/>
    <w:rsid w:val="0BD5684E"/>
    <w:rsid w:val="0C2666D5"/>
    <w:rsid w:val="0C6A2581"/>
    <w:rsid w:val="0CA92755"/>
    <w:rsid w:val="0CD24C6D"/>
    <w:rsid w:val="0CF14E97"/>
    <w:rsid w:val="0D3606B5"/>
    <w:rsid w:val="0D866EC5"/>
    <w:rsid w:val="0DB82F3C"/>
    <w:rsid w:val="0DF953EB"/>
    <w:rsid w:val="0E230FBE"/>
    <w:rsid w:val="0E266E37"/>
    <w:rsid w:val="0E432249"/>
    <w:rsid w:val="0E581EC6"/>
    <w:rsid w:val="0E815640"/>
    <w:rsid w:val="0ECD197F"/>
    <w:rsid w:val="0F6E4966"/>
    <w:rsid w:val="0FAF5FBF"/>
    <w:rsid w:val="100866EA"/>
    <w:rsid w:val="10454EB2"/>
    <w:rsid w:val="109D4F65"/>
    <w:rsid w:val="10E95F0F"/>
    <w:rsid w:val="10EB0F45"/>
    <w:rsid w:val="10F76A71"/>
    <w:rsid w:val="114E25EF"/>
    <w:rsid w:val="119F4A7B"/>
    <w:rsid w:val="11AF3593"/>
    <w:rsid w:val="11DD0EDA"/>
    <w:rsid w:val="12A03C77"/>
    <w:rsid w:val="12B41823"/>
    <w:rsid w:val="13302832"/>
    <w:rsid w:val="1335133D"/>
    <w:rsid w:val="13413536"/>
    <w:rsid w:val="134307B7"/>
    <w:rsid w:val="13515700"/>
    <w:rsid w:val="138D44EA"/>
    <w:rsid w:val="13D026C4"/>
    <w:rsid w:val="13F13185"/>
    <w:rsid w:val="14473CBD"/>
    <w:rsid w:val="144C2481"/>
    <w:rsid w:val="148C0654"/>
    <w:rsid w:val="14EC1F42"/>
    <w:rsid w:val="14FE7293"/>
    <w:rsid w:val="152D741B"/>
    <w:rsid w:val="153F3370"/>
    <w:rsid w:val="158B596F"/>
    <w:rsid w:val="15A6186D"/>
    <w:rsid w:val="15AC73B8"/>
    <w:rsid w:val="15BD1686"/>
    <w:rsid w:val="15D868A7"/>
    <w:rsid w:val="16443F19"/>
    <w:rsid w:val="1661765B"/>
    <w:rsid w:val="166772C1"/>
    <w:rsid w:val="16863A87"/>
    <w:rsid w:val="169B724E"/>
    <w:rsid w:val="16BD78C4"/>
    <w:rsid w:val="17191AC0"/>
    <w:rsid w:val="17DC03EF"/>
    <w:rsid w:val="181E4D16"/>
    <w:rsid w:val="183C59C4"/>
    <w:rsid w:val="18BC1496"/>
    <w:rsid w:val="19486E4D"/>
    <w:rsid w:val="19671155"/>
    <w:rsid w:val="196E009E"/>
    <w:rsid w:val="19A11738"/>
    <w:rsid w:val="19AD198E"/>
    <w:rsid w:val="19C36A97"/>
    <w:rsid w:val="19F71E2F"/>
    <w:rsid w:val="1A360C60"/>
    <w:rsid w:val="1A610667"/>
    <w:rsid w:val="1A6F746D"/>
    <w:rsid w:val="1AB7757A"/>
    <w:rsid w:val="1B094EEE"/>
    <w:rsid w:val="1B173C23"/>
    <w:rsid w:val="1B9D3145"/>
    <w:rsid w:val="1BC721F6"/>
    <w:rsid w:val="1C585AA0"/>
    <w:rsid w:val="1C5E7D3E"/>
    <w:rsid w:val="1CA2563C"/>
    <w:rsid w:val="1CA277E3"/>
    <w:rsid w:val="1D257E3C"/>
    <w:rsid w:val="1D3C07F9"/>
    <w:rsid w:val="1D6100E2"/>
    <w:rsid w:val="1D695D64"/>
    <w:rsid w:val="1DB85B8B"/>
    <w:rsid w:val="1DC21120"/>
    <w:rsid w:val="1E2E3353"/>
    <w:rsid w:val="1E6C12C9"/>
    <w:rsid w:val="1E735231"/>
    <w:rsid w:val="1E9E0776"/>
    <w:rsid w:val="1EFC4C0E"/>
    <w:rsid w:val="1F10080E"/>
    <w:rsid w:val="1F3E259B"/>
    <w:rsid w:val="1FBA7A43"/>
    <w:rsid w:val="208D63E6"/>
    <w:rsid w:val="20C0612E"/>
    <w:rsid w:val="214532F1"/>
    <w:rsid w:val="21885B64"/>
    <w:rsid w:val="21891ADE"/>
    <w:rsid w:val="218A1AD4"/>
    <w:rsid w:val="21AB54D1"/>
    <w:rsid w:val="22014E54"/>
    <w:rsid w:val="22106559"/>
    <w:rsid w:val="22510BE6"/>
    <w:rsid w:val="227B1E01"/>
    <w:rsid w:val="23285C42"/>
    <w:rsid w:val="23B566FF"/>
    <w:rsid w:val="23FC0293"/>
    <w:rsid w:val="24424037"/>
    <w:rsid w:val="2448366D"/>
    <w:rsid w:val="247D47B6"/>
    <w:rsid w:val="24D318EA"/>
    <w:rsid w:val="24DC6E8F"/>
    <w:rsid w:val="251A54D4"/>
    <w:rsid w:val="25463125"/>
    <w:rsid w:val="257B7F28"/>
    <w:rsid w:val="263B5B56"/>
    <w:rsid w:val="26504C8F"/>
    <w:rsid w:val="26681A0A"/>
    <w:rsid w:val="26AA69B5"/>
    <w:rsid w:val="26D8151F"/>
    <w:rsid w:val="26F70A5D"/>
    <w:rsid w:val="27443052"/>
    <w:rsid w:val="27C37FBB"/>
    <w:rsid w:val="28216B8F"/>
    <w:rsid w:val="289A28C8"/>
    <w:rsid w:val="28A035B9"/>
    <w:rsid w:val="28D94975"/>
    <w:rsid w:val="292A22CF"/>
    <w:rsid w:val="293000D2"/>
    <w:rsid w:val="299519EE"/>
    <w:rsid w:val="29AD7FDE"/>
    <w:rsid w:val="29FE435A"/>
    <w:rsid w:val="2A101F97"/>
    <w:rsid w:val="2A5B46A5"/>
    <w:rsid w:val="2A7775FE"/>
    <w:rsid w:val="2AE875C3"/>
    <w:rsid w:val="2B2E47EB"/>
    <w:rsid w:val="2B4D0FD7"/>
    <w:rsid w:val="2B636A48"/>
    <w:rsid w:val="2B6E75EE"/>
    <w:rsid w:val="2BBF5A83"/>
    <w:rsid w:val="2C231347"/>
    <w:rsid w:val="2C7314B7"/>
    <w:rsid w:val="2C793A4E"/>
    <w:rsid w:val="2D20185A"/>
    <w:rsid w:val="2D56176C"/>
    <w:rsid w:val="2D5938A7"/>
    <w:rsid w:val="2D8501B9"/>
    <w:rsid w:val="2D8B307A"/>
    <w:rsid w:val="2DBF17D1"/>
    <w:rsid w:val="2E0919C7"/>
    <w:rsid w:val="2E635289"/>
    <w:rsid w:val="2E702ECE"/>
    <w:rsid w:val="2E7370A5"/>
    <w:rsid w:val="2E8B0D3F"/>
    <w:rsid w:val="2E9D75BE"/>
    <w:rsid w:val="2F213A27"/>
    <w:rsid w:val="2F2F233E"/>
    <w:rsid w:val="2F3675AB"/>
    <w:rsid w:val="2F426779"/>
    <w:rsid w:val="2FAE5D04"/>
    <w:rsid w:val="2FB61386"/>
    <w:rsid w:val="2FDD4155"/>
    <w:rsid w:val="2FEC14AC"/>
    <w:rsid w:val="30637948"/>
    <w:rsid w:val="308F7B5A"/>
    <w:rsid w:val="30CD724D"/>
    <w:rsid w:val="30DB3568"/>
    <w:rsid w:val="311655A7"/>
    <w:rsid w:val="311B5B12"/>
    <w:rsid w:val="31495596"/>
    <w:rsid w:val="316B7A75"/>
    <w:rsid w:val="3172040E"/>
    <w:rsid w:val="31753A81"/>
    <w:rsid w:val="317F1641"/>
    <w:rsid w:val="31814AC8"/>
    <w:rsid w:val="319342EC"/>
    <w:rsid w:val="31F71C3E"/>
    <w:rsid w:val="321F672F"/>
    <w:rsid w:val="323A3777"/>
    <w:rsid w:val="32560A43"/>
    <w:rsid w:val="326B3E15"/>
    <w:rsid w:val="32D537FB"/>
    <w:rsid w:val="32FB2BBE"/>
    <w:rsid w:val="33317F1C"/>
    <w:rsid w:val="333D0651"/>
    <w:rsid w:val="33654982"/>
    <w:rsid w:val="33EB6759"/>
    <w:rsid w:val="342C015A"/>
    <w:rsid w:val="343306DD"/>
    <w:rsid w:val="34471AA6"/>
    <w:rsid w:val="349A2A8F"/>
    <w:rsid w:val="34EA21EA"/>
    <w:rsid w:val="352A1C49"/>
    <w:rsid w:val="353B3841"/>
    <w:rsid w:val="35437C0B"/>
    <w:rsid w:val="355D18A7"/>
    <w:rsid w:val="3585259A"/>
    <w:rsid w:val="359B7E1E"/>
    <w:rsid w:val="35A41090"/>
    <w:rsid w:val="36055966"/>
    <w:rsid w:val="361869C9"/>
    <w:rsid w:val="36400AC3"/>
    <w:rsid w:val="367D2144"/>
    <w:rsid w:val="36901A13"/>
    <w:rsid w:val="369F1514"/>
    <w:rsid w:val="371D4161"/>
    <w:rsid w:val="37420C62"/>
    <w:rsid w:val="3752783E"/>
    <w:rsid w:val="37735ABB"/>
    <w:rsid w:val="37A804B3"/>
    <w:rsid w:val="37BD7611"/>
    <w:rsid w:val="37D722EF"/>
    <w:rsid w:val="37FB4C0D"/>
    <w:rsid w:val="38031116"/>
    <w:rsid w:val="38640E56"/>
    <w:rsid w:val="38FA359F"/>
    <w:rsid w:val="391B6377"/>
    <w:rsid w:val="3940505B"/>
    <w:rsid w:val="396A7522"/>
    <w:rsid w:val="396E7104"/>
    <w:rsid w:val="397E0B9F"/>
    <w:rsid w:val="398647E9"/>
    <w:rsid w:val="39E615F7"/>
    <w:rsid w:val="39F91E4C"/>
    <w:rsid w:val="39FC12BE"/>
    <w:rsid w:val="39FD66B0"/>
    <w:rsid w:val="3A1E434B"/>
    <w:rsid w:val="3A2034DF"/>
    <w:rsid w:val="3A642911"/>
    <w:rsid w:val="3A9F4CC8"/>
    <w:rsid w:val="3AB75E72"/>
    <w:rsid w:val="3AC512D1"/>
    <w:rsid w:val="3AC64FB6"/>
    <w:rsid w:val="3ADD2D8E"/>
    <w:rsid w:val="3B7B6079"/>
    <w:rsid w:val="3BC80BEC"/>
    <w:rsid w:val="3C4F05FA"/>
    <w:rsid w:val="3CA538CC"/>
    <w:rsid w:val="3CA54E30"/>
    <w:rsid w:val="3CAD191E"/>
    <w:rsid w:val="3CB37EDF"/>
    <w:rsid w:val="3CCC72C0"/>
    <w:rsid w:val="3D2555E9"/>
    <w:rsid w:val="3D2A7832"/>
    <w:rsid w:val="3D3760D9"/>
    <w:rsid w:val="3D3C33CD"/>
    <w:rsid w:val="3D624245"/>
    <w:rsid w:val="3D735475"/>
    <w:rsid w:val="3D786C68"/>
    <w:rsid w:val="3DA15F42"/>
    <w:rsid w:val="3DA5539C"/>
    <w:rsid w:val="3DAF28A4"/>
    <w:rsid w:val="3DF77AD5"/>
    <w:rsid w:val="3E3C3F84"/>
    <w:rsid w:val="3E425689"/>
    <w:rsid w:val="3E671FCB"/>
    <w:rsid w:val="3EFD42CE"/>
    <w:rsid w:val="3EFE2610"/>
    <w:rsid w:val="3F063FC5"/>
    <w:rsid w:val="3F0C5C5E"/>
    <w:rsid w:val="3F5F23AD"/>
    <w:rsid w:val="3FAF602C"/>
    <w:rsid w:val="3FD64B72"/>
    <w:rsid w:val="3FF74317"/>
    <w:rsid w:val="40004DF0"/>
    <w:rsid w:val="400240EB"/>
    <w:rsid w:val="40462888"/>
    <w:rsid w:val="40943743"/>
    <w:rsid w:val="40D47610"/>
    <w:rsid w:val="40FE5409"/>
    <w:rsid w:val="41086A18"/>
    <w:rsid w:val="41337FC6"/>
    <w:rsid w:val="4152473A"/>
    <w:rsid w:val="415B2D61"/>
    <w:rsid w:val="41646ACE"/>
    <w:rsid w:val="416975D1"/>
    <w:rsid w:val="41A80C49"/>
    <w:rsid w:val="41C64739"/>
    <w:rsid w:val="41CA0DF1"/>
    <w:rsid w:val="41D5450C"/>
    <w:rsid w:val="421C5EAB"/>
    <w:rsid w:val="422F0B0D"/>
    <w:rsid w:val="42555551"/>
    <w:rsid w:val="42917D09"/>
    <w:rsid w:val="42A37BE1"/>
    <w:rsid w:val="43B17A31"/>
    <w:rsid w:val="43C05CB2"/>
    <w:rsid w:val="43F77A73"/>
    <w:rsid w:val="441A4FE6"/>
    <w:rsid w:val="44585AA1"/>
    <w:rsid w:val="44717781"/>
    <w:rsid w:val="44904DDF"/>
    <w:rsid w:val="449832C7"/>
    <w:rsid w:val="449F4A5A"/>
    <w:rsid w:val="44D9364F"/>
    <w:rsid w:val="44ED5533"/>
    <w:rsid w:val="45456AA5"/>
    <w:rsid w:val="45482A40"/>
    <w:rsid w:val="457C1A39"/>
    <w:rsid w:val="45CE53F0"/>
    <w:rsid w:val="46FC1677"/>
    <w:rsid w:val="471758A4"/>
    <w:rsid w:val="471B0DB9"/>
    <w:rsid w:val="472D40AA"/>
    <w:rsid w:val="4766523E"/>
    <w:rsid w:val="47A40814"/>
    <w:rsid w:val="488B2F41"/>
    <w:rsid w:val="48952F01"/>
    <w:rsid w:val="48A151D3"/>
    <w:rsid w:val="491E44B6"/>
    <w:rsid w:val="493E4852"/>
    <w:rsid w:val="495177AF"/>
    <w:rsid w:val="49743097"/>
    <w:rsid w:val="498C7378"/>
    <w:rsid w:val="4994054E"/>
    <w:rsid w:val="49BD7102"/>
    <w:rsid w:val="4A087CA1"/>
    <w:rsid w:val="4A1D5056"/>
    <w:rsid w:val="4A620E70"/>
    <w:rsid w:val="4AB53C2A"/>
    <w:rsid w:val="4B0C26FA"/>
    <w:rsid w:val="4B1B7A57"/>
    <w:rsid w:val="4B1D19B5"/>
    <w:rsid w:val="4B7C3564"/>
    <w:rsid w:val="4B8A2632"/>
    <w:rsid w:val="4B993FFC"/>
    <w:rsid w:val="4BC92B65"/>
    <w:rsid w:val="4BDF4B6E"/>
    <w:rsid w:val="4BE10FE9"/>
    <w:rsid w:val="4C134F9E"/>
    <w:rsid w:val="4C3B1A50"/>
    <w:rsid w:val="4D703F70"/>
    <w:rsid w:val="4D8B2EC8"/>
    <w:rsid w:val="4DB95250"/>
    <w:rsid w:val="4E5F1C55"/>
    <w:rsid w:val="4EEE4370"/>
    <w:rsid w:val="4EFD3C92"/>
    <w:rsid w:val="4F4F5B19"/>
    <w:rsid w:val="4F811C61"/>
    <w:rsid w:val="4FF71EC9"/>
    <w:rsid w:val="503E7DDA"/>
    <w:rsid w:val="50773E5D"/>
    <w:rsid w:val="508F1715"/>
    <w:rsid w:val="50A468A1"/>
    <w:rsid w:val="516C5FB6"/>
    <w:rsid w:val="51E6097D"/>
    <w:rsid w:val="51EA12AB"/>
    <w:rsid w:val="527C14DB"/>
    <w:rsid w:val="53103F5D"/>
    <w:rsid w:val="534E795E"/>
    <w:rsid w:val="53622512"/>
    <w:rsid w:val="53DF5B14"/>
    <w:rsid w:val="53E21A33"/>
    <w:rsid w:val="54142125"/>
    <w:rsid w:val="543907A8"/>
    <w:rsid w:val="54D712EB"/>
    <w:rsid w:val="54DF657E"/>
    <w:rsid w:val="551428D7"/>
    <w:rsid w:val="554F458E"/>
    <w:rsid w:val="55535BE1"/>
    <w:rsid w:val="55585077"/>
    <w:rsid w:val="555940DD"/>
    <w:rsid w:val="5564545A"/>
    <w:rsid w:val="55AE31AE"/>
    <w:rsid w:val="55CE4A89"/>
    <w:rsid w:val="55F00803"/>
    <w:rsid w:val="560D7A21"/>
    <w:rsid w:val="56247BB8"/>
    <w:rsid w:val="566D7AA5"/>
    <w:rsid w:val="56990FD1"/>
    <w:rsid w:val="569C6F7E"/>
    <w:rsid w:val="56BF0902"/>
    <w:rsid w:val="56EA6C7B"/>
    <w:rsid w:val="5788695A"/>
    <w:rsid w:val="579C08B5"/>
    <w:rsid w:val="58207B31"/>
    <w:rsid w:val="58296419"/>
    <w:rsid w:val="585C04C9"/>
    <w:rsid w:val="58676AA7"/>
    <w:rsid w:val="58877563"/>
    <w:rsid w:val="58A94200"/>
    <w:rsid w:val="59312598"/>
    <w:rsid w:val="59546005"/>
    <w:rsid w:val="5A296528"/>
    <w:rsid w:val="5A6048E7"/>
    <w:rsid w:val="5A9445AA"/>
    <w:rsid w:val="5AD61A7A"/>
    <w:rsid w:val="5AD95BC6"/>
    <w:rsid w:val="5B2D5756"/>
    <w:rsid w:val="5B3441F8"/>
    <w:rsid w:val="5B4A1502"/>
    <w:rsid w:val="5B5B1A38"/>
    <w:rsid w:val="5B6B24E7"/>
    <w:rsid w:val="5BF0106D"/>
    <w:rsid w:val="5C254824"/>
    <w:rsid w:val="5C387D24"/>
    <w:rsid w:val="5C5C6C7E"/>
    <w:rsid w:val="5CA63823"/>
    <w:rsid w:val="5CD715CE"/>
    <w:rsid w:val="5D2D57A7"/>
    <w:rsid w:val="5D423852"/>
    <w:rsid w:val="5D5E2172"/>
    <w:rsid w:val="5DA06E36"/>
    <w:rsid w:val="5DAA1DE5"/>
    <w:rsid w:val="5DCB55D6"/>
    <w:rsid w:val="5DCF7A63"/>
    <w:rsid w:val="5E916E89"/>
    <w:rsid w:val="5EE54535"/>
    <w:rsid w:val="5F93061C"/>
    <w:rsid w:val="5FE70054"/>
    <w:rsid w:val="60167D92"/>
    <w:rsid w:val="602D4F4D"/>
    <w:rsid w:val="60531C57"/>
    <w:rsid w:val="60613B5C"/>
    <w:rsid w:val="60A91C61"/>
    <w:rsid w:val="60C7613F"/>
    <w:rsid w:val="60EA7BBC"/>
    <w:rsid w:val="615E0E60"/>
    <w:rsid w:val="61636299"/>
    <w:rsid w:val="61B911C5"/>
    <w:rsid w:val="61EF6ED8"/>
    <w:rsid w:val="61F67268"/>
    <w:rsid w:val="626952C6"/>
    <w:rsid w:val="633D4743"/>
    <w:rsid w:val="63567DA1"/>
    <w:rsid w:val="63592DA8"/>
    <w:rsid w:val="637359A3"/>
    <w:rsid w:val="637D130A"/>
    <w:rsid w:val="63ED0C77"/>
    <w:rsid w:val="64916EA0"/>
    <w:rsid w:val="64AA14F5"/>
    <w:rsid w:val="64BF7B9A"/>
    <w:rsid w:val="64F26038"/>
    <w:rsid w:val="64F472B5"/>
    <w:rsid w:val="64F51FAB"/>
    <w:rsid w:val="64FE595A"/>
    <w:rsid w:val="65834E49"/>
    <w:rsid w:val="658F62FA"/>
    <w:rsid w:val="65C52C14"/>
    <w:rsid w:val="65DD1478"/>
    <w:rsid w:val="660856A0"/>
    <w:rsid w:val="66171C98"/>
    <w:rsid w:val="665662DC"/>
    <w:rsid w:val="66586E8A"/>
    <w:rsid w:val="665D65C3"/>
    <w:rsid w:val="66623163"/>
    <w:rsid w:val="668B1E12"/>
    <w:rsid w:val="668D238C"/>
    <w:rsid w:val="66BB03C3"/>
    <w:rsid w:val="66BE6F9F"/>
    <w:rsid w:val="66D91805"/>
    <w:rsid w:val="673500F8"/>
    <w:rsid w:val="674469F3"/>
    <w:rsid w:val="675E737D"/>
    <w:rsid w:val="67DF08A2"/>
    <w:rsid w:val="67FC49EB"/>
    <w:rsid w:val="681B0762"/>
    <w:rsid w:val="686B0BE3"/>
    <w:rsid w:val="688D2EE4"/>
    <w:rsid w:val="68B565A6"/>
    <w:rsid w:val="68F33338"/>
    <w:rsid w:val="69A54F04"/>
    <w:rsid w:val="6A3D6D32"/>
    <w:rsid w:val="6A4B0385"/>
    <w:rsid w:val="6A792BD6"/>
    <w:rsid w:val="6ACC46DF"/>
    <w:rsid w:val="6B1D7820"/>
    <w:rsid w:val="6B6B3845"/>
    <w:rsid w:val="6B9B5FEF"/>
    <w:rsid w:val="6BAF015A"/>
    <w:rsid w:val="6BC50031"/>
    <w:rsid w:val="6BEC215D"/>
    <w:rsid w:val="6C1F27BC"/>
    <w:rsid w:val="6CE53C7D"/>
    <w:rsid w:val="6CF05D6A"/>
    <w:rsid w:val="6D1138C4"/>
    <w:rsid w:val="6D2E252F"/>
    <w:rsid w:val="6D314496"/>
    <w:rsid w:val="6D326BB4"/>
    <w:rsid w:val="6D456E80"/>
    <w:rsid w:val="6DCF770D"/>
    <w:rsid w:val="6DFF00EF"/>
    <w:rsid w:val="6E69150F"/>
    <w:rsid w:val="6E9B1889"/>
    <w:rsid w:val="6EEA7E68"/>
    <w:rsid w:val="6EFD06AE"/>
    <w:rsid w:val="6F117B42"/>
    <w:rsid w:val="6F195743"/>
    <w:rsid w:val="6F240530"/>
    <w:rsid w:val="6F2C0C0B"/>
    <w:rsid w:val="70231465"/>
    <w:rsid w:val="70363339"/>
    <w:rsid w:val="70AE70EB"/>
    <w:rsid w:val="70F464D8"/>
    <w:rsid w:val="7105225C"/>
    <w:rsid w:val="71225AA1"/>
    <w:rsid w:val="712A73E2"/>
    <w:rsid w:val="715E0A8A"/>
    <w:rsid w:val="724764CB"/>
    <w:rsid w:val="7265785A"/>
    <w:rsid w:val="729F22EC"/>
    <w:rsid w:val="72CA692B"/>
    <w:rsid w:val="73134AC9"/>
    <w:rsid w:val="731E6583"/>
    <w:rsid w:val="73556D5C"/>
    <w:rsid w:val="73A46213"/>
    <w:rsid w:val="73A825A2"/>
    <w:rsid w:val="73B66D98"/>
    <w:rsid w:val="73C34AAA"/>
    <w:rsid w:val="73FC260D"/>
    <w:rsid w:val="74042BE3"/>
    <w:rsid w:val="74595A8D"/>
    <w:rsid w:val="74710752"/>
    <w:rsid w:val="74E55497"/>
    <w:rsid w:val="74FF35AE"/>
    <w:rsid w:val="754A503A"/>
    <w:rsid w:val="75DA5DAA"/>
    <w:rsid w:val="75DF0992"/>
    <w:rsid w:val="75F74224"/>
    <w:rsid w:val="760C1487"/>
    <w:rsid w:val="76576BFF"/>
    <w:rsid w:val="7658011E"/>
    <w:rsid w:val="766C081F"/>
    <w:rsid w:val="76BA2AAF"/>
    <w:rsid w:val="76CA022D"/>
    <w:rsid w:val="76F65781"/>
    <w:rsid w:val="77141BBE"/>
    <w:rsid w:val="771D6A4C"/>
    <w:rsid w:val="772C7A23"/>
    <w:rsid w:val="774D1EE8"/>
    <w:rsid w:val="776809CC"/>
    <w:rsid w:val="77765446"/>
    <w:rsid w:val="77862271"/>
    <w:rsid w:val="77DB54DF"/>
    <w:rsid w:val="78762B5D"/>
    <w:rsid w:val="789B5DBF"/>
    <w:rsid w:val="78BE2048"/>
    <w:rsid w:val="78DA4FC5"/>
    <w:rsid w:val="79590E73"/>
    <w:rsid w:val="795A1394"/>
    <w:rsid w:val="79636FB6"/>
    <w:rsid w:val="7987320F"/>
    <w:rsid w:val="79F04885"/>
    <w:rsid w:val="7A0A55B9"/>
    <w:rsid w:val="7A8037FC"/>
    <w:rsid w:val="7A822FBC"/>
    <w:rsid w:val="7AC60F8B"/>
    <w:rsid w:val="7B0813C6"/>
    <w:rsid w:val="7B416FE9"/>
    <w:rsid w:val="7BBE5074"/>
    <w:rsid w:val="7C13689D"/>
    <w:rsid w:val="7C1A4DE0"/>
    <w:rsid w:val="7C300355"/>
    <w:rsid w:val="7C4D3A73"/>
    <w:rsid w:val="7C726759"/>
    <w:rsid w:val="7C976E9B"/>
    <w:rsid w:val="7CDE3937"/>
    <w:rsid w:val="7CE60858"/>
    <w:rsid w:val="7CE96365"/>
    <w:rsid w:val="7D2D78F5"/>
    <w:rsid w:val="7D7121E9"/>
    <w:rsid w:val="7D765BD4"/>
    <w:rsid w:val="7DE232D6"/>
    <w:rsid w:val="7E0D533D"/>
    <w:rsid w:val="7E6B3FF2"/>
    <w:rsid w:val="7E8616DB"/>
    <w:rsid w:val="7EAE138C"/>
    <w:rsid w:val="7EDA7C5C"/>
    <w:rsid w:val="7EDC4FC1"/>
    <w:rsid w:val="7F02258C"/>
    <w:rsid w:val="7F375706"/>
    <w:rsid w:val="7F5E0D71"/>
    <w:rsid w:val="7F760116"/>
    <w:rsid w:val="7F7D72FF"/>
    <w:rsid w:val="7FA54603"/>
    <w:rsid w:val="7FAC008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qFormat="1" w:unhideWhenUsed="0" w:uiPriority="0" w:name="toa heading"/>
    <w:lsdException w:qFormat="1" w:unhideWhenUsed="0" w:uiPriority="0" w:semiHidden="0" w:name="List"/>
    <w:lsdException w:qFormat="1" w:unhideWhenUsed="0" w:uiPriority="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semiHidden="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name="Table Grid 7"/>
    <w:lsdException w:qFormat="1" w:unhideWhenUsed="0" w:uiPriority="0" w:semiHidden="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pageBreakBefore/>
      <w:numPr>
        <w:ilvl w:val="0"/>
        <w:numId w:val="1"/>
      </w:numPr>
      <w:adjustRightInd w:val="0"/>
      <w:spacing w:before="340" w:after="330" w:line="240" w:lineRule="atLeast"/>
      <w:jc w:val="center"/>
      <w:textAlignment w:val="baseline"/>
      <w:outlineLvl w:val="0"/>
    </w:pPr>
    <w:rPr>
      <w:rFonts w:eastAsia="黑体"/>
      <w:kern w:val="44"/>
      <w:sz w:val="36"/>
      <w:szCs w:val="20"/>
    </w:rPr>
  </w:style>
  <w:style w:type="paragraph" w:styleId="6">
    <w:name w:val="heading 2"/>
    <w:basedOn w:val="1"/>
    <w:next w:val="1"/>
    <w:link w:val="276"/>
    <w:qFormat/>
    <w:uiPriority w:val="0"/>
    <w:pPr>
      <w:keepNext/>
      <w:keepLines/>
      <w:numPr>
        <w:ilvl w:val="1"/>
        <w:numId w:val="1"/>
      </w:numPr>
      <w:adjustRightInd w:val="0"/>
      <w:spacing w:before="120" w:after="120" w:line="360" w:lineRule="auto"/>
      <w:jc w:val="left"/>
      <w:textAlignment w:val="baseline"/>
      <w:outlineLvl w:val="1"/>
    </w:pPr>
    <w:rPr>
      <w:rFonts w:ascii="宋体" w:hAnsi="Arial" w:eastAsia="黑体"/>
      <w:b/>
      <w:kern w:val="0"/>
      <w:sz w:val="28"/>
      <w:szCs w:val="20"/>
    </w:rPr>
  </w:style>
  <w:style w:type="paragraph" w:styleId="7">
    <w:name w:val="heading 3"/>
    <w:basedOn w:val="1"/>
    <w:next w:val="1"/>
    <w:link w:val="384"/>
    <w:qFormat/>
    <w:uiPriority w:val="0"/>
    <w:pPr>
      <w:keepNext/>
      <w:keepLines/>
      <w:numPr>
        <w:ilvl w:val="2"/>
        <w:numId w:val="1"/>
      </w:numPr>
      <w:adjustRightInd w:val="0"/>
      <w:spacing w:before="60" w:line="360" w:lineRule="auto"/>
      <w:jc w:val="left"/>
      <w:textAlignment w:val="baseline"/>
      <w:outlineLvl w:val="2"/>
    </w:pPr>
    <w:rPr>
      <w:b/>
      <w:kern w:val="0"/>
      <w:sz w:val="32"/>
      <w:szCs w:val="20"/>
    </w:rPr>
  </w:style>
  <w:style w:type="paragraph" w:styleId="8">
    <w:name w:val="heading 4"/>
    <w:basedOn w:val="1"/>
    <w:next w:val="1"/>
    <w:link w:val="445"/>
    <w:qFormat/>
    <w:uiPriority w:val="0"/>
    <w:pPr>
      <w:keepNext/>
      <w:keepLines/>
      <w:numPr>
        <w:ilvl w:val="3"/>
        <w:numId w:val="1"/>
      </w:numPr>
      <w:adjustRightInd w:val="0"/>
      <w:spacing w:line="360" w:lineRule="auto"/>
      <w:jc w:val="left"/>
      <w:textAlignment w:val="baseline"/>
      <w:outlineLvl w:val="3"/>
    </w:pPr>
    <w:rPr>
      <w:b/>
      <w:kern w:val="0"/>
      <w:sz w:val="28"/>
      <w:szCs w:val="20"/>
    </w:rPr>
  </w:style>
  <w:style w:type="paragraph" w:styleId="9">
    <w:name w:val="heading 5"/>
    <w:basedOn w:val="1"/>
    <w:next w:val="1"/>
    <w:link w:val="804"/>
    <w:qFormat/>
    <w:uiPriority w:val="0"/>
    <w:pPr>
      <w:keepNext/>
      <w:keepLines/>
      <w:numPr>
        <w:ilvl w:val="4"/>
        <w:numId w:val="1"/>
      </w:numPr>
      <w:adjustRightInd w:val="0"/>
      <w:spacing w:before="120" w:line="360" w:lineRule="auto"/>
      <w:jc w:val="left"/>
      <w:textAlignment w:val="baseline"/>
      <w:outlineLvl w:val="4"/>
    </w:pPr>
    <w:rPr>
      <w:rFonts w:eastAsia="黑体"/>
      <w:kern w:val="0"/>
      <w:sz w:val="28"/>
      <w:szCs w:val="20"/>
    </w:rPr>
  </w:style>
  <w:style w:type="paragraph" w:styleId="10">
    <w:name w:val="heading 6"/>
    <w:basedOn w:val="1"/>
    <w:next w:val="1"/>
    <w:link w:val="302"/>
    <w:qFormat/>
    <w:uiPriority w:val="0"/>
    <w:pPr>
      <w:keepNext/>
      <w:keepLines/>
      <w:numPr>
        <w:ilvl w:val="5"/>
        <w:numId w:val="1"/>
      </w:numPr>
      <w:adjustRightInd w:val="0"/>
      <w:spacing w:before="240" w:after="64" w:line="320" w:lineRule="atLeast"/>
      <w:jc w:val="left"/>
      <w:textAlignment w:val="baseline"/>
      <w:outlineLvl w:val="5"/>
    </w:pPr>
    <w:rPr>
      <w:rFonts w:ascii="Arial" w:hAnsi="Arial" w:eastAsia="黑体"/>
      <w:b/>
      <w:kern w:val="0"/>
      <w:sz w:val="24"/>
      <w:szCs w:val="20"/>
    </w:rPr>
  </w:style>
  <w:style w:type="paragraph" w:styleId="11">
    <w:name w:val="heading 7"/>
    <w:basedOn w:val="1"/>
    <w:next w:val="1"/>
    <w:link w:val="805"/>
    <w:qFormat/>
    <w:uiPriority w:val="0"/>
    <w:pPr>
      <w:keepNext/>
      <w:keepLines/>
      <w:numPr>
        <w:ilvl w:val="6"/>
        <w:numId w:val="1"/>
      </w:numPr>
      <w:adjustRightInd w:val="0"/>
      <w:spacing w:before="240" w:after="64" w:line="320" w:lineRule="atLeast"/>
      <w:jc w:val="left"/>
      <w:textAlignment w:val="baseline"/>
      <w:outlineLvl w:val="6"/>
    </w:pPr>
    <w:rPr>
      <w:b/>
      <w:kern w:val="0"/>
      <w:sz w:val="24"/>
      <w:szCs w:val="20"/>
    </w:rPr>
  </w:style>
  <w:style w:type="paragraph" w:styleId="12">
    <w:name w:val="heading 8"/>
    <w:basedOn w:val="1"/>
    <w:next w:val="1"/>
    <w:link w:val="806"/>
    <w:qFormat/>
    <w:uiPriority w:val="0"/>
    <w:pPr>
      <w:keepNext/>
      <w:keepLines/>
      <w:numPr>
        <w:ilvl w:val="7"/>
        <w:numId w:val="1"/>
      </w:numPr>
      <w:adjustRightInd w:val="0"/>
      <w:spacing w:before="240" w:after="64" w:line="320" w:lineRule="atLeast"/>
      <w:jc w:val="left"/>
      <w:textAlignment w:val="baseline"/>
      <w:outlineLvl w:val="7"/>
    </w:pPr>
    <w:rPr>
      <w:rFonts w:ascii="Arial" w:hAnsi="Arial" w:eastAsia="黑体"/>
      <w:kern w:val="0"/>
      <w:sz w:val="24"/>
      <w:szCs w:val="20"/>
    </w:rPr>
  </w:style>
  <w:style w:type="paragraph" w:styleId="13">
    <w:name w:val="heading 9"/>
    <w:basedOn w:val="1"/>
    <w:next w:val="1"/>
    <w:link w:val="807"/>
    <w:qFormat/>
    <w:uiPriority w:val="0"/>
    <w:pPr>
      <w:keepNext/>
      <w:keepLines/>
      <w:numPr>
        <w:ilvl w:val="8"/>
        <w:numId w:val="1"/>
      </w:numPr>
      <w:adjustRightInd w:val="0"/>
      <w:spacing w:before="240" w:after="64" w:line="320" w:lineRule="atLeast"/>
      <w:jc w:val="left"/>
      <w:textAlignment w:val="baseline"/>
      <w:outlineLvl w:val="8"/>
    </w:pPr>
    <w:rPr>
      <w:rFonts w:ascii="Arial" w:hAnsi="Arial" w:eastAsia="黑体"/>
      <w:kern w:val="0"/>
      <w:sz w:val="24"/>
      <w:szCs w:val="20"/>
    </w:rPr>
  </w:style>
  <w:style w:type="character" w:default="1" w:styleId="134">
    <w:name w:val="Default Paragraph Font"/>
    <w:semiHidden/>
    <w:unhideWhenUsed/>
    <w:qFormat/>
    <w:uiPriority w:val="1"/>
  </w:style>
  <w:style w:type="table" w:default="1" w:styleId="8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Normal Indent"/>
    <w:basedOn w:val="1"/>
    <w:next w:val="3"/>
    <w:link w:val="281"/>
    <w:qFormat/>
    <w:uiPriority w:val="0"/>
    <w:pPr>
      <w:spacing w:line="360" w:lineRule="auto"/>
      <w:ind w:firstLine="420"/>
    </w:pPr>
    <w:rPr>
      <w:rFonts w:ascii="宋体"/>
      <w:sz w:val="24"/>
      <w:szCs w:val="20"/>
    </w:rPr>
  </w:style>
  <w:style w:type="paragraph" w:customStyle="1" w:styleId="3">
    <w:name w:val="样式 正文文本 + 首行缩进:  2 字符"/>
    <w:basedOn w:val="4"/>
    <w:qFormat/>
    <w:uiPriority w:val="0"/>
    <w:pPr>
      <w:spacing w:after="0" w:line="540" w:lineRule="exact"/>
      <w:ind w:firstLine="0" w:firstLineChars="0"/>
      <w:jc w:val="center"/>
    </w:pPr>
    <w:rPr>
      <w:rFonts w:ascii="黑体" w:hAnsi="黑体" w:eastAsia="黑体"/>
      <w:b/>
    </w:rPr>
  </w:style>
  <w:style w:type="paragraph" w:styleId="4">
    <w:name w:val="Body Text"/>
    <w:basedOn w:val="1"/>
    <w:next w:val="1"/>
    <w:link w:val="188"/>
    <w:qFormat/>
    <w:uiPriority w:val="99"/>
    <w:pPr>
      <w:autoSpaceDE w:val="0"/>
      <w:autoSpaceDN w:val="0"/>
      <w:adjustRightInd w:val="0"/>
      <w:spacing w:line="360" w:lineRule="atLeast"/>
      <w:jc w:val="left"/>
      <w:textAlignment w:val="baseline"/>
    </w:pPr>
    <w:rPr>
      <w:rFonts w:ascii="宋体"/>
      <w:color w:val="000000"/>
      <w:kern w:val="0"/>
      <w:sz w:val="24"/>
      <w:szCs w:val="20"/>
    </w:rPr>
  </w:style>
  <w:style w:type="paragraph" w:styleId="14">
    <w:name w:val="List 3"/>
    <w:basedOn w:val="1"/>
    <w:qFormat/>
    <w:uiPriority w:val="0"/>
    <w:pPr>
      <w:ind w:left="400" w:leftChars="400" w:hanging="200" w:hangingChars="200"/>
    </w:pPr>
    <w:rPr>
      <w:rFonts w:ascii="Courier New" w:hAnsi="Courier New" w:eastAsia="仿宋_GB2312" w:cs="Courier New"/>
      <w:sz w:val="28"/>
      <w:szCs w:val="28"/>
    </w:rPr>
  </w:style>
  <w:style w:type="paragraph" w:styleId="15">
    <w:name w:val="toc 7"/>
    <w:basedOn w:val="1"/>
    <w:next w:val="1"/>
    <w:qFormat/>
    <w:uiPriority w:val="0"/>
    <w:pPr>
      <w:ind w:left="1260"/>
      <w:jc w:val="left"/>
    </w:pPr>
    <w:rPr>
      <w:sz w:val="18"/>
      <w:szCs w:val="18"/>
    </w:rPr>
  </w:style>
  <w:style w:type="paragraph" w:styleId="16">
    <w:name w:val="List Number 2"/>
    <w:basedOn w:val="1"/>
    <w:semiHidden/>
    <w:qFormat/>
    <w:uiPriority w:val="0"/>
    <w:pPr>
      <w:tabs>
        <w:tab w:val="left" w:pos="780"/>
      </w:tabs>
      <w:ind w:left="780" w:leftChars="200" w:hanging="360" w:hangingChars="200"/>
    </w:pPr>
    <w:rPr>
      <w:rFonts w:ascii="Courier New" w:hAnsi="Courier New" w:eastAsia="仿宋_GB2312" w:cs="Courier New"/>
    </w:rPr>
  </w:style>
  <w:style w:type="paragraph" w:styleId="17">
    <w:name w:val="table of authorities"/>
    <w:basedOn w:val="1"/>
    <w:next w:val="1"/>
    <w:semiHidden/>
    <w:qFormat/>
    <w:uiPriority w:val="0"/>
    <w:pPr>
      <w:ind w:left="420" w:leftChars="200"/>
    </w:pPr>
    <w:rPr>
      <w:rFonts w:ascii="Courier New" w:hAnsi="Courier New" w:eastAsia="仿宋_GB2312" w:cs="Courier New"/>
    </w:rPr>
  </w:style>
  <w:style w:type="paragraph" w:styleId="18">
    <w:name w:val="Note Heading"/>
    <w:basedOn w:val="1"/>
    <w:next w:val="1"/>
    <w:semiHidden/>
    <w:qFormat/>
    <w:uiPriority w:val="0"/>
    <w:pPr>
      <w:jc w:val="center"/>
    </w:pPr>
    <w:rPr>
      <w:rFonts w:ascii="Courier New" w:hAnsi="Courier New" w:eastAsia="仿宋_GB2312" w:cs="Courier New"/>
    </w:rPr>
  </w:style>
  <w:style w:type="paragraph" w:styleId="19">
    <w:name w:val="List Bullet 4"/>
    <w:basedOn w:val="1"/>
    <w:semiHidden/>
    <w:qFormat/>
    <w:uiPriority w:val="0"/>
    <w:pPr>
      <w:numPr>
        <w:ilvl w:val="0"/>
        <w:numId w:val="2"/>
      </w:numPr>
      <w:tabs>
        <w:tab w:val="left" w:pos="360"/>
        <w:tab w:val="clear" w:pos="1620"/>
      </w:tabs>
      <w:ind w:left="0" w:leftChars="0" w:firstLine="0" w:firstLineChars="0"/>
    </w:pPr>
    <w:rPr>
      <w:rFonts w:ascii="Courier New" w:hAnsi="Courier New" w:eastAsia="仿宋_GB2312" w:cs="Courier New"/>
    </w:rPr>
  </w:style>
  <w:style w:type="paragraph" w:styleId="20">
    <w:name w:val="index 8"/>
    <w:basedOn w:val="1"/>
    <w:next w:val="1"/>
    <w:semiHidden/>
    <w:qFormat/>
    <w:uiPriority w:val="0"/>
    <w:pPr>
      <w:adjustRightInd w:val="0"/>
      <w:spacing w:line="360" w:lineRule="atLeast"/>
      <w:ind w:left="1920" w:hanging="240"/>
      <w:jc w:val="left"/>
      <w:textAlignment w:val="baseline"/>
    </w:pPr>
    <w:rPr>
      <w:rFonts w:ascii="Courier New" w:hAnsi="Courier New" w:eastAsia="仿宋_GB2312" w:cs="Courier New"/>
      <w:kern w:val="0"/>
      <w:sz w:val="20"/>
      <w:szCs w:val="20"/>
    </w:rPr>
  </w:style>
  <w:style w:type="paragraph" w:styleId="21">
    <w:name w:val="E-mail Signature"/>
    <w:basedOn w:val="1"/>
    <w:semiHidden/>
    <w:qFormat/>
    <w:uiPriority w:val="0"/>
    <w:rPr>
      <w:rFonts w:ascii="Courier New" w:hAnsi="Courier New" w:eastAsia="仿宋_GB2312" w:cs="Courier New"/>
    </w:rPr>
  </w:style>
  <w:style w:type="paragraph" w:styleId="22">
    <w:name w:val="List Number"/>
    <w:basedOn w:val="1"/>
    <w:qFormat/>
    <w:uiPriority w:val="0"/>
    <w:pPr>
      <w:widowControl/>
      <w:adjustRightInd w:val="0"/>
      <w:spacing w:line="360" w:lineRule="auto"/>
      <w:ind w:left="284" w:hanging="284"/>
      <w:jc w:val="left"/>
      <w:textAlignment w:val="baseline"/>
    </w:pPr>
    <w:rPr>
      <w:rFonts w:ascii="仿宋_GB2312" w:hAnsi="Courier New" w:eastAsia="仿宋_GB2312" w:cs="Courier New"/>
      <w:kern w:val="0"/>
      <w:sz w:val="24"/>
      <w:szCs w:val="20"/>
    </w:rPr>
  </w:style>
  <w:style w:type="paragraph" w:styleId="23">
    <w:name w:val="caption"/>
    <w:basedOn w:val="1"/>
    <w:next w:val="1"/>
    <w:link w:val="679"/>
    <w:qFormat/>
    <w:uiPriority w:val="0"/>
    <w:rPr>
      <w:rFonts w:ascii="Arial" w:hAnsi="Arial" w:eastAsia="黑体" w:cs="Arial"/>
      <w:sz w:val="20"/>
      <w:szCs w:val="20"/>
    </w:rPr>
  </w:style>
  <w:style w:type="paragraph" w:styleId="24">
    <w:name w:val="index 5"/>
    <w:basedOn w:val="1"/>
    <w:next w:val="1"/>
    <w:semiHidden/>
    <w:qFormat/>
    <w:uiPriority w:val="0"/>
    <w:pPr>
      <w:adjustRightInd w:val="0"/>
      <w:spacing w:line="360" w:lineRule="atLeast"/>
      <w:ind w:left="1200" w:hanging="240"/>
      <w:jc w:val="left"/>
      <w:textAlignment w:val="baseline"/>
    </w:pPr>
    <w:rPr>
      <w:rFonts w:ascii="Courier New" w:hAnsi="Courier New" w:eastAsia="仿宋_GB2312" w:cs="Courier New"/>
      <w:kern w:val="0"/>
      <w:sz w:val="20"/>
      <w:szCs w:val="20"/>
    </w:rPr>
  </w:style>
  <w:style w:type="paragraph" w:styleId="25">
    <w:name w:val="List Bullet"/>
    <w:basedOn w:val="1"/>
    <w:semiHidden/>
    <w:qFormat/>
    <w:uiPriority w:val="0"/>
    <w:pPr>
      <w:numPr>
        <w:ilvl w:val="0"/>
        <w:numId w:val="3"/>
      </w:numPr>
    </w:pPr>
    <w:rPr>
      <w:rFonts w:ascii="Courier New" w:hAnsi="Courier New" w:eastAsia="仿宋_GB2312" w:cs="Courier New"/>
    </w:rPr>
  </w:style>
  <w:style w:type="paragraph" w:styleId="26">
    <w:name w:val="envelope address"/>
    <w:basedOn w:val="1"/>
    <w:semiHidden/>
    <w:qFormat/>
    <w:uiPriority w:val="0"/>
    <w:pPr>
      <w:framePr w:w="7920" w:h="1980" w:hRule="exact" w:hSpace="180" w:wrap="around" w:vAnchor="margin" w:hAnchor="page" w:xAlign="center" w:yAlign="bottom"/>
      <w:snapToGrid w:val="0"/>
      <w:ind w:left="100" w:leftChars="1400"/>
    </w:pPr>
    <w:rPr>
      <w:rFonts w:ascii="华文中宋" w:hAnsi="华文中宋" w:eastAsia="仿宋_GB2312" w:cs="华文中宋"/>
      <w:sz w:val="24"/>
    </w:rPr>
  </w:style>
  <w:style w:type="paragraph" w:styleId="27">
    <w:name w:val="Document Map"/>
    <w:basedOn w:val="1"/>
    <w:link w:val="326"/>
    <w:semiHidden/>
    <w:qFormat/>
    <w:uiPriority w:val="0"/>
    <w:pPr>
      <w:shd w:val="clear" w:color="auto" w:fill="000080"/>
    </w:pPr>
    <w:rPr>
      <w:rFonts w:ascii="Courier New" w:hAnsi="Courier New" w:eastAsia="仿宋_GB2312" w:cs="Courier New"/>
    </w:rPr>
  </w:style>
  <w:style w:type="paragraph" w:styleId="28">
    <w:name w:val="toa heading"/>
    <w:basedOn w:val="1"/>
    <w:next w:val="1"/>
    <w:semiHidden/>
    <w:qFormat/>
    <w:uiPriority w:val="0"/>
    <w:pPr>
      <w:spacing w:before="120"/>
    </w:pPr>
    <w:rPr>
      <w:rFonts w:ascii="华文中宋" w:hAnsi="华文中宋" w:eastAsia="仿宋_GB2312" w:cs="华文中宋"/>
      <w:sz w:val="24"/>
    </w:rPr>
  </w:style>
  <w:style w:type="paragraph" w:styleId="29">
    <w:name w:val="annotation text"/>
    <w:basedOn w:val="1"/>
    <w:link w:val="786"/>
    <w:semiHidden/>
    <w:qFormat/>
    <w:uiPriority w:val="0"/>
    <w:pPr>
      <w:jc w:val="left"/>
    </w:pPr>
    <w:rPr>
      <w:szCs w:val="20"/>
    </w:rPr>
  </w:style>
  <w:style w:type="paragraph" w:styleId="30">
    <w:name w:val="index 6"/>
    <w:basedOn w:val="1"/>
    <w:next w:val="1"/>
    <w:semiHidden/>
    <w:qFormat/>
    <w:uiPriority w:val="0"/>
    <w:pPr>
      <w:ind w:left="1000" w:leftChars="1000"/>
    </w:pPr>
    <w:rPr>
      <w:rFonts w:ascii="Courier New" w:hAnsi="Courier New" w:eastAsia="仿宋_GB2312" w:cs="Courier New"/>
    </w:rPr>
  </w:style>
  <w:style w:type="paragraph" w:styleId="31">
    <w:name w:val="Salutation"/>
    <w:basedOn w:val="1"/>
    <w:next w:val="1"/>
    <w:qFormat/>
    <w:uiPriority w:val="0"/>
    <w:rPr>
      <w:rFonts w:ascii="Courier New" w:hAnsi="Courier New" w:eastAsia="仿宋_GB2312" w:cs="Courier New"/>
      <w:sz w:val="24"/>
    </w:rPr>
  </w:style>
  <w:style w:type="paragraph" w:styleId="32">
    <w:name w:val="Body Text 3"/>
    <w:basedOn w:val="1"/>
    <w:link w:val="813"/>
    <w:qFormat/>
    <w:uiPriority w:val="0"/>
    <w:pPr>
      <w:adjustRightInd w:val="0"/>
      <w:spacing w:after="120" w:line="312" w:lineRule="atLeast"/>
      <w:textAlignment w:val="baseline"/>
    </w:pPr>
    <w:rPr>
      <w:rFonts w:ascii="Courier New" w:hAnsi="Courier New" w:eastAsia="仿宋_GB2312" w:cs="Courier New"/>
      <w:kern w:val="0"/>
      <w:sz w:val="16"/>
      <w:szCs w:val="16"/>
    </w:rPr>
  </w:style>
  <w:style w:type="paragraph" w:styleId="33">
    <w:name w:val="Closing"/>
    <w:basedOn w:val="1"/>
    <w:semiHidden/>
    <w:qFormat/>
    <w:uiPriority w:val="0"/>
    <w:pPr>
      <w:ind w:left="100" w:leftChars="2100"/>
    </w:pPr>
    <w:rPr>
      <w:rFonts w:ascii="Courier New" w:hAnsi="Courier New" w:eastAsia="仿宋_GB2312" w:cs="Courier New"/>
    </w:rPr>
  </w:style>
  <w:style w:type="paragraph" w:styleId="34">
    <w:name w:val="List Bullet 3"/>
    <w:basedOn w:val="1"/>
    <w:semiHidden/>
    <w:qFormat/>
    <w:uiPriority w:val="0"/>
    <w:pPr>
      <w:numPr>
        <w:ilvl w:val="0"/>
        <w:numId w:val="4"/>
      </w:numPr>
    </w:pPr>
    <w:rPr>
      <w:rFonts w:ascii="Courier New" w:hAnsi="Courier New" w:eastAsia="仿宋_GB2312" w:cs="Courier New"/>
    </w:rPr>
  </w:style>
  <w:style w:type="paragraph" w:styleId="35">
    <w:name w:val="Body Text Indent"/>
    <w:basedOn w:val="1"/>
    <w:next w:val="36"/>
    <w:link w:val="271"/>
    <w:qFormat/>
    <w:uiPriority w:val="0"/>
    <w:pPr>
      <w:adjustRightInd w:val="0"/>
      <w:spacing w:line="360" w:lineRule="auto"/>
      <w:ind w:firstLine="482"/>
      <w:jc w:val="left"/>
      <w:textAlignment w:val="baseline"/>
    </w:pPr>
    <w:rPr>
      <w:kern w:val="0"/>
      <w:sz w:val="24"/>
      <w:szCs w:val="20"/>
    </w:rPr>
  </w:style>
  <w:style w:type="paragraph" w:customStyle="1" w:styleId="3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37">
    <w:name w:val="List Number 3"/>
    <w:basedOn w:val="1"/>
    <w:semiHidden/>
    <w:qFormat/>
    <w:uiPriority w:val="0"/>
    <w:pPr>
      <w:numPr>
        <w:ilvl w:val="0"/>
        <w:numId w:val="5"/>
      </w:numPr>
    </w:pPr>
    <w:rPr>
      <w:rFonts w:ascii="Courier New" w:hAnsi="Courier New" w:eastAsia="仿宋_GB2312" w:cs="Courier New"/>
    </w:rPr>
  </w:style>
  <w:style w:type="paragraph" w:styleId="38">
    <w:name w:val="List 2"/>
    <w:basedOn w:val="1"/>
    <w:qFormat/>
    <w:uiPriority w:val="0"/>
    <w:pPr>
      <w:adjustRightInd w:val="0"/>
      <w:snapToGrid w:val="0"/>
      <w:spacing w:line="440" w:lineRule="exact"/>
      <w:ind w:left="100" w:leftChars="200" w:hanging="200" w:hangingChars="200"/>
      <w:jc w:val="left"/>
    </w:pPr>
    <w:rPr>
      <w:rFonts w:ascii="仿宋_GB2312" w:hAnsi="仿宋_GB2312" w:eastAsia="仿宋_GB2312" w:cs="Courier New"/>
      <w:sz w:val="24"/>
    </w:rPr>
  </w:style>
  <w:style w:type="paragraph" w:styleId="39">
    <w:name w:val="List Continue"/>
    <w:basedOn w:val="1"/>
    <w:qFormat/>
    <w:uiPriority w:val="0"/>
    <w:pPr>
      <w:spacing w:after="120"/>
      <w:ind w:left="420" w:leftChars="200"/>
    </w:pPr>
    <w:rPr>
      <w:rFonts w:ascii="Courier New" w:hAnsi="Courier New" w:eastAsia="仿宋_GB2312" w:cs="Courier New"/>
      <w:sz w:val="28"/>
      <w:szCs w:val="20"/>
    </w:rPr>
  </w:style>
  <w:style w:type="paragraph" w:styleId="40">
    <w:name w:val="Block Text"/>
    <w:basedOn w:val="1"/>
    <w:next w:val="1"/>
    <w:qFormat/>
    <w:uiPriority w:val="0"/>
    <w:pPr>
      <w:spacing w:after="120"/>
      <w:ind w:left="1440" w:right="1440"/>
    </w:pPr>
    <w:rPr>
      <w:rFonts w:ascii="Courier New" w:hAnsi="Courier New" w:eastAsia="仿宋_GB2312" w:cs="Courier New"/>
      <w:szCs w:val="28"/>
    </w:rPr>
  </w:style>
  <w:style w:type="paragraph" w:styleId="41">
    <w:name w:val="List Bullet 2"/>
    <w:basedOn w:val="1"/>
    <w:semiHidden/>
    <w:qFormat/>
    <w:uiPriority w:val="0"/>
    <w:pPr>
      <w:numPr>
        <w:ilvl w:val="0"/>
        <w:numId w:val="6"/>
      </w:numPr>
    </w:pPr>
    <w:rPr>
      <w:rFonts w:ascii="Courier New" w:hAnsi="Courier New" w:eastAsia="仿宋_GB2312" w:cs="Courier New"/>
    </w:rPr>
  </w:style>
  <w:style w:type="paragraph" w:styleId="42">
    <w:name w:val="HTML Address"/>
    <w:basedOn w:val="1"/>
    <w:semiHidden/>
    <w:qFormat/>
    <w:uiPriority w:val="0"/>
    <w:rPr>
      <w:rFonts w:ascii="Courier New" w:hAnsi="Courier New" w:eastAsia="仿宋_GB2312" w:cs="Courier New"/>
      <w:i/>
      <w:iCs/>
    </w:rPr>
  </w:style>
  <w:style w:type="paragraph" w:styleId="43">
    <w:name w:val="index 4"/>
    <w:basedOn w:val="1"/>
    <w:next w:val="1"/>
    <w:semiHidden/>
    <w:qFormat/>
    <w:uiPriority w:val="0"/>
    <w:pPr>
      <w:adjustRightInd w:val="0"/>
      <w:spacing w:line="360" w:lineRule="atLeast"/>
      <w:ind w:left="960" w:hanging="240"/>
      <w:jc w:val="left"/>
      <w:textAlignment w:val="baseline"/>
    </w:pPr>
    <w:rPr>
      <w:rFonts w:ascii="Courier New" w:hAnsi="Courier New" w:eastAsia="仿宋_GB2312" w:cs="Courier New"/>
      <w:kern w:val="0"/>
      <w:sz w:val="20"/>
      <w:szCs w:val="20"/>
    </w:rPr>
  </w:style>
  <w:style w:type="paragraph" w:styleId="44">
    <w:name w:val="toc 5"/>
    <w:basedOn w:val="1"/>
    <w:next w:val="1"/>
    <w:qFormat/>
    <w:uiPriority w:val="0"/>
    <w:pPr>
      <w:ind w:left="840"/>
      <w:jc w:val="left"/>
    </w:pPr>
    <w:rPr>
      <w:sz w:val="18"/>
      <w:szCs w:val="18"/>
    </w:rPr>
  </w:style>
  <w:style w:type="paragraph" w:styleId="45">
    <w:name w:val="toc 3"/>
    <w:basedOn w:val="1"/>
    <w:next w:val="1"/>
    <w:qFormat/>
    <w:uiPriority w:val="0"/>
    <w:pPr>
      <w:ind w:left="420"/>
      <w:jc w:val="left"/>
    </w:pPr>
    <w:rPr>
      <w:i/>
      <w:iCs/>
      <w:sz w:val="20"/>
      <w:szCs w:val="20"/>
    </w:rPr>
  </w:style>
  <w:style w:type="paragraph" w:styleId="46">
    <w:name w:val="Plain Text"/>
    <w:basedOn w:val="1"/>
    <w:link w:val="1232"/>
    <w:qFormat/>
    <w:uiPriority w:val="99"/>
    <w:rPr>
      <w:rFonts w:ascii="宋体" w:hAnsi="Courier New"/>
      <w:szCs w:val="20"/>
    </w:rPr>
  </w:style>
  <w:style w:type="paragraph" w:styleId="47">
    <w:name w:val="List Bullet 5"/>
    <w:basedOn w:val="1"/>
    <w:semiHidden/>
    <w:qFormat/>
    <w:uiPriority w:val="0"/>
    <w:pPr>
      <w:numPr>
        <w:ilvl w:val="0"/>
        <w:numId w:val="7"/>
      </w:numPr>
    </w:pPr>
    <w:rPr>
      <w:rFonts w:ascii="Courier New" w:hAnsi="Courier New" w:eastAsia="仿宋_GB2312" w:cs="Courier New"/>
    </w:rPr>
  </w:style>
  <w:style w:type="paragraph" w:styleId="48">
    <w:name w:val="List Number 4"/>
    <w:basedOn w:val="1"/>
    <w:semiHidden/>
    <w:qFormat/>
    <w:uiPriority w:val="0"/>
    <w:pPr>
      <w:numPr>
        <w:ilvl w:val="0"/>
        <w:numId w:val="8"/>
      </w:numPr>
    </w:pPr>
    <w:rPr>
      <w:rFonts w:ascii="Courier New" w:hAnsi="Courier New" w:eastAsia="仿宋_GB2312" w:cs="Courier New"/>
    </w:rPr>
  </w:style>
  <w:style w:type="paragraph" w:styleId="49">
    <w:name w:val="toc 8"/>
    <w:basedOn w:val="1"/>
    <w:next w:val="1"/>
    <w:qFormat/>
    <w:uiPriority w:val="0"/>
    <w:pPr>
      <w:ind w:left="1470"/>
      <w:jc w:val="left"/>
    </w:pPr>
    <w:rPr>
      <w:sz w:val="18"/>
      <w:szCs w:val="18"/>
    </w:rPr>
  </w:style>
  <w:style w:type="paragraph" w:styleId="50">
    <w:name w:val="index 3"/>
    <w:basedOn w:val="1"/>
    <w:next w:val="1"/>
    <w:semiHidden/>
    <w:qFormat/>
    <w:uiPriority w:val="0"/>
    <w:pPr>
      <w:adjustRightInd w:val="0"/>
      <w:spacing w:line="360" w:lineRule="atLeast"/>
      <w:ind w:left="720" w:hanging="240"/>
      <w:jc w:val="left"/>
      <w:textAlignment w:val="baseline"/>
    </w:pPr>
    <w:rPr>
      <w:rFonts w:ascii="Courier New" w:hAnsi="Courier New" w:eastAsia="仿宋_GB2312" w:cs="Courier New"/>
      <w:kern w:val="0"/>
      <w:sz w:val="20"/>
      <w:szCs w:val="20"/>
    </w:rPr>
  </w:style>
  <w:style w:type="paragraph" w:styleId="51">
    <w:name w:val="Date"/>
    <w:basedOn w:val="1"/>
    <w:next w:val="1"/>
    <w:link w:val="809"/>
    <w:qFormat/>
    <w:uiPriority w:val="0"/>
    <w:pPr>
      <w:adjustRightInd w:val="0"/>
      <w:spacing w:line="360" w:lineRule="atLeast"/>
      <w:textAlignment w:val="baseline"/>
    </w:pPr>
    <w:rPr>
      <w:rFonts w:ascii="宋体"/>
      <w:color w:val="000000"/>
      <w:kern w:val="0"/>
      <w:sz w:val="24"/>
      <w:szCs w:val="20"/>
    </w:rPr>
  </w:style>
  <w:style w:type="paragraph" w:styleId="52">
    <w:name w:val="Body Text Indent 2"/>
    <w:basedOn w:val="1"/>
    <w:next w:val="1"/>
    <w:link w:val="808"/>
    <w:qFormat/>
    <w:uiPriority w:val="0"/>
    <w:pPr>
      <w:adjustRightInd w:val="0"/>
      <w:spacing w:line="360" w:lineRule="atLeast"/>
      <w:ind w:firstLine="480"/>
      <w:jc w:val="left"/>
      <w:textAlignment w:val="baseline"/>
    </w:pPr>
    <w:rPr>
      <w:rFonts w:ascii="仿宋_GB2312" w:eastAsia="仿宋_GB2312"/>
      <w:kern w:val="0"/>
      <w:sz w:val="24"/>
      <w:szCs w:val="20"/>
    </w:rPr>
  </w:style>
  <w:style w:type="paragraph" w:styleId="53">
    <w:name w:val="List Continue 5"/>
    <w:basedOn w:val="1"/>
    <w:semiHidden/>
    <w:qFormat/>
    <w:uiPriority w:val="0"/>
    <w:pPr>
      <w:spacing w:after="120"/>
      <w:ind w:left="2100" w:leftChars="1000"/>
    </w:pPr>
    <w:rPr>
      <w:rFonts w:ascii="Courier New" w:hAnsi="Courier New" w:eastAsia="仿宋_GB2312" w:cs="Courier New"/>
    </w:rPr>
  </w:style>
  <w:style w:type="paragraph" w:styleId="54">
    <w:name w:val="Balloon Text"/>
    <w:basedOn w:val="1"/>
    <w:link w:val="812"/>
    <w:semiHidden/>
    <w:qFormat/>
    <w:uiPriority w:val="0"/>
    <w:rPr>
      <w:sz w:val="18"/>
      <w:szCs w:val="18"/>
    </w:rPr>
  </w:style>
  <w:style w:type="paragraph" w:styleId="55">
    <w:name w:val="footer"/>
    <w:basedOn w:val="1"/>
    <w:link w:val="631"/>
    <w:qFormat/>
    <w:uiPriority w:val="99"/>
    <w:pPr>
      <w:tabs>
        <w:tab w:val="center" w:pos="4153"/>
        <w:tab w:val="right" w:pos="8306"/>
      </w:tabs>
      <w:adjustRightInd w:val="0"/>
      <w:spacing w:line="240" w:lineRule="atLeast"/>
      <w:jc w:val="left"/>
      <w:textAlignment w:val="baseline"/>
    </w:pPr>
    <w:rPr>
      <w:kern w:val="0"/>
      <w:sz w:val="18"/>
      <w:szCs w:val="20"/>
    </w:rPr>
  </w:style>
  <w:style w:type="paragraph" w:styleId="56">
    <w:name w:val="envelope return"/>
    <w:basedOn w:val="1"/>
    <w:semiHidden/>
    <w:qFormat/>
    <w:uiPriority w:val="0"/>
    <w:pPr>
      <w:snapToGrid w:val="0"/>
    </w:pPr>
    <w:rPr>
      <w:rFonts w:ascii="华文中宋" w:hAnsi="华文中宋" w:eastAsia="仿宋_GB2312" w:cs="华文中宋"/>
    </w:rPr>
  </w:style>
  <w:style w:type="paragraph" w:styleId="57">
    <w:name w:val="header"/>
    <w:basedOn w:val="1"/>
    <w:next w:val="58"/>
    <w:link w:val="194"/>
    <w:qFormat/>
    <w:uiPriority w:val="0"/>
    <w:pPr>
      <w:pBdr>
        <w:bottom w:val="single" w:color="auto" w:sz="6" w:space="1"/>
      </w:pBdr>
      <w:tabs>
        <w:tab w:val="center" w:pos="4153"/>
        <w:tab w:val="right" w:pos="8306"/>
      </w:tabs>
      <w:adjustRightInd w:val="0"/>
      <w:spacing w:line="240" w:lineRule="atLeast"/>
      <w:jc w:val="center"/>
      <w:textAlignment w:val="baseline"/>
    </w:pPr>
    <w:rPr>
      <w:kern w:val="0"/>
      <w:sz w:val="18"/>
      <w:szCs w:val="20"/>
    </w:rPr>
  </w:style>
  <w:style w:type="paragraph" w:customStyle="1" w:styleId="58">
    <w:name w:val="样式5"/>
    <w:basedOn w:val="1"/>
    <w:qFormat/>
    <w:uiPriority w:val="0"/>
    <w:pPr>
      <w:spacing w:line="360" w:lineRule="auto"/>
      <w:ind w:firstLine="480" w:firstLineChars="200"/>
    </w:pPr>
    <w:rPr>
      <w:rFonts w:ascii="Courier New" w:hAnsi="Courier New" w:cs="Courier New"/>
      <w:sz w:val="24"/>
    </w:rPr>
  </w:style>
  <w:style w:type="paragraph" w:styleId="59">
    <w:name w:val="Signature"/>
    <w:basedOn w:val="1"/>
    <w:semiHidden/>
    <w:qFormat/>
    <w:uiPriority w:val="0"/>
    <w:pPr>
      <w:ind w:left="100" w:leftChars="2100"/>
    </w:pPr>
    <w:rPr>
      <w:rFonts w:ascii="Courier New" w:hAnsi="Courier New" w:eastAsia="仿宋_GB2312" w:cs="Courier New"/>
    </w:rPr>
  </w:style>
  <w:style w:type="paragraph" w:styleId="60">
    <w:name w:val="toc 1"/>
    <w:basedOn w:val="1"/>
    <w:next w:val="1"/>
    <w:qFormat/>
    <w:uiPriority w:val="39"/>
    <w:pPr>
      <w:spacing w:before="120" w:after="120"/>
      <w:jc w:val="left"/>
    </w:pPr>
    <w:rPr>
      <w:b/>
      <w:bCs/>
      <w:caps/>
      <w:sz w:val="20"/>
      <w:szCs w:val="20"/>
    </w:rPr>
  </w:style>
  <w:style w:type="paragraph" w:styleId="61">
    <w:name w:val="List Continue 4"/>
    <w:basedOn w:val="1"/>
    <w:semiHidden/>
    <w:qFormat/>
    <w:uiPriority w:val="0"/>
    <w:pPr>
      <w:spacing w:after="120"/>
      <w:ind w:left="1680" w:leftChars="800"/>
    </w:pPr>
    <w:rPr>
      <w:rFonts w:ascii="Courier New" w:hAnsi="Courier New" w:eastAsia="仿宋_GB2312" w:cs="Courier New"/>
    </w:rPr>
  </w:style>
  <w:style w:type="paragraph" w:styleId="62">
    <w:name w:val="toc 4"/>
    <w:basedOn w:val="1"/>
    <w:next w:val="1"/>
    <w:qFormat/>
    <w:uiPriority w:val="0"/>
    <w:pPr>
      <w:ind w:left="630"/>
      <w:jc w:val="left"/>
    </w:pPr>
    <w:rPr>
      <w:sz w:val="18"/>
      <w:szCs w:val="18"/>
    </w:rPr>
  </w:style>
  <w:style w:type="paragraph" w:styleId="63">
    <w:name w:val="index heading"/>
    <w:basedOn w:val="1"/>
    <w:next w:val="64"/>
    <w:semiHidden/>
    <w:qFormat/>
    <w:uiPriority w:val="0"/>
    <w:pPr>
      <w:adjustRightInd w:val="0"/>
      <w:spacing w:before="120" w:after="120" w:line="360" w:lineRule="atLeast"/>
      <w:jc w:val="left"/>
      <w:textAlignment w:val="baseline"/>
    </w:pPr>
    <w:rPr>
      <w:rFonts w:ascii="Courier New" w:hAnsi="Courier New" w:eastAsia="仿宋_GB2312" w:cs="Courier New"/>
      <w:b/>
      <w:i/>
      <w:kern w:val="0"/>
      <w:sz w:val="20"/>
      <w:szCs w:val="20"/>
    </w:rPr>
  </w:style>
  <w:style w:type="paragraph" w:styleId="64">
    <w:name w:val="index 1"/>
    <w:basedOn w:val="1"/>
    <w:next w:val="1"/>
    <w:semiHidden/>
    <w:qFormat/>
    <w:uiPriority w:val="0"/>
    <w:pPr>
      <w:spacing w:line="420" w:lineRule="exact"/>
      <w:jc w:val="center"/>
    </w:pPr>
    <w:rPr>
      <w:rFonts w:ascii="黑体" w:eastAsia="黑体"/>
    </w:rPr>
  </w:style>
  <w:style w:type="paragraph" w:styleId="65">
    <w:name w:val="Subtitle"/>
    <w:basedOn w:val="1"/>
    <w:link w:val="741"/>
    <w:qFormat/>
    <w:uiPriority w:val="0"/>
    <w:pPr>
      <w:spacing w:before="240" w:after="60" w:line="312" w:lineRule="auto"/>
      <w:jc w:val="center"/>
      <w:outlineLvl w:val="1"/>
    </w:pPr>
    <w:rPr>
      <w:rFonts w:ascii="华文中宋" w:hAnsi="华文中宋" w:eastAsia="仿宋_GB2312" w:cs="华文中宋"/>
      <w:b/>
      <w:bCs/>
      <w:kern w:val="28"/>
      <w:sz w:val="28"/>
      <w:szCs w:val="28"/>
    </w:rPr>
  </w:style>
  <w:style w:type="paragraph" w:styleId="66">
    <w:name w:val="List Number 5"/>
    <w:basedOn w:val="1"/>
    <w:semiHidden/>
    <w:qFormat/>
    <w:uiPriority w:val="0"/>
    <w:pPr>
      <w:numPr>
        <w:ilvl w:val="0"/>
        <w:numId w:val="9"/>
      </w:numPr>
    </w:pPr>
    <w:rPr>
      <w:rFonts w:ascii="Courier New" w:hAnsi="Courier New" w:eastAsia="仿宋_GB2312" w:cs="Courier New"/>
    </w:rPr>
  </w:style>
  <w:style w:type="paragraph" w:styleId="67">
    <w:name w:val="List"/>
    <w:basedOn w:val="1"/>
    <w:link w:val="675"/>
    <w:qFormat/>
    <w:uiPriority w:val="0"/>
    <w:pPr>
      <w:ind w:left="200" w:hanging="200" w:hangingChars="200"/>
    </w:pPr>
    <w:rPr>
      <w:rFonts w:ascii="Courier New" w:hAnsi="Courier New" w:eastAsia="仿宋_GB2312" w:cs="Courier New"/>
    </w:rPr>
  </w:style>
  <w:style w:type="paragraph" w:styleId="68">
    <w:name w:val="footnote text"/>
    <w:basedOn w:val="1"/>
    <w:link w:val="773"/>
    <w:semiHidden/>
    <w:qFormat/>
    <w:uiPriority w:val="0"/>
    <w:pPr>
      <w:adjustRightInd w:val="0"/>
      <w:snapToGrid w:val="0"/>
      <w:spacing w:line="360" w:lineRule="auto"/>
      <w:ind w:firstLine="200" w:firstLineChars="200"/>
      <w:jc w:val="left"/>
    </w:pPr>
    <w:rPr>
      <w:rFonts w:ascii="仿宋_GB2312" w:hAnsi="Courier New" w:eastAsia="仿宋_GB2312" w:cs="Courier New"/>
      <w:sz w:val="18"/>
      <w:szCs w:val="20"/>
    </w:rPr>
  </w:style>
  <w:style w:type="paragraph" w:styleId="69">
    <w:name w:val="toc 6"/>
    <w:basedOn w:val="1"/>
    <w:next w:val="1"/>
    <w:qFormat/>
    <w:uiPriority w:val="0"/>
    <w:pPr>
      <w:ind w:left="1050"/>
      <w:jc w:val="left"/>
    </w:pPr>
    <w:rPr>
      <w:sz w:val="18"/>
      <w:szCs w:val="18"/>
    </w:rPr>
  </w:style>
  <w:style w:type="paragraph" w:styleId="70">
    <w:name w:val="List 5"/>
    <w:basedOn w:val="1"/>
    <w:semiHidden/>
    <w:qFormat/>
    <w:uiPriority w:val="0"/>
    <w:pPr>
      <w:ind w:left="100" w:leftChars="800" w:hanging="200" w:hangingChars="200"/>
    </w:pPr>
    <w:rPr>
      <w:rFonts w:ascii="Courier New" w:hAnsi="Courier New" w:eastAsia="仿宋_GB2312" w:cs="Courier New"/>
    </w:rPr>
  </w:style>
  <w:style w:type="paragraph" w:styleId="71">
    <w:name w:val="Body Text Indent 3"/>
    <w:basedOn w:val="1"/>
    <w:link w:val="810"/>
    <w:qFormat/>
    <w:uiPriority w:val="0"/>
    <w:pPr>
      <w:adjustRightInd w:val="0"/>
      <w:spacing w:line="360" w:lineRule="auto"/>
      <w:ind w:firstLine="567"/>
      <w:jc w:val="left"/>
      <w:textAlignment w:val="baseline"/>
    </w:pPr>
    <w:rPr>
      <w:rFonts w:ascii="宋体"/>
      <w:kern w:val="0"/>
      <w:sz w:val="24"/>
      <w:szCs w:val="20"/>
    </w:rPr>
  </w:style>
  <w:style w:type="paragraph" w:styleId="72">
    <w:name w:val="index 7"/>
    <w:basedOn w:val="1"/>
    <w:next w:val="1"/>
    <w:semiHidden/>
    <w:qFormat/>
    <w:uiPriority w:val="0"/>
    <w:pPr>
      <w:adjustRightInd w:val="0"/>
      <w:spacing w:line="360" w:lineRule="atLeast"/>
      <w:ind w:left="1680" w:hanging="240"/>
      <w:jc w:val="left"/>
      <w:textAlignment w:val="baseline"/>
    </w:pPr>
    <w:rPr>
      <w:rFonts w:ascii="Courier New" w:hAnsi="Courier New" w:eastAsia="仿宋_GB2312" w:cs="Courier New"/>
      <w:kern w:val="0"/>
      <w:sz w:val="20"/>
      <w:szCs w:val="20"/>
    </w:rPr>
  </w:style>
  <w:style w:type="paragraph" w:styleId="73">
    <w:name w:val="index 9"/>
    <w:basedOn w:val="1"/>
    <w:next w:val="1"/>
    <w:semiHidden/>
    <w:qFormat/>
    <w:uiPriority w:val="0"/>
    <w:pPr>
      <w:adjustRightInd w:val="0"/>
      <w:spacing w:line="360" w:lineRule="atLeast"/>
      <w:ind w:left="2160" w:hanging="240"/>
      <w:jc w:val="left"/>
      <w:textAlignment w:val="baseline"/>
    </w:pPr>
    <w:rPr>
      <w:rFonts w:ascii="Courier New" w:hAnsi="Courier New" w:eastAsia="仿宋_GB2312" w:cs="Courier New"/>
      <w:kern w:val="0"/>
      <w:sz w:val="20"/>
      <w:szCs w:val="20"/>
    </w:rPr>
  </w:style>
  <w:style w:type="paragraph" w:styleId="74">
    <w:name w:val="table of figures"/>
    <w:basedOn w:val="1"/>
    <w:next w:val="1"/>
    <w:semiHidden/>
    <w:qFormat/>
    <w:uiPriority w:val="0"/>
    <w:pPr>
      <w:ind w:left="840" w:leftChars="200" w:hanging="420" w:hangingChars="200"/>
    </w:pPr>
    <w:rPr>
      <w:rFonts w:ascii="Courier New" w:hAnsi="Courier New" w:eastAsia="仿宋_GB2312" w:cs="Courier New"/>
    </w:rPr>
  </w:style>
  <w:style w:type="paragraph" w:styleId="75">
    <w:name w:val="toc 2"/>
    <w:basedOn w:val="1"/>
    <w:next w:val="1"/>
    <w:qFormat/>
    <w:uiPriority w:val="39"/>
    <w:pPr>
      <w:ind w:left="210"/>
      <w:jc w:val="left"/>
    </w:pPr>
    <w:rPr>
      <w:smallCaps/>
      <w:sz w:val="20"/>
      <w:szCs w:val="20"/>
    </w:rPr>
  </w:style>
  <w:style w:type="paragraph" w:styleId="76">
    <w:name w:val="toc 9"/>
    <w:basedOn w:val="1"/>
    <w:next w:val="1"/>
    <w:qFormat/>
    <w:uiPriority w:val="0"/>
    <w:pPr>
      <w:ind w:left="1680"/>
      <w:jc w:val="left"/>
    </w:pPr>
    <w:rPr>
      <w:sz w:val="18"/>
      <w:szCs w:val="18"/>
    </w:rPr>
  </w:style>
  <w:style w:type="paragraph" w:styleId="77">
    <w:name w:val="Body Text 2"/>
    <w:basedOn w:val="1"/>
    <w:link w:val="811"/>
    <w:qFormat/>
    <w:uiPriority w:val="0"/>
    <w:pPr>
      <w:jc w:val="center"/>
    </w:pPr>
  </w:style>
  <w:style w:type="paragraph" w:styleId="78">
    <w:name w:val="List 4"/>
    <w:basedOn w:val="1"/>
    <w:semiHidden/>
    <w:qFormat/>
    <w:uiPriority w:val="0"/>
    <w:pPr>
      <w:ind w:left="100" w:leftChars="600" w:hanging="200" w:hangingChars="200"/>
    </w:pPr>
    <w:rPr>
      <w:rFonts w:ascii="Courier New" w:hAnsi="Courier New" w:eastAsia="仿宋_GB2312" w:cs="Courier New"/>
    </w:rPr>
  </w:style>
  <w:style w:type="paragraph" w:styleId="79">
    <w:name w:val="List Continue 2"/>
    <w:basedOn w:val="1"/>
    <w:qFormat/>
    <w:uiPriority w:val="0"/>
    <w:pPr>
      <w:spacing w:after="120"/>
      <w:ind w:left="840" w:leftChars="400"/>
    </w:pPr>
    <w:rPr>
      <w:rFonts w:ascii="Courier New" w:hAnsi="Courier New" w:eastAsia="仿宋_GB2312" w:cs="Courier New"/>
      <w:szCs w:val="28"/>
    </w:rPr>
  </w:style>
  <w:style w:type="paragraph" w:styleId="80">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华文中宋" w:hAnsi="华文中宋" w:eastAsia="仿宋_GB2312" w:cs="华文中宋"/>
      <w:sz w:val="24"/>
    </w:rPr>
  </w:style>
  <w:style w:type="paragraph" w:styleId="8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5"/>
      <w:jc w:val="left"/>
    </w:pPr>
    <w:rPr>
      <w:rFonts w:hint="eastAsia" w:ascii="宋体" w:hAnsi="宋体"/>
      <w:kern w:val="0"/>
      <w:sz w:val="24"/>
      <w:szCs w:val="20"/>
    </w:rPr>
  </w:style>
  <w:style w:type="paragraph" w:styleId="8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83">
    <w:name w:val="List Continue 3"/>
    <w:basedOn w:val="1"/>
    <w:semiHidden/>
    <w:qFormat/>
    <w:uiPriority w:val="0"/>
    <w:pPr>
      <w:spacing w:after="120"/>
      <w:ind w:left="1260" w:leftChars="600"/>
    </w:pPr>
    <w:rPr>
      <w:rFonts w:ascii="Courier New" w:hAnsi="Courier New" w:eastAsia="仿宋_GB2312" w:cs="Courier New"/>
    </w:rPr>
  </w:style>
  <w:style w:type="paragraph" w:styleId="84">
    <w:name w:val="index 2"/>
    <w:basedOn w:val="1"/>
    <w:next w:val="1"/>
    <w:semiHidden/>
    <w:qFormat/>
    <w:uiPriority w:val="0"/>
    <w:pPr>
      <w:adjustRightInd w:val="0"/>
      <w:spacing w:line="360" w:lineRule="atLeast"/>
      <w:ind w:left="480" w:hanging="240"/>
      <w:jc w:val="left"/>
      <w:textAlignment w:val="baseline"/>
    </w:pPr>
    <w:rPr>
      <w:rFonts w:ascii="Courier New" w:hAnsi="Courier New" w:eastAsia="仿宋_GB2312" w:cs="Courier New"/>
      <w:kern w:val="0"/>
      <w:sz w:val="20"/>
      <w:szCs w:val="20"/>
    </w:rPr>
  </w:style>
  <w:style w:type="paragraph" w:styleId="85">
    <w:name w:val="Title"/>
    <w:basedOn w:val="1"/>
    <w:link w:val="776"/>
    <w:qFormat/>
    <w:uiPriority w:val="0"/>
    <w:pPr>
      <w:spacing w:before="240" w:after="60"/>
      <w:jc w:val="center"/>
      <w:outlineLvl w:val="0"/>
    </w:pPr>
    <w:rPr>
      <w:rFonts w:ascii="华文中宋" w:hAnsi="华文中宋" w:eastAsia="仿宋_GB2312" w:cs="华文中宋"/>
      <w:b/>
      <w:bCs/>
      <w:sz w:val="32"/>
      <w:szCs w:val="32"/>
    </w:rPr>
  </w:style>
  <w:style w:type="paragraph" w:styleId="86">
    <w:name w:val="annotation subject"/>
    <w:basedOn w:val="29"/>
    <w:next w:val="29"/>
    <w:semiHidden/>
    <w:qFormat/>
    <w:uiPriority w:val="0"/>
    <w:rPr>
      <w:rFonts w:ascii="Courier New" w:hAnsi="Courier New" w:eastAsia="仿宋_GB2312" w:cs="Courier New"/>
      <w:b/>
      <w:bCs/>
      <w:szCs w:val="24"/>
    </w:rPr>
  </w:style>
  <w:style w:type="paragraph" w:styleId="87">
    <w:name w:val="Body Text First Indent"/>
    <w:basedOn w:val="4"/>
    <w:next w:val="1"/>
    <w:qFormat/>
    <w:uiPriority w:val="0"/>
    <w:pPr>
      <w:autoSpaceDE/>
      <w:autoSpaceDN/>
      <w:adjustRightInd/>
      <w:spacing w:after="120" w:line="240" w:lineRule="auto"/>
      <w:ind w:firstLine="420" w:firstLineChars="100"/>
      <w:jc w:val="both"/>
      <w:textAlignment w:val="auto"/>
    </w:pPr>
    <w:rPr>
      <w:rFonts w:ascii="Courier New" w:hAnsi="Courier New" w:eastAsia="仿宋_GB2312" w:cs="Courier New"/>
      <w:color w:val="auto"/>
      <w:kern w:val="2"/>
      <w:sz w:val="28"/>
    </w:rPr>
  </w:style>
  <w:style w:type="paragraph" w:styleId="88">
    <w:name w:val="Body Text First Indent 2"/>
    <w:basedOn w:val="35"/>
    <w:next w:val="1"/>
    <w:link w:val="866"/>
    <w:qFormat/>
    <w:uiPriority w:val="0"/>
    <w:pPr>
      <w:adjustRightInd/>
      <w:spacing w:after="120" w:line="240" w:lineRule="auto"/>
      <w:ind w:left="420" w:leftChars="200" w:firstLine="420" w:firstLineChars="200"/>
      <w:jc w:val="both"/>
      <w:textAlignment w:val="auto"/>
    </w:pPr>
    <w:rPr>
      <w:rFonts w:ascii="Courier New" w:hAnsi="Courier New" w:eastAsia="仿宋_GB2312" w:cs="Courier New"/>
      <w:kern w:val="2"/>
      <w:sz w:val="21"/>
      <w:szCs w:val="28"/>
    </w:rPr>
  </w:style>
  <w:style w:type="table" w:styleId="90">
    <w:name w:val="Table Grid"/>
    <w:basedOn w:val="8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uiPriority w:val="0"/>
    <w:pPr>
      <w:widowControl w:val="0"/>
      <w:jc w:val="both"/>
    </w:pPr>
    <w:rPr>
      <w:rFonts w:ascii="Courier New" w:hAnsi="Courier New" w:eastAsia="仿宋_GB2312" w:cs="Courier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qFormat/>
    <w:uiPriority w:val="0"/>
    <w:pPr>
      <w:widowControl w:val="0"/>
      <w:jc w:val="both"/>
    </w:pPr>
    <w:rPr>
      <w:rFonts w:ascii="Courier New" w:hAnsi="Courier New" w:eastAsia="仿宋_GB2312" w:cs="Courier New"/>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qFormat/>
    <w:uiPriority w:val="0"/>
    <w:pPr>
      <w:widowControl w:val="0"/>
      <w:jc w:val="both"/>
    </w:pPr>
    <w:rPr>
      <w:rFonts w:ascii="Courier New" w:hAnsi="Courier New" w:eastAsia="仿宋_GB2312" w:cs="Courier New"/>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qFormat/>
    <w:uiPriority w:val="0"/>
    <w:pPr>
      <w:widowControl w:val="0"/>
      <w:jc w:val="both"/>
    </w:pPr>
    <w:rPr>
      <w:rFonts w:ascii="Courier New" w:hAnsi="Courier New" w:eastAsia="仿宋_GB2312" w:cs="Courier New"/>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qFormat/>
    <w:uiPriority w:val="0"/>
    <w:pPr>
      <w:widowControl w:val="0"/>
      <w:jc w:val="both"/>
    </w:pPr>
    <w:rPr>
      <w:rFonts w:ascii="Courier New" w:hAnsi="Courier New" w:eastAsia="仿宋_GB2312" w:cs="Courier New"/>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qFormat/>
    <w:uiPriority w:val="0"/>
    <w:pPr>
      <w:widowControl w:val="0"/>
      <w:jc w:val="both"/>
    </w:pPr>
    <w:rPr>
      <w:rFonts w:ascii="Courier New" w:hAnsi="Courier New" w:eastAsia="仿宋_GB2312" w:cs="Courier New"/>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qFormat/>
    <w:uiPriority w:val="0"/>
    <w:pPr>
      <w:widowControl w:val="0"/>
      <w:jc w:val="both"/>
    </w:pPr>
    <w:rPr>
      <w:rFonts w:ascii="Courier New" w:hAnsi="Courier New" w:eastAsia="仿宋_GB2312" w:cs="Courier New"/>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qFormat/>
    <w:uiPriority w:val="0"/>
    <w:pPr>
      <w:widowControl w:val="0"/>
      <w:jc w:val="both"/>
    </w:pPr>
    <w:rPr>
      <w:rFonts w:ascii="Courier New" w:hAnsi="Courier New" w:eastAsia="仿宋_GB2312" w:cs="Courier New"/>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qFormat/>
    <w:uiPriority w:val="0"/>
    <w:pPr>
      <w:widowControl w:val="0"/>
      <w:jc w:val="both"/>
    </w:pPr>
    <w:rPr>
      <w:rFonts w:ascii="Courier New" w:hAnsi="Courier New" w:eastAsia="仿宋_GB2312" w:cs="Courier New"/>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qFormat/>
    <w:uiPriority w:val="0"/>
    <w:pPr>
      <w:widowControl w:val="0"/>
      <w:jc w:val="both"/>
    </w:pPr>
    <w:rPr>
      <w:rFonts w:ascii="Courier New" w:hAnsi="Courier New" w:eastAsia="仿宋_GB2312" w:cs="Courier New"/>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qFormat/>
    <w:uiPriority w:val="0"/>
    <w:pPr>
      <w:widowControl w:val="0"/>
      <w:jc w:val="both"/>
    </w:pPr>
    <w:rPr>
      <w:rFonts w:ascii="Courier New" w:hAnsi="Courier New" w:eastAsia="仿宋_GB2312" w:cs="Courier New"/>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qFormat/>
    <w:uiPriority w:val="0"/>
    <w:pPr>
      <w:widowControl w:val="0"/>
      <w:jc w:val="both"/>
    </w:pPr>
    <w:rPr>
      <w:rFonts w:ascii="Courier New" w:hAnsi="Courier New" w:eastAsia="仿宋_GB2312" w:cs="Courier New"/>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qFormat/>
    <w:uiPriority w:val="0"/>
    <w:pPr>
      <w:widowControl w:val="0"/>
      <w:jc w:val="both"/>
    </w:pPr>
    <w:rPr>
      <w:rFonts w:ascii="Courier New" w:hAnsi="Courier New" w:eastAsia="仿宋_GB2312" w:cs="Courier New"/>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qFormat/>
    <w:uiPriority w:val="0"/>
    <w:pPr>
      <w:widowControl w:val="0"/>
      <w:jc w:val="both"/>
    </w:pPr>
    <w:rPr>
      <w:rFonts w:ascii="Courier New" w:hAnsi="Courier New" w:eastAsia="仿宋_GB2312" w:cs="Courier New"/>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qFormat/>
    <w:uiPriority w:val="0"/>
    <w:pPr>
      <w:widowControl w:val="0"/>
      <w:jc w:val="both"/>
    </w:pPr>
    <w:rPr>
      <w:rFonts w:ascii="Courier New" w:hAnsi="Courier New" w:eastAsia="仿宋_GB2312" w:cs="Courier New"/>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qFormat/>
    <w:uiPriority w:val="0"/>
    <w:pPr>
      <w:widowControl w:val="0"/>
      <w:jc w:val="both"/>
    </w:pPr>
    <w:rPr>
      <w:rFonts w:ascii="Courier New" w:hAnsi="Courier New" w:eastAsia="仿宋_GB2312" w:cs="Courier New"/>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qFormat/>
    <w:uiPriority w:val="0"/>
    <w:pPr>
      <w:widowControl w:val="0"/>
      <w:jc w:val="both"/>
    </w:pPr>
    <w:rPr>
      <w:rFonts w:ascii="Courier New" w:hAnsi="Courier New" w:eastAsia="仿宋_GB2312" w:cs="Courier New"/>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qFormat/>
    <w:uiPriority w:val="0"/>
    <w:pPr>
      <w:widowControl w:val="0"/>
      <w:jc w:val="both"/>
    </w:pPr>
    <w:rPr>
      <w:rFonts w:ascii="Courier New" w:hAnsi="Courier New" w:eastAsia="仿宋_GB2312" w:cs="Courier New"/>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qFormat/>
    <w:uiPriority w:val="0"/>
    <w:pPr>
      <w:widowControl w:val="0"/>
      <w:jc w:val="both"/>
    </w:pPr>
    <w:rPr>
      <w:rFonts w:ascii="Courier New" w:hAnsi="Courier New" w:eastAsia="仿宋_GB2312" w:cs="Courier New"/>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qFormat/>
    <w:uiPriority w:val="0"/>
    <w:pPr>
      <w:widowControl w:val="0"/>
      <w:jc w:val="both"/>
    </w:pPr>
    <w:rPr>
      <w:rFonts w:ascii="Courier New" w:hAnsi="Courier New" w:eastAsia="仿宋_GB2312" w:cs="Courier New"/>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qFormat/>
    <w:uiPriority w:val="0"/>
    <w:pPr>
      <w:widowControl w:val="0"/>
      <w:jc w:val="both"/>
    </w:pPr>
    <w:rPr>
      <w:rFonts w:ascii="Courier New" w:hAnsi="Courier New" w:eastAsia="仿宋_GB2312" w:cs="Courier New"/>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qFormat/>
    <w:uiPriority w:val="0"/>
    <w:pPr>
      <w:widowControl w:val="0"/>
      <w:jc w:val="both"/>
    </w:pPr>
    <w:rPr>
      <w:rFonts w:ascii="Courier New" w:hAnsi="Courier New" w:eastAsia="仿宋_GB2312" w:cs="Courier New"/>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qFormat/>
    <w:uiPriority w:val="0"/>
    <w:pPr>
      <w:widowControl w:val="0"/>
      <w:jc w:val="both"/>
    </w:pPr>
    <w:rPr>
      <w:rFonts w:ascii="Courier New" w:hAnsi="Courier New" w:eastAsia="仿宋_GB2312" w:cs="Courier New"/>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qFormat/>
    <w:uiPriority w:val="0"/>
    <w:pPr>
      <w:widowControl w:val="0"/>
      <w:jc w:val="both"/>
    </w:pPr>
    <w:rPr>
      <w:rFonts w:ascii="Courier New" w:hAnsi="Courier New" w:eastAsia="仿宋_GB2312" w:cs="Courier New"/>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qFormat/>
    <w:uiPriority w:val="0"/>
    <w:pPr>
      <w:widowControl w:val="0"/>
      <w:jc w:val="both"/>
    </w:pPr>
    <w:rPr>
      <w:rFonts w:ascii="Courier New" w:hAnsi="Courier New" w:eastAsia="仿宋_GB2312" w:cs="Courier New"/>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qFormat/>
    <w:uiPriority w:val="0"/>
    <w:pPr>
      <w:widowControl w:val="0"/>
      <w:jc w:val="both"/>
    </w:pPr>
    <w:rPr>
      <w:rFonts w:ascii="Courier New" w:hAnsi="Courier New" w:eastAsia="仿宋_GB2312" w:cs="Courier New"/>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qFormat/>
    <w:uiPriority w:val="0"/>
    <w:pPr>
      <w:widowControl w:val="0"/>
      <w:jc w:val="both"/>
    </w:pPr>
    <w:rPr>
      <w:rFonts w:ascii="Courier New" w:hAnsi="Courier New" w:eastAsia="仿宋_GB2312" w:cs="Courier New"/>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qFormat/>
    <w:uiPriority w:val="0"/>
    <w:pPr>
      <w:widowControl w:val="0"/>
      <w:jc w:val="both"/>
    </w:pPr>
    <w:rPr>
      <w:rFonts w:ascii="Courier New" w:hAnsi="Courier New" w:eastAsia="仿宋_GB2312" w:cs="Courier New"/>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qFormat/>
    <w:uiPriority w:val="0"/>
    <w:pPr>
      <w:widowControl w:val="0"/>
      <w:jc w:val="both"/>
    </w:pPr>
    <w:rPr>
      <w:rFonts w:ascii="Courier New" w:hAnsi="Courier New" w:eastAsia="仿宋_GB2312" w:cs="Courier New"/>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qFormat/>
    <w:uiPriority w:val="0"/>
    <w:pPr>
      <w:widowControl w:val="0"/>
      <w:jc w:val="both"/>
    </w:pPr>
    <w:rPr>
      <w:rFonts w:ascii="Courier New" w:hAnsi="Courier New" w:eastAsia="仿宋_GB2312" w:cs="Courier New"/>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qFormat/>
    <w:uiPriority w:val="0"/>
    <w:pPr>
      <w:widowControl w:val="0"/>
      <w:jc w:val="both"/>
    </w:pPr>
    <w:rPr>
      <w:rFonts w:ascii="Courier New" w:hAnsi="Courier New" w:eastAsia="仿宋_GB2312" w:cs="Courier New"/>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qFormat/>
    <w:uiPriority w:val="0"/>
    <w:pPr>
      <w:widowControl w:val="0"/>
      <w:jc w:val="both"/>
    </w:pPr>
    <w:rPr>
      <w:rFonts w:ascii="Courier New" w:hAnsi="Courier New" w:eastAsia="仿宋_GB2312" w:cs="Courier New"/>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qFormat/>
    <w:uiPriority w:val="0"/>
    <w:pPr>
      <w:widowControl w:val="0"/>
      <w:jc w:val="both"/>
    </w:pPr>
    <w:rPr>
      <w:rFonts w:ascii="Courier New" w:hAnsi="Courier New" w:eastAsia="仿宋_GB2312" w:cs="Courier New"/>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qFormat/>
    <w:uiPriority w:val="0"/>
    <w:pPr>
      <w:widowControl w:val="0"/>
      <w:jc w:val="both"/>
    </w:pPr>
    <w:rPr>
      <w:rFonts w:ascii="Courier New" w:hAnsi="Courier New" w:eastAsia="仿宋_GB2312" w:cs="Courier New"/>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qFormat/>
    <w:uiPriority w:val="0"/>
    <w:pPr>
      <w:widowControl w:val="0"/>
      <w:jc w:val="both"/>
    </w:pPr>
    <w:rPr>
      <w:rFonts w:ascii="Courier New" w:hAnsi="Courier New" w:eastAsia="仿宋_GB2312" w:cs="Courier New"/>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qFormat/>
    <w:uiPriority w:val="0"/>
    <w:pPr>
      <w:widowControl w:val="0"/>
      <w:jc w:val="both"/>
    </w:pPr>
    <w:rPr>
      <w:rFonts w:ascii="Courier New" w:hAnsi="Courier New" w:eastAsia="仿宋_GB2312" w:cs="Courier New"/>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qFormat/>
    <w:uiPriority w:val="0"/>
    <w:pPr>
      <w:widowControl w:val="0"/>
      <w:jc w:val="both"/>
    </w:pPr>
    <w:rPr>
      <w:rFonts w:ascii="Courier New" w:hAnsi="Courier New" w:eastAsia="仿宋_GB2312" w:cs="Courier New"/>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qFormat/>
    <w:uiPriority w:val="0"/>
    <w:pPr>
      <w:widowControl w:val="0"/>
      <w:jc w:val="both"/>
    </w:pPr>
    <w:rPr>
      <w:rFonts w:ascii="Courier New" w:hAnsi="Courier New" w:eastAsia="仿宋_GB2312" w:cs="Courier New"/>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qFormat/>
    <w:uiPriority w:val="0"/>
    <w:pPr>
      <w:widowControl w:val="0"/>
      <w:jc w:val="both"/>
    </w:pPr>
    <w:rPr>
      <w:rFonts w:ascii="Courier New" w:hAnsi="Courier New" w:eastAsia="仿宋_GB2312" w:cs="Courier New"/>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qFormat/>
    <w:uiPriority w:val="0"/>
    <w:pPr>
      <w:widowControl w:val="0"/>
      <w:jc w:val="both"/>
    </w:pPr>
    <w:rPr>
      <w:rFonts w:ascii="Courier New" w:hAnsi="Courier New" w:eastAsia="仿宋_GB2312" w:cs="Courier New"/>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qFormat/>
    <w:uiPriority w:val="0"/>
    <w:pPr>
      <w:widowControl w:val="0"/>
      <w:jc w:val="both"/>
    </w:pPr>
    <w:rPr>
      <w:rFonts w:ascii="Courier New" w:hAnsi="Courier New" w:eastAsia="仿宋_GB2312" w:cs="Courier New"/>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qFormat/>
    <w:uiPriority w:val="0"/>
    <w:pPr>
      <w:widowControl w:val="0"/>
      <w:jc w:val="both"/>
    </w:pPr>
    <w:rPr>
      <w:rFonts w:ascii="Courier New" w:hAnsi="Courier New" w:eastAsia="仿宋_GB2312" w:cs="Courier New"/>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qFormat/>
    <w:uiPriority w:val="0"/>
    <w:pPr>
      <w:widowControl w:val="0"/>
      <w:jc w:val="both"/>
    </w:pPr>
    <w:rPr>
      <w:rFonts w:ascii="Courier New" w:hAnsi="Courier New" w:eastAsia="仿宋_GB2312" w:cs="Courier New"/>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qFormat/>
    <w:uiPriority w:val="22"/>
    <w:rPr>
      <w:b/>
      <w:bCs/>
    </w:rPr>
  </w:style>
  <w:style w:type="character" w:styleId="136">
    <w:name w:val="page number"/>
    <w:basedOn w:val="134"/>
    <w:qFormat/>
    <w:uiPriority w:val="0"/>
  </w:style>
  <w:style w:type="character" w:styleId="137">
    <w:name w:val="FollowedHyperlink"/>
    <w:qFormat/>
    <w:uiPriority w:val="99"/>
    <w:rPr>
      <w:color w:val="800080"/>
      <w:u w:val="single"/>
    </w:rPr>
  </w:style>
  <w:style w:type="character" w:styleId="138">
    <w:name w:val="Emphasis"/>
    <w:qFormat/>
    <w:uiPriority w:val="0"/>
    <w:rPr>
      <w:color w:val="CC0033"/>
    </w:rPr>
  </w:style>
  <w:style w:type="character" w:styleId="139">
    <w:name w:val="line number"/>
    <w:semiHidden/>
    <w:qFormat/>
    <w:uiPriority w:val="0"/>
    <w:rPr>
      <w:rFonts w:ascii="仿宋_GB2312" w:hAnsi="仿宋_GB2312" w:eastAsia="仿宋_GB2312" w:cs="ˎ̥"/>
      <w:kern w:val="2"/>
      <w:sz w:val="32"/>
      <w:szCs w:val="32"/>
      <w:lang w:val="en-US" w:eastAsia="zh-CN" w:bidi="ar-SA"/>
    </w:rPr>
  </w:style>
  <w:style w:type="character" w:styleId="140">
    <w:name w:val="HTML Definition"/>
    <w:semiHidden/>
    <w:qFormat/>
    <w:uiPriority w:val="0"/>
    <w:rPr>
      <w:rFonts w:ascii="仿宋_GB2312" w:hAnsi="仿宋_GB2312" w:eastAsia="仿宋_GB2312" w:cs="ˎ̥"/>
      <w:i/>
      <w:iCs/>
      <w:kern w:val="2"/>
      <w:sz w:val="32"/>
      <w:szCs w:val="32"/>
      <w:lang w:val="en-US" w:eastAsia="zh-CN" w:bidi="ar-SA"/>
    </w:rPr>
  </w:style>
  <w:style w:type="character" w:styleId="141">
    <w:name w:val="HTML Typewriter"/>
    <w:qFormat/>
    <w:uiPriority w:val="0"/>
    <w:rPr>
      <w:rFonts w:ascii="仿宋_GB2312" w:hAnsi="仿宋_GB2312" w:eastAsia="仿宋_GB2312" w:cs="仿宋_GB2312"/>
      <w:sz w:val="18"/>
      <w:szCs w:val="18"/>
    </w:rPr>
  </w:style>
  <w:style w:type="character" w:styleId="142">
    <w:name w:val="HTML Acronym"/>
    <w:semiHidden/>
    <w:qFormat/>
    <w:uiPriority w:val="0"/>
    <w:rPr>
      <w:rFonts w:ascii="仿宋_GB2312" w:hAnsi="仿宋_GB2312" w:eastAsia="仿宋_GB2312" w:cs="ˎ̥"/>
      <w:kern w:val="2"/>
      <w:sz w:val="32"/>
      <w:szCs w:val="32"/>
      <w:lang w:val="en-US" w:eastAsia="zh-CN" w:bidi="ar-SA"/>
    </w:rPr>
  </w:style>
  <w:style w:type="character" w:styleId="143">
    <w:name w:val="HTML Variable"/>
    <w:semiHidden/>
    <w:qFormat/>
    <w:uiPriority w:val="0"/>
    <w:rPr>
      <w:rFonts w:ascii="仿宋_GB2312" w:hAnsi="仿宋_GB2312" w:eastAsia="仿宋_GB2312" w:cs="ˎ̥"/>
      <w:i/>
      <w:iCs/>
      <w:kern w:val="2"/>
      <w:sz w:val="32"/>
      <w:szCs w:val="32"/>
      <w:lang w:val="en-US" w:eastAsia="zh-CN" w:bidi="ar-SA"/>
    </w:rPr>
  </w:style>
  <w:style w:type="character" w:styleId="144">
    <w:name w:val="Hyperlink"/>
    <w:qFormat/>
    <w:uiPriority w:val="99"/>
    <w:rPr>
      <w:color w:val="0000FF"/>
      <w:u w:val="single"/>
    </w:rPr>
  </w:style>
  <w:style w:type="character" w:styleId="145">
    <w:name w:val="HTML Code"/>
    <w:qFormat/>
    <w:uiPriority w:val="0"/>
    <w:rPr>
      <w:rFonts w:ascii="ˎ̥" w:hAnsi="ˎ̥" w:eastAsia="仿宋_GB2312" w:cs="ˎ̥"/>
      <w:kern w:val="2"/>
      <w:sz w:val="20"/>
      <w:szCs w:val="20"/>
      <w:lang w:val="en-US" w:eastAsia="zh-CN" w:bidi="ar-SA"/>
    </w:rPr>
  </w:style>
  <w:style w:type="character" w:styleId="146">
    <w:name w:val="annotation reference"/>
    <w:basedOn w:val="134"/>
    <w:semiHidden/>
    <w:qFormat/>
    <w:uiPriority w:val="0"/>
    <w:rPr>
      <w:sz w:val="21"/>
      <w:szCs w:val="21"/>
    </w:rPr>
  </w:style>
  <w:style w:type="character" w:styleId="147">
    <w:name w:val="HTML Cite"/>
    <w:semiHidden/>
    <w:qFormat/>
    <w:uiPriority w:val="0"/>
    <w:rPr>
      <w:rFonts w:ascii="仿宋_GB2312" w:hAnsi="仿宋_GB2312" w:eastAsia="仿宋_GB2312" w:cs="ˎ̥"/>
      <w:i/>
      <w:iCs/>
      <w:kern w:val="2"/>
      <w:sz w:val="32"/>
      <w:szCs w:val="32"/>
      <w:lang w:val="en-US" w:eastAsia="zh-CN" w:bidi="ar-SA"/>
    </w:rPr>
  </w:style>
  <w:style w:type="character" w:styleId="148">
    <w:name w:val="footnote reference"/>
    <w:semiHidden/>
    <w:qFormat/>
    <w:uiPriority w:val="0"/>
    <w:rPr>
      <w:rFonts w:ascii="仿宋_GB2312" w:hAnsi="仿宋_GB2312" w:eastAsia="仿宋_GB2312" w:cs="ˎ̥"/>
      <w:kern w:val="2"/>
      <w:sz w:val="32"/>
      <w:szCs w:val="32"/>
      <w:vertAlign w:val="superscript"/>
      <w:lang w:val="en-US" w:eastAsia="zh-CN" w:bidi="ar-SA"/>
    </w:rPr>
  </w:style>
  <w:style w:type="character" w:styleId="149">
    <w:name w:val="HTML Keyboard"/>
    <w:semiHidden/>
    <w:qFormat/>
    <w:uiPriority w:val="0"/>
    <w:rPr>
      <w:rFonts w:ascii="ˎ̥" w:hAnsi="ˎ̥" w:eastAsia="仿宋_GB2312" w:cs="ˎ̥"/>
      <w:kern w:val="2"/>
      <w:sz w:val="20"/>
      <w:szCs w:val="20"/>
      <w:lang w:val="en-US" w:eastAsia="zh-CN" w:bidi="ar-SA"/>
    </w:rPr>
  </w:style>
  <w:style w:type="character" w:styleId="150">
    <w:name w:val="HTML Sample"/>
    <w:semiHidden/>
    <w:qFormat/>
    <w:uiPriority w:val="0"/>
    <w:rPr>
      <w:rFonts w:ascii="ˎ̥" w:hAnsi="ˎ̥" w:eastAsia="仿宋_GB2312" w:cs="ˎ̥"/>
      <w:kern w:val="2"/>
      <w:sz w:val="32"/>
      <w:szCs w:val="32"/>
      <w:lang w:val="en-US" w:eastAsia="zh-CN" w:bidi="ar-SA"/>
    </w:rPr>
  </w:style>
  <w:style w:type="paragraph" w:customStyle="1" w:styleId="151">
    <w:name w:val="Default"/>
    <w:basedOn w:val="152"/>
    <w:next w:val="153"/>
    <w:qFormat/>
    <w:uiPriority w:val="0"/>
    <w:pPr>
      <w:widowControl w:val="0"/>
      <w:autoSpaceDE w:val="0"/>
      <w:autoSpaceDN w:val="0"/>
      <w:adjustRightInd w:val="0"/>
    </w:pPr>
    <w:rPr>
      <w:rFonts w:ascii="Courier New" w:hAnsi="Courier New" w:eastAsia="仿宋_GB2312" w:cs="Courier New"/>
      <w:color w:val="000000"/>
      <w:sz w:val="24"/>
      <w:szCs w:val="24"/>
      <w:lang w:val="en-US" w:eastAsia="zh-CN" w:bidi="ar-SA"/>
    </w:rPr>
  </w:style>
  <w:style w:type="paragraph" w:customStyle="1" w:styleId="152">
    <w:name w:val="纯文本1"/>
    <w:basedOn w:val="1"/>
    <w:qFormat/>
    <w:uiPriority w:val="0"/>
    <w:pPr>
      <w:adjustRightInd w:val="0"/>
      <w:textAlignment w:val="baseline"/>
    </w:pPr>
    <w:rPr>
      <w:rFonts w:ascii="宋体" w:hAnsi="Courier New"/>
      <w:kern w:val="0"/>
      <w:sz w:val="28"/>
      <w:szCs w:val="20"/>
    </w:rPr>
  </w:style>
  <w:style w:type="paragraph" w:customStyle="1" w:styleId="153">
    <w:name w:val="样式1"/>
    <w:basedOn w:val="63"/>
    <w:next w:val="40"/>
    <w:link w:val="1054"/>
    <w:qFormat/>
    <w:uiPriority w:val="0"/>
    <w:pPr>
      <w:snapToGrid w:val="0"/>
      <w:jc w:val="center"/>
    </w:pPr>
    <w:rPr>
      <w:rFonts w:ascii="仿宋_GB2312" w:hAnsi="Courier New" w:eastAsia="仿宋_GB2312" w:cs="Courier New"/>
      <w:szCs w:val="20"/>
    </w:rPr>
  </w:style>
  <w:style w:type="paragraph" w:customStyle="1" w:styleId="154">
    <w:name w:val="6表(图)头(治)"/>
    <w:next w:val="1"/>
    <w:qFormat/>
    <w:uiPriority w:val="99"/>
    <w:pPr>
      <w:widowControl w:val="0"/>
      <w:adjustRightInd w:val="0"/>
      <w:snapToGrid w:val="0"/>
      <w:jc w:val="center"/>
    </w:pPr>
    <w:rPr>
      <w:rFonts w:ascii="Times New Roman" w:hAnsi="宋体" w:eastAsia="宋体" w:cs="Times New Roman"/>
      <w:sz w:val="21"/>
      <w:szCs w:val="21"/>
      <w:lang w:val="en-US" w:eastAsia="zh-CN" w:bidi="ar-SA"/>
    </w:rPr>
  </w:style>
  <w:style w:type="paragraph" w:customStyle="1" w:styleId="155">
    <w:name w:val="表格文字"/>
    <w:link w:val="189"/>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156">
    <w:name w:val="标题1"/>
    <w:basedOn w:val="1"/>
    <w:next w:val="1"/>
    <w:qFormat/>
    <w:uiPriority w:val="0"/>
    <w:pPr>
      <w:tabs>
        <w:tab w:val="left" w:pos="0"/>
      </w:tabs>
      <w:spacing w:line="440" w:lineRule="exact"/>
    </w:pPr>
    <w:rPr>
      <w:sz w:val="24"/>
      <w:szCs w:val="20"/>
    </w:rPr>
  </w:style>
  <w:style w:type="paragraph" w:customStyle="1" w:styleId="157">
    <w:name w:val="表格文字2"/>
    <w:basedOn w:val="155"/>
    <w:qFormat/>
    <w:uiPriority w:val="0"/>
    <w:pPr>
      <w:autoSpaceDE/>
      <w:autoSpaceDN/>
      <w:spacing w:before="60"/>
      <w:jc w:val="center"/>
    </w:pPr>
    <w:rPr>
      <w:color w:val="auto"/>
    </w:rPr>
  </w:style>
  <w:style w:type="paragraph" w:customStyle="1" w:styleId="158">
    <w:name w:val="8--"/>
    <w:basedOn w:val="1"/>
    <w:qFormat/>
    <w:uiPriority w:val="0"/>
    <w:pPr>
      <w:adjustRightInd w:val="0"/>
      <w:spacing w:line="360" w:lineRule="atLeast"/>
      <w:jc w:val="left"/>
      <w:textAlignment w:val="baseline"/>
    </w:pPr>
    <w:rPr>
      <w:kern w:val="0"/>
      <w:sz w:val="24"/>
      <w:szCs w:val="20"/>
    </w:rPr>
  </w:style>
  <w:style w:type="paragraph" w:customStyle="1" w:styleId="159">
    <w:name w:val="xl4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hint="eastAsia" w:ascii="宋体" w:hAnsi="宋体"/>
      <w:kern w:val="0"/>
      <w:sz w:val="28"/>
      <w:szCs w:val="20"/>
    </w:rPr>
  </w:style>
  <w:style w:type="paragraph" w:customStyle="1" w:styleId="160">
    <w:name w:val="纯文本2"/>
    <w:basedOn w:val="1"/>
    <w:qFormat/>
    <w:uiPriority w:val="0"/>
    <w:pPr>
      <w:adjustRightInd w:val="0"/>
      <w:spacing w:line="360" w:lineRule="auto"/>
      <w:ind w:firstLine="425"/>
      <w:jc w:val="left"/>
      <w:textAlignment w:val="baseline"/>
    </w:pPr>
    <w:rPr>
      <w:rFonts w:ascii="宋体"/>
      <w:kern w:val="0"/>
      <w:sz w:val="24"/>
      <w:szCs w:val="20"/>
    </w:rPr>
  </w:style>
  <w:style w:type="paragraph" w:customStyle="1" w:styleId="161">
    <w:name w:val="font0"/>
    <w:basedOn w:val="1"/>
    <w:qFormat/>
    <w:uiPriority w:val="0"/>
    <w:pPr>
      <w:widowControl/>
      <w:spacing w:before="100" w:after="100"/>
      <w:jc w:val="left"/>
    </w:pPr>
    <w:rPr>
      <w:rFonts w:hint="eastAsia" w:ascii="宋体" w:hAnsi="宋体"/>
      <w:kern w:val="0"/>
      <w:sz w:val="24"/>
      <w:szCs w:val="20"/>
    </w:rPr>
  </w:style>
  <w:style w:type="paragraph" w:customStyle="1" w:styleId="162">
    <w:name w:val="font7"/>
    <w:basedOn w:val="1"/>
    <w:qFormat/>
    <w:uiPriority w:val="0"/>
    <w:pPr>
      <w:widowControl/>
      <w:spacing w:before="100" w:after="100"/>
      <w:jc w:val="left"/>
    </w:pPr>
    <w:rPr>
      <w:kern w:val="0"/>
      <w:sz w:val="24"/>
      <w:szCs w:val="20"/>
    </w:rPr>
  </w:style>
  <w:style w:type="paragraph" w:customStyle="1" w:styleId="163">
    <w:name w:val="xl30"/>
    <w:basedOn w:val="1"/>
    <w:qFormat/>
    <w:uiPriority w:val="0"/>
    <w:pPr>
      <w:widowControl/>
      <w:pBdr>
        <w:left w:val="single" w:color="auto" w:sz="12" w:space="0"/>
        <w:right w:val="single" w:color="auto" w:sz="4" w:space="0"/>
      </w:pBdr>
      <w:spacing w:before="100" w:after="100"/>
      <w:jc w:val="center"/>
    </w:pPr>
    <w:rPr>
      <w:rFonts w:ascii="宋体" w:hAnsi="宋体"/>
      <w:kern w:val="0"/>
      <w:sz w:val="24"/>
      <w:szCs w:val="20"/>
    </w:rPr>
  </w:style>
  <w:style w:type="paragraph" w:customStyle="1" w:styleId="164">
    <w:name w:val="font6"/>
    <w:basedOn w:val="1"/>
    <w:qFormat/>
    <w:uiPriority w:val="0"/>
    <w:pPr>
      <w:widowControl/>
      <w:spacing w:before="100" w:after="100"/>
      <w:jc w:val="left"/>
    </w:pPr>
    <w:rPr>
      <w:kern w:val="0"/>
      <w:sz w:val="20"/>
      <w:szCs w:val="20"/>
    </w:rPr>
  </w:style>
  <w:style w:type="paragraph" w:customStyle="1" w:styleId="165">
    <w:name w:val="表格文字1"/>
    <w:basedOn w:val="1"/>
    <w:qFormat/>
    <w:uiPriority w:val="0"/>
    <w:pPr>
      <w:adjustRightInd w:val="0"/>
      <w:spacing w:before="120" w:line="360" w:lineRule="auto"/>
      <w:ind w:left="113"/>
      <w:jc w:val="left"/>
      <w:textAlignment w:val="baseline"/>
    </w:pPr>
    <w:rPr>
      <w:rFonts w:ascii="宋体"/>
      <w:kern w:val="0"/>
      <w:sz w:val="24"/>
      <w:szCs w:val="20"/>
    </w:rPr>
  </w:style>
  <w:style w:type="paragraph" w:customStyle="1" w:styleId="166">
    <w:name w:val="列表编号1"/>
    <w:basedOn w:val="1"/>
    <w:qFormat/>
    <w:uiPriority w:val="0"/>
    <w:pPr>
      <w:adjustRightInd w:val="0"/>
      <w:spacing w:line="360" w:lineRule="auto"/>
      <w:ind w:left="425" w:hanging="425"/>
      <w:jc w:val="left"/>
      <w:textAlignment w:val="baseline"/>
    </w:pPr>
    <w:rPr>
      <w:rFonts w:ascii="宋体"/>
      <w:kern w:val="0"/>
      <w:sz w:val="24"/>
      <w:szCs w:val="20"/>
    </w:rPr>
  </w:style>
  <w:style w:type="paragraph" w:customStyle="1" w:styleId="167">
    <w:name w:val="样式2"/>
    <w:basedOn w:val="1"/>
    <w:link w:val="195"/>
    <w:qFormat/>
    <w:uiPriority w:val="0"/>
    <w:pPr>
      <w:widowControl/>
      <w:adjustRightInd w:val="0"/>
      <w:spacing w:before="120" w:line="360" w:lineRule="auto"/>
      <w:ind w:firstLine="425"/>
      <w:jc w:val="left"/>
      <w:textAlignment w:val="baseline"/>
    </w:pPr>
    <w:rPr>
      <w:rFonts w:ascii="宋体"/>
      <w:kern w:val="0"/>
      <w:sz w:val="24"/>
      <w:szCs w:val="20"/>
    </w:rPr>
  </w:style>
  <w:style w:type="paragraph" w:customStyle="1" w:styleId="168">
    <w:name w:val="xl25"/>
    <w:basedOn w:val="1"/>
    <w:qFormat/>
    <w:uiPriority w:val="0"/>
    <w:pPr>
      <w:widowControl/>
      <w:spacing w:before="100" w:beforeAutospacing="1" w:after="100" w:afterAutospacing="1"/>
      <w:jc w:val="left"/>
    </w:pPr>
    <w:rPr>
      <w:rFonts w:ascii="Arial Unicode MS" w:hAnsi="Arial Unicode MS" w:eastAsia="Arial Unicode MS" w:cs="Arial Unicode MS"/>
      <w:kern w:val="0"/>
      <w:szCs w:val="21"/>
    </w:rPr>
  </w:style>
  <w:style w:type="paragraph" w:customStyle="1" w:styleId="16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UniversalMath1 BT" w:hAnsi="UniversalMath1 BT" w:eastAsia="Arial Unicode MS" w:cs="Arial Unicode MS"/>
      <w:kern w:val="0"/>
      <w:szCs w:val="21"/>
    </w:rPr>
  </w:style>
  <w:style w:type="paragraph" w:customStyle="1" w:styleId="170">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71">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172">
    <w:name w:val="xl26"/>
    <w:basedOn w:val="1"/>
    <w:qFormat/>
    <w:uiPriority w:val="0"/>
    <w:pPr>
      <w:widowControl/>
      <w:pBdr>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kern w:val="0"/>
      <w:szCs w:val="21"/>
    </w:rPr>
  </w:style>
  <w:style w:type="paragraph" w:customStyle="1" w:styleId="173">
    <w:name w:val="xl28"/>
    <w:basedOn w:val="1"/>
    <w:qFormat/>
    <w:uiPriority w:val="0"/>
    <w:pPr>
      <w:widowControl/>
      <w:pBdr>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kern w:val="0"/>
      <w:szCs w:val="21"/>
    </w:rPr>
  </w:style>
  <w:style w:type="paragraph" w:customStyle="1" w:styleId="174">
    <w:name w:val="font8"/>
    <w:basedOn w:val="1"/>
    <w:qFormat/>
    <w:uiPriority w:val="0"/>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175">
    <w:name w:val="font9"/>
    <w:basedOn w:val="1"/>
    <w:qFormat/>
    <w:uiPriority w:val="0"/>
    <w:pPr>
      <w:widowControl/>
      <w:spacing w:before="100" w:beforeAutospacing="1" w:after="100" w:afterAutospacing="1"/>
      <w:jc w:val="left"/>
    </w:pPr>
    <w:rPr>
      <w:rFonts w:eastAsia="Arial Unicode MS"/>
      <w:kern w:val="0"/>
      <w:sz w:val="24"/>
    </w:rPr>
  </w:style>
  <w:style w:type="paragraph" w:customStyle="1" w:styleId="176">
    <w:name w:val="font1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177">
    <w:name w:val="xl29"/>
    <w:basedOn w:val="1"/>
    <w:qFormat/>
    <w:uiPriority w:val="0"/>
    <w:pPr>
      <w:widowControl/>
      <w:shd w:val="clear" w:color="auto" w:fill="00CCFF"/>
      <w:spacing w:before="100" w:beforeAutospacing="1" w:after="100" w:afterAutospacing="1"/>
      <w:jc w:val="left"/>
    </w:pPr>
    <w:rPr>
      <w:rFonts w:ascii="Arial Unicode MS" w:hAnsi="Arial Unicode MS" w:eastAsia="Arial Unicode MS" w:cs="Arial Unicode MS"/>
      <w:kern w:val="0"/>
      <w:sz w:val="24"/>
    </w:rPr>
  </w:style>
  <w:style w:type="paragraph" w:customStyle="1" w:styleId="178">
    <w:name w:val="样式 标题 4 + (中文) 黑体"/>
    <w:basedOn w:val="8"/>
    <w:qFormat/>
    <w:uiPriority w:val="0"/>
    <w:pPr>
      <w:keepNext w:val="0"/>
      <w:keepLines w:val="0"/>
    </w:pPr>
    <w:rPr>
      <w:rFonts w:ascii="宋体" w:hAnsi="宋体"/>
      <w:bCs/>
      <w:sz w:val="24"/>
      <w:szCs w:val="24"/>
    </w:rPr>
  </w:style>
  <w:style w:type="paragraph" w:customStyle="1" w:styleId="179">
    <w:name w:val="样式 标题 2 + 段前: 6 磅 段后: 0 磅"/>
    <w:basedOn w:val="6"/>
    <w:qFormat/>
    <w:uiPriority w:val="0"/>
    <w:pPr>
      <w:keepNext w:val="0"/>
      <w:keepLines w:val="0"/>
      <w:numPr>
        <w:ilvl w:val="0"/>
        <w:numId w:val="0"/>
      </w:numPr>
      <w:spacing w:after="0"/>
    </w:pPr>
    <w:rPr>
      <w:rFonts w:ascii="Times New Roman" w:hAnsi="Times New Roman"/>
      <w:b w:val="0"/>
      <w:bCs/>
      <w:sz w:val="24"/>
      <w:szCs w:val="24"/>
    </w:rPr>
  </w:style>
  <w:style w:type="paragraph" w:customStyle="1" w:styleId="180">
    <w:name w:val="样式 标题 3 + 段前: 0 磅"/>
    <w:basedOn w:val="7"/>
    <w:qFormat/>
    <w:uiPriority w:val="0"/>
    <w:pPr>
      <w:spacing w:before="0"/>
    </w:pPr>
    <w:rPr>
      <w:rFonts w:eastAsia="黑体" w:cs="宋体"/>
      <w:b w:val="0"/>
      <w:bCs/>
      <w:sz w:val="28"/>
    </w:rPr>
  </w:style>
  <w:style w:type="paragraph" w:customStyle="1" w:styleId="181">
    <w:name w:val="样式 标题 1 + 行距: 1.5 倍行距"/>
    <w:basedOn w:val="5"/>
    <w:qFormat/>
    <w:uiPriority w:val="0"/>
    <w:pPr>
      <w:spacing w:line="360" w:lineRule="auto"/>
    </w:pPr>
    <w:rPr>
      <w:rFonts w:cs="宋体"/>
      <w:bCs/>
    </w:rPr>
  </w:style>
  <w:style w:type="paragraph" w:customStyle="1" w:styleId="182">
    <w:name w:val="样式 标题 5 + 红色"/>
    <w:basedOn w:val="9"/>
    <w:qFormat/>
    <w:uiPriority w:val="0"/>
    <w:rPr>
      <w:bCs/>
    </w:rPr>
  </w:style>
  <w:style w:type="paragraph" w:customStyle="1" w:styleId="183">
    <w:name w:val="报告正文"/>
    <w:basedOn w:val="1"/>
    <w:next w:val="4"/>
    <w:link w:val="196"/>
    <w:qFormat/>
    <w:uiPriority w:val="0"/>
    <w:pPr>
      <w:spacing w:line="480" w:lineRule="exact"/>
      <w:ind w:firstLine="200" w:firstLineChars="200"/>
    </w:pPr>
    <w:rPr>
      <w:sz w:val="24"/>
    </w:rPr>
  </w:style>
  <w:style w:type="paragraph" w:customStyle="1" w:styleId="184">
    <w:name w:val="表格题注 + 段前: 0.5 行"/>
    <w:basedOn w:val="23"/>
    <w:qFormat/>
    <w:uiPriority w:val="0"/>
    <w:pPr>
      <w:keepNext/>
      <w:spacing w:beforeLines="50"/>
      <w:jc w:val="center"/>
    </w:pPr>
    <w:rPr>
      <w:rFonts w:cs="Times New Roman"/>
      <w:sz w:val="24"/>
    </w:rPr>
  </w:style>
  <w:style w:type="character" w:customStyle="1" w:styleId="185">
    <w:name w:val="highlight1"/>
    <w:qFormat/>
    <w:uiPriority w:val="0"/>
    <w:rPr>
      <w:sz w:val="21"/>
      <w:szCs w:val="21"/>
    </w:rPr>
  </w:style>
  <w:style w:type="paragraph" w:customStyle="1" w:styleId="186">
    <w:name w:val="Char6"/>
    <w:basedOn w:val="1"/>
    <w:qFormat/>
    <w:uiPriority w:val="0"/>
  </w:style>
  <w:style w:type="paragraph" w:customStyle="1" w:styleId="187">
    <w:name w:val="Char Char Char Char Char Char Char Char Char Char Char Char Char"/>
    <w:basedOn w:val="1"/>
    <w:qFormat/>
    <w:uiPriority w:val="0"/>
    <w:rPr>
      <w:sz w:val="24"/>
    </w:rPr>
  </w:style>
  <w:style w:type="character" w:customStyle="1" w:styleId="188">
    <w:name w:val="正文文本 字符"/>
    <w:link w:val="4"/>
    <w:qFormat/>
    <w:uiPriority w:val="99"/>
    <w:rPr>
      <w:rFonts w:ascii="宋体" w:eastAsia="宋体"/>
      <w:color w:val="000000"/>
      <w:sz w:val="24"/>
      <w:lang w:val="en-US" w:eastAsia="zh-CN" w:bidi="ar-SA"/>
    </w:rPr>
  </w:style>
  <w:style w:type="character" w:customStyle="1" w:styleId="189">
    <w:name w:val="表格文字 Char"/>
    <w:link w:val="155"/>
    <w:qFormat/>
    <w:uiPriority w:val="0"/>
    <w:rPr>
      <w:rFonts w:ascii="宋体"/>
      <w:color w:val="000000"/>
      <w:sz w:val="24"/>
      <w:lang w:val="en-US" w:eastAsia="zh-CN" w:bidi="ar-SA"/>
    </w:rPr>
  </w:style>
  <w:style w:type="paragraph" w:customStyle="1" w:styleId="190">
    <w:name w:val="1 Char Char Char Char Char Char Char Char Char Char"/>
    <w:basedOn w:val="1"/>
    <w:qFormat/>
    <w:uiPriority w:val="0"/>
    <w:rPr>
      <w:rFonts w:ascii="Courier New" w:hAnsi="Courier New" w:eastAsia="仿宋_GB2312" w:cs="Courier New"/>
      <w:szCs w:val="20"/>
    </w:rPr>
  </w:style>
  <w:style w:type="character" w:customStyle="1" w:styleId="191">
    <w:name w:val="正文(首缩进) Char1"/>
    <w:link w:val="192"/>
    <w:qFormat/>
    <w:uiPriority w:val="0"/>
    <w:rPr>
      <w:rFonts w:eastAsia="华文楷体"/>
      <w:kern w:val="2"/>
      <w:sz w:val="28"/>
      <w:szCs w:val="24"/>
      <w:lang w:val="en-US" w:eastAsia="zh-CN" w:bidi="ar-SA"/>
    </w:rPr>
  </w:style>
  <w:style w:type="paragraph" w:customStyle="1" w:styleId="192">
    <w:name w:val="正文(首缩进)"/>
    <w:basedOn w:val="1"/>
    <w:link w:val="191"/>
    <w:qFormat/>
    <w:uiPriority w:val="0"/>
    <w:pPr>
      <w:spacing w:afterLines="25" w:line="360" w:lineRule="auto"/>
      <w:ind w:firstLine="560" w:firstLineChars="200"/>
    </w:pPr>
    <w:rPr>
      <w:rFonts w:eastAsia="华文楷体"/>
      <w:sz w:val="28"/>
    </w:rPr>
  </w:style>
  <w:style w:type="paragraph" w:customStyle="1" w:styleId="193">
    <w:name w:val="+正文"/>
    <w:basedOn w:val="1"/>
    <w:qFormat/>
    <w:uiPriority w:val="0"/>
    <w:pPr>
      <w:spacing w:line="360" w:lineRule="auto"/>
      <w:ind w:firstLine="200" w:firstLineChars="200"/>
    </w:pPr>
    <w:rPr>
      <w:rFonts w:ascii="Courier New" w:hAnsi="Courier New" w:eastAsia="仿宋_GB2312" w:cs="Courier New"/>
      <w:sz w:val="24"/>
    </w:rPr>
  </w:style>
  <w:style w:type="character" w:customStyle="1" w:styleId="194">
    <w:name w:val="页眉 字符"/>
    <w:link w:val="57"/>
    <w:qFormat/>
    <w:uiPriority w:val="0"/>
    <w:rPr>
      <w:rFonts w:eastAsia="宋体"/>
      <w:sz w:val="18"/>
      <w:lang w:val="en-US" w:eastAsia="zh-CN" w:bidi="ar-SA"/>
    </w:rPr>
  </w:style>
  <w:style w:type="character" w:customStyle="1" w:styleId="195">
    <w:name w:val="样式2 Char"/>
    <w:link w:val="167"/>
    <w:qFormat/>
    <w:uiPriority w:val="0"/>
    <w:rPr>
      <w:rFonts w:ascii="宋体" w:eastAsia="宋体"/>
      <w:sz w:val="24"/>
      <w:lang w:val="en-US" w:eastAsia="zh-CN" w:bidi="ar-SA"/>
    </w:rPr>
  </w:style>
  <w:style w:type="character" w:customStyle="1" w:styleId="196">
    <w:name w:val="报告正文 Char"/>
    <w:link w:val="183"/>
    <w:qFormat/>
    <w:uiPriority w:val="0"/>
    <w:rPr>
      <w:rFonts w:eastAsia="宋体"/>
      <w:kern w:val="2"/>
      <w:sz w:val="24"/>
      <w:szCs w:val="24"/>
      <w:lang w:val="en-US" w:eastAsia="zh-CN" w:bidi="ar-SA"/>
    </w:rPr>
  </w:style>
  <w:style w:type="paragraph" w:customStyle="1" w:styleId="197">
    <w:name w:val="Char Char Char3 Char Char Char Char Char Char Char Char Char Char"/>
    <w:basedOn w:val="1"/>
    <w:qFormat/>
    <w:uiPriority w:val="0"/>
    <w:rPr>
      <w:rFonts w:ascii="Courier New" w:hAnsi="Courier New" w:eastAsia="仿宋_GB2312" w:cs="Courier New"/>
      <w:sz w:val="24"/>
    </w:rPr>
  </w:style>
  <w:style w:type="paragraph" w:customStyle="1" w:styleId="198">
    <w:name w:val="缩进"/>
    <w:basedOn w:val="1"/>
    <w:qFormat/>
    <w:uiPriority w:val="0"/>
    <w:pPr>
      <w:autoSpaceDE w:val="0"/>
      <w:autoSpaceDN w:val="0"/>
      <w:adjustRightInd w:val="0"/>
      <w:spacing w:line="400" w:lineRule="atLeast"/>
      <w:ind w:firstLine="425"/>
      <w:textAlignment w:val="baseline"/>
    </w:pPr>
    <w:rPr>
      <w:rFonts w:ascii="Courier New" w:hAnsi="Courier New" w:eastAsia="仿宋_GB2312" w:cs="Courier New"/>
      <w:color w:val="000000"/>
      <w:sz w:val="24"/>
      <w:szCs w:val="21"/>
    </w:rPr>
  </w:style>
  <w:style w:type="paragraph" w:customStyle="1" w:styleId="199">
    <w:name w:val="样式 标题 2标题节标题 2 Charm标题 2 + 红色 段前: 0.5 行 段后: 0.5 行"/>
    <w:basedOn w:val="6"/>
    <w:qFormat/>
    <w:uiPriority w:val="0"/>
    <w:pPr>
      <w:tabs>
        <w:tab w:val="left" w:pos="600"/>
      </w:tabs>
      <w:spacing w:beforeLines="50" w:afterLines="50"/>
    </w:pPr>
    <w:rPr>
      <w:rFonts w:ascii="Courier New" w:hAnsi="Courier New" w:eastAsia="华文楷体" w:cs="仿宋_GB2312"/>
      <w:b w:val="0"/>
      <w:bCs/>
      <w:color w:val="FF0000"/>
      <w:sz w:val="30"/>
    </w:rPr>
  </w:style>
  <w:style w:type="paragraph" w:customStyle="1" w:styleId="200">
    <w:name w:val="Char Char Char Char Char Char Char"/>
    <w:basedOn w:val="1"/>
    <w:qFormat/>
    <w:uiPriority w:val="0"/>
    <w:rPr>
      <w:rFonts w:ascii="Courier New" w:hAnsi="Courier New" w:eastAsia="仿宋_GB2312" w:cs="Courier New"/>
    </w:rPr>
  </w:style>
  <w:style w:type="paragraph" w:customStyle="1" w:styleId="201">
    <w:name w:val="xl23"/>
    <w:basedOn w:val="1"/>
    <w:qFormat/>
    <w:uiPriority w:val="0"/>
    <w:pPr>
      <w:widowControl/>
      <w:spacing w:before="100" w:beforeAutospacing="1" w:after="100" w:afterAutospacing="1"/>
      <w:jc w:val="center"/>
    </w:pPr>
    <w:rPr>
      <w:rFonts w:ascii="仿宋_GB2312" w:hAnsi="仿宋_GB2312" w:eastAsia="仿宋_GB2312" w:cs="Courier New"/>
      <w:kern w:val="0"/>
      <w:sz w:val="24"/>
    </w:rPr>
  </w:style>
  <w:style w:type="paragraph" w:customStyle="1" w:styleId="202">
    <w:name w:val="Char Char Char Char"/>
    <w:basedOn w:val="1"/>
    <w:qFormat/>
    <w:uiPriority w:val="0"/>
    <w:rPr>
      <w:rFonts w:ascii="Courier New" w:hAnsi="Courier New" w:eastAsia="仿宋_GB2312" w:cs="Courier New"/>
    </w:rPr>
  </w:style>
  <w:style w:type="paragraph" w:customStyle="1" w:styleId="203">
    <w:name w:val="前言、引言标题"/>
    <w:next w:val="1"/>
    <w:qFormat/>
    <w:uiPriority w:val="0"/>
    <w:pPr>
      <w:numPr>
        <w:ilvl w:val="0"/>
        <w:numId w:val="10"/>
      </w:numPr>
      <w:shd w:val="clear" w:color="FFFFFF" w:fill="FFFFFF"/>
      <w:tabs>
        <w:tab w:val="left" w:pos="903"/>
      </w:tabs>
      <w:spacing w:before="640" w:after="560"/>
      <w:ind w:left="903" w:hanging="315"/>
      <w:jc w:val="center"/>
      <w:outlineLvl w:val="0"/>
    </w:pPr>
    <w:rPr>
      <w:rFonts w:ascii="Arial Unicode MS" w:hAnsi="Courier New" w:eastAsia="Arial Unicode MS" w:cs="Courier New"/>
      <w:sz w:val="32"/>
      <w:lang w:val="en-US" w:eastAsia="zh-CN" w:bidi="ar-SA"/>
    </w:rPr>
  </w:style>
  <w:style w:type="paragraph" w:customStyle="1" w:styleId="204">
    <w:name w:val="一级条标题"/>
    <w:basedOn w:val="5"/>
    <w:next w:val="1"/>
    <w:qFormat/>
    <w:uiPriority w:val="0"/>
    <w:pPr>
      <w:keepNext w:val="0"/>
      <w:keepLines w:val="0"/>
      <w:pageBreakBefore w:val="0"/>
      <w:widowControl/>
      <w:numPr>
        <w:numId w:val="0"/>
      </w:numPr>
      <w:tabs>
        <w:tab w:val="left" w:pos="360"/>
      </w:tabs>
      <w:adjustRightInd/>
      <w:spacing w:before="0" w:after="0" w:line="240" w:lineRule="auto"/>
      <w:jc w:val="both"/>
      <w:textAlignment w:val="auto"/>
      <w:outlineLvl w:val="2"/>
    </w:pPr>
    <w:rPr>
      <w:rFonts w:ascii="Arial Unicode MS" w:hAnsi="Courier New" w:eastAsia="Arial Unicode MS" w:cs="Courier New"/>
      <w:kern w:val="0"/>
      <w:sz w:val="21"/>
    </w:rPr>
  </w:style>
  <w:style w:type="paragraph" w:customStyle="1" w:styleId="205">
    <w:name w:val="二级条标题"/>
    <w:basedOn w:val="204"/>
    <w:next w:val="1"/>
    <w:qFormat/>
    <w:uiPriority w:val="0"/>
    <w:pPr>
      <w:outlineLvl w:val="3"/>
    </w:pPr>
  </w:style>
  <w:style w:type="paragraph" w:customStyle="1" w:styleId="206">
    <w:name w:val="三级条标题"/>
    <w:basedOn w:val="205"/>
    <w:next w:val="1"/>
    <w:qFormat/>
    <w:uiPriority w:val="0"/>
    <w:pPr>
      <w:outlineLvl w:val="4"/>
    </w:pPr>
  </w:style>
  <w:style w:type="paragraph" w:customStyle="1" w:styleId="207">
    <w:name w:val="四级条标题"/>
    <w:basedOn w:val="206"/>
    <w:next w:val="1"/>
    <w:qFormat/>
    <w:uiPriority w:val="0"/>
    <w:pPr>
      <w:outlineLvl w:val="5"/>
    </w:pPr>
  </w:style>
  <w:style w:type="paragraph" w:customStyle="1" w:styleId="208">
    <w:name w:val="五级条标题"/>
    <w:basedOn w:val="207"/>
    <w:next w:val="1"/>
    <w:qFormat/>
    <w:uiPriority w:val="0"/>
    <w:pPr>
      <w:outlineLvl w:val="6"/>
    </w:pPr>
  </w:style>
  <w:style w:type="paragraph" w:customStyle="1" w:styleId="209">
    <w:name w:val="图名"/>
    <w:basedOn w:val="1"/>
    <w:next w:val="8"/>
    <w:link w:val="1223"/>
    <w:qFormat/>
    <w:uiPriority w:val="0"/>
    <w:pPr>
      <w:adjustRightInd w:val="0"/>
      <w:snapToGrid w:val="0"/>
      <w:jc w:val="center"/>
    </w:pPr>
    <w:rPr>
      <w:rFonts w:ascii="Arial Unicode MS" w:hAnsi="Courier New" w:eastAsia="Arial Unicode MS"/>
      <w:b/>
      <w:color w:val="FF0000"/>
      <w:sz w:val="24"/>
      <w:szCs w:val="20"/>
    </w:rPr>
  </w:style>
  <w:style w:type="paragraph" w:customStyle="1" w:styleId="210">
    <w:name w:val="表格文本"/>
    <w:basedOn w:val="1"/>
    <w:next w:val="1"/>
    <w:qFormat/>
    <w:uiPriority w:val="0"/>
    <w:pPr>
      <w:spacing w:line="240" w:lineRule="exact"/>
    </w:pPr>
    <w:rPr>
      <w:rFonts w:ascii="Courier New" w:hAnsi="Courier New" w:eastAsia="仿宋_GB2312" w:cs="Courier New"/>
      <w:szCs w:val="20"/>
    </w:rPr>
  </w:style>
  <w:style w:type="paragraph" w:customStyle="1" w:styleId="211">
    <w:name w:val="正文-使用"/>
    <w:basedOn w:val="1"/>
    <w:qFormat/>
    <w:uiPriority w:val="0"/>
    <w:pPr>
      <w:spacing w:line="360" w:lineRule="auto"/>
      <w:ind w:firstLine="482"/>
    </w:pPr>
    <w:rPr>
      <w:rFonts w:ascii="Courier New" w:hAnsi="Courier New" w:eastAsia="仿宋_GB2312" w:cs="Courier New"/>
      <w:sz w:val="24"/>
      <w:szCs w:val="20"/>
    </w:rPr>
  </w:style>
  <w:style w:type="paragraph" w:customStyle="1" w:styleId="212">
    <w:name w:val="样式3"/>
    <w:basedOn w:val="167"/>
    <w:link w:val="801"/>
    <w:qFormat/>
    <w:uiPriority w:val="0"/>
    <w:pPr>
      <w:widowControl w:val="0"/>
      <w:snapToGrid w:val="0"/>
      <w:spacing w:before="0" w:line="320" w:lineRule="exact"/>
      <w:ind w:firstLine="0"/>
      <w:jc w:val="center"/>
      <w:textAlignment w:val="auto"/>
    </w:pPr>
    <w:rPr>
      <w:rFonts w:ascii="Courier New" w:hAnsi="Courier New" w:eastAsia="仿宋_GB2312" w:cs="Courier New"/>
      <w:snapToGrid w:val="0"/>
      <w:color w:val="000000"/>
      <w:sz w:val="21"/>
      <w:szCs w:val="21"/>
    </w:rPr>
  </w:style>
  <w:style w:type="paragraph" w:customStyle="1" w:styleId="213">
    <w:name w:val="Char Char Char Char4"/>
    <w:basedOn w:val="1"/>
    <w:qFormat/>
    <w:uiPriority w:val="0"/>
    <w:pPr>
      <w:spacing w:line="360" w:lineRule="auto"/>
      <w:ind w:firstLine="200" w:firstLineChars="200"/>
    </w:pPr>
    <w:rPr>
      <w:rFonts w:ascii="Courier New" w:hAnsi="Courier New" w:eastAsia="仿宋_GB2312" w:cs="Courier New"/>
      <w:sz w:val="24"/>
    </w:rPr>
  </w:style>
  <w:style w:type="paragraph" w:customStyle="1" w:styleId="214">
    <w:name w:val="PSPSPSPS"/>
    <w:basedOn w:val="1"/>
    <w:qFormat/>
    <w:uiPriority w:val="0"/>
    <w:pPr>
      <w:adjustRightInd w:val="0"/>
      <w:spacing w:line="600" w:lineRule="atLeast"/>
      <w:textAlignment w:val="baseline"/>
    </w:pPr>
    <w:rPr>
      <w:rFonts w:ascii="Courier New" w:hAnsi="Courier New" w:eastAsia="仿宋_GB2312" w:cs="Courier New"/>
      <w:kern w:val="0"/>
      <w:sz w:val="28"/>
      <w:szCs w:val="20"/>
    </w:rPr>
  </w:style>
  <w:style w:type="character" w:customStyle="1" w:styleId="215">
    <w:name w:val="p11"/>
    <w:qFormat/>
    <w:uiPriority w:val="0"/>
    <w:rPr>
      <w:rFonts w:hint="eastAsia" w:ascii="仿宋_GB2312" w:hAnsi="仿宋_GB2312" w:eastAsia="仿宋_GB2312"/>
      <w:sz w:val="18"/>
      <w:szCs w:val="18"/>
    </w:rPr>
  </w:style>
  <w:style w:type="paragraph" w:customStyle="1" w:styleId="216">
    <w:name w:val="正文-叶"/>
    <w:basedOn w:val="1"/>
    <w:qFormat/>
    <w:uiPriority w:val="0"/>
    <w:pPr>
      <w:topLinePunct/>
      <w:spacing w:line="312" w:lineRule="auto"/>
      <w:ind w:firstLine="465"/>
    </w:pPr>
    <w:rPr>
      <w:rFonts w:ascii="Courier New" w:hAnsi="Courier New" w:eastAsia="仿宋_GB2312" w:cs="Courier New"/>
      <w:sz w:val="24"/>
      <w:szCs w:val="20"/>
    </w:rPr>
  </w:style>
  <w:style w:type="paragraph" w:customStyle="1" w:styleId="217">
    <w:name w:val="Char Char Char Char Char Char Char Char Char"/>
    <w:basedOn w:val="1"/>
    <w:qFormat/>
    <w:uiPriority w:val="0"/>
    <w:pPr>
      <w:spacing w:line="360" w:lineRule="auto"/>
      <w:ind w:firstLine="200" w:firstLineChars="200"/>
    </w:pPr>
    <w:rPr>
      <w:rFonts w:ascii="仿宋_GB2312" w:hAnsi="仿宋_GB2312" w:eastAsia="仿宋_GB2312" w:cs="仿宋_GB2312"/>
      <w:sz w:val="24"/>
    </w:rPr>
  </w:style>
  <w:style w:type="paragraph" w:customStyle="1" w:styleId="218">
    <w:name w:val="xl38"/>
    <w:basedOn w:val="1"/>
    <w:qFormat/>
    <w:uiPriority w:val="0"/>
    <w:pPr>
      <w:widowControl/>
      <w:pBdr>
        <w:left w:val="single" w:color="auto" w:sz="4" w:space="0"/>
        <w:right w:val="single" w:color="auto" w:sz="4" w:space="0"/>
      </w:pBdr>
      <w:spacing w:before="100" w:after="100"/>
      <w:jc w:val="center"/>
      <w:textAlignment w:val="center"/>
    </w:pPr>
    <w:rPr>
      <w:rFonts w:hint="eastAsia" w:ascii="华文楷体" w:hAnsi="Book Antiqua" w:eastAsia="华文楷体" w:cs="Courier New"/>
      <w:kern w:val="0"/>
      <w:sz w:val="24"/>
      <w:szCs w:val="20"/>
    </w:rPr>
  </w:style>
  <w:style w:type="paragraph" w:customStyle="1" w:styleId="219">
    <w:name w:val="样式7"/>
    <w:basedOn w:val="220"/>
    <w:qFormat/>
    <w:uiPriority w:val="0"/>
    <w:pPr>
      <w:numPr>
        <w:ilvl w:val="1"/>
        <w:numId w:val="10"/>
      </w:numPr>
      <w:tabs>
        <w:tab w:val="clear" w:pos="720"/>
      </w:tabs>
      <w:ind w:left="0" w:firstLine="0"/>
    </w:pPr>
    <w:rPr>
      <w:rFonts w:eastAsia="仿宋_GB2312"/>
      <w:b w:val="0"/>
      <w:sz w:val="24"/>
    </w:rPr>
  </w:style>
  <w:style w:type="paragraph" w:customStyle="1" w:styleId="220">
    <w:name w:val="样式6"/>
    <w:basedOn w:val="167"/>
    <w:qFormat/>
    <w:uiPriority w:val="0"/>
    <w:pPr>
      <w:widowControl w:val="0"/>
      <w:adjustRightInd/>
      <w:spacing w:before="232" w:after="232" w:line="240" w:lineRule="auto"/>
      <w:ind w:firstLine="0"/>
      <w:jc w:val="both"/>
      <w:textAlignment w:val="auto"/>
    </w:pPr>
    <w:rPr>
      <w:rFonts w:ascii="Courier New" w:hAnsi="Courier New" w:eastAsia="Arial Unicode MS" w:cs="Courier New"/>
      <w:b/>
      <w:kern w:val="2"/>
      <w:sz w:val="28"/>
    </w:rPr>
  </w:style>
  <w:style w:type="paragraph" w:customStyle="1" w:styleId="221">
    <w:name w:val="标准"/>
    <w:basedOn w:val="1"/>
    <w:qFormat/>
    <w:uiPriority w:val="0"/>
    <w:pPr>
      <w:tabs>
        <w:tab w:val="left" w:pos="720"/>
      </w:tabs>
      <w:adjustRightInd w:val="0"/>
      <w:spacing w:line="312" w:lineRule="atLeast"/>
      <w:textAlignment w:val="baseline"/>
    </w:pPr>
    <w:rPr>
      <w:rFonts w:ascii="Courier New" w:hAnsi="Courier New" w:eastAsia="仿宋_GB2312" w:cs="Courier New"/>
      <w:kern w:val="0"/>
      <w:szCs w:val="20"/>
    </w:rPr>
  </w:style>
  <w:style w:type="paragraph" w:customStyle="1" w:styleId="222">
    <w:name w:val="样式15"/>
    <w:basedOn w:val="220"/>
    <w:qFormat/>
    <w:uiPriority w:val="0"/>
  </w:style>
  <w:style w:type="paragraph" w:customStyle="1" w:styleId="223">
    <w:name w:val="样式9"/>
    <w:basedOn w:val="167"/>
    <w:link w:val="1053"/>
    <w:qFormat/>
    <w:uiPriority w:val="0"/>
    <w:pPr>
      <w:widowControl w:val="0"/>
      <w:adjustRightInd/>
      <w:spacing w:before="0" w:line="240" w:lineRule="auto"/>
      <w:ind w:firstLine="0"/>
      <w:jc w:val="both"/>
      <w:textAlignment w:val="auto"/>
    </w:pPr>
    <w:rPr>
      <w:rFonts w:ascii="Courier New" w:hAnsi="Courier New" w:eastAsia="仿宋_GB2312" w:cs="Courier New"/>
      <w:b/>
      <w:kern w:val="2"/>
    </w:rPr>
  </w:style>
  <w:style w:type="paragraph" w:customStyle="1" w:styleId="224">
    <w:name w:val="样式11"/>
    <w:basedOn w:val="1"/>
    <w:qFormat/>
    <w:uiPriority w:val="0"/>
    <w:rPr>
      <w:rFonts w:ascii="Courier New" w:hAnsi="Courier New" w:eastAsia="仿宋_GB2312" w:cs="Courier New"/>
      <w:szCs w:val="20"/>
    </w:rPr>
  </w:style>
  <w:style w:type="paragraph" w:customStyle="1" w:styleId="225">
    <w:name w:val="样式4"/>
    <w:basedOn w:val="1"/>
    <w:link w:val="592"/>
    <w:qFormat/>
    <w:uiPriority w:val="0"/>
    <w:pPr>
      <w:spacing w:line="360" w:lineRule="exact"/>
      <w:jc w:val="center"/>
    </w:pPr>
    <w:rPr>
      <w:rFonts w:ascii="Courier New" w:hAnsi="Courier New" w:eastAsia="仿宋_GB2312" w:cs="Courier New"/>
      <w:szCs w:val="20"/>
    </w:rPr>
  </w:style>
  <w:style w:type="paragraph" w:customStyle="1" w:styleId="226">
    <w:name w:val="样式10"/>
    <w:basedOn w:val="212"/>
    <w:qFormat/>
    <w:uiPriority w:val="0"/>
    <w:pPr>
      <w:adjustRightInd/>
      <w:snapToGrid/>
      <w:spacing w:line="240" w:lineRule="auto"/>
    </w:pPr>
    <w:rPr>
      <w:rFonts w:eastAsia="Arial Unicode MS"/>
      <w:snapToGrid/>
      <w:color w:val="auto"/>
      <w:kern w:val="2"/>
      <w:sz w:val="24"/>
      <w:szCs w:val="20"/>
    </w:rPr>
  </w:style>
  <w:style w:type="paragraph" w:customStyle="1" w:styleId="227">
    <w:name w:val="样式13"/>
    <w:basedOn w:val="167"/>
    <w:qFormat/>
    <w:uiPriority w:val="0"/>
    <w:pPr>
      <w:widowControl w:val="0"/>
      <w:adjustRightInd/>
      <w:spacing w:before="232" w:after="232" w:line="240" w:lineRule="auto"/>
      <w:ind w:firstLine="480"/>
      <w:jc w:val="both"/>
      <w:textAlignment w:val="auto"/>
    </w:pPr>
    <w:rPr>
      <w:rFonts w:ascii="Courier New" w:hAnsi="Courier New" w:eastAsia="仿宋_GB2312" w:cs="Courier New"/>
      <w:kern w:val="2"/>
    </w:rPr>
  </w:style>
  <w:style w:type="paragraph" w:customStyle="1" w:styleId="228">
    <w:name w:val="xl3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仿宋_GB2312" w:hAnsi="仿宋_GB2312" w:eastAsia="仿宋_GB2312" w:cs="Courier New"/>
      <w:kern w:val="0"/>
      <w:sz w:val="28"/>
      <w:szCs w:val="20"/>
    </w:rPr>
  </w:style>
  <w:style w:type="paragraph" w:customStyle="1" w:styleId="229">
    <w:name w:val="xl32"/>
    <w:basedOn w:val="1"/>
    <w:qFormat/>
    <w:uiPriority w:val="0"/>
    <w:pPr>
      <w:widowControl/>
      <w:pBdr>
        <w:top w:val="single" w:color="auto" w:sz="4" w:space="0"/>
        <w:bottom w:val="single" w:color="auto" w:sz="4" w:space="0"/>
        <w:right w:val="single" w:color="auto" w:sz="4" w:space="0"/>
      </w:pBdr>
      <w:spacing w:before="100" w:after="100"/>
      <w:jc w:val="left"/>
    </w:pPr>
    <w:rPr>
      <w:rFonts w:ascii="仿宋_GB2312" w:hAnsi="仿宋_GB2312" w:eastAsia="仿宋_GB2312" w:cs="Courier New"/>
      <w:kern w:val="0"/>
      <w:sz w:val="28"/>
      <w:szCs w:val="20"/>
    </w:rPr>
  </w:style>
  <w:style w:type="paragraph" w:customStyle="1" w:styleId="230">
    <w:name w:val="xl33"/>
    <w:basedOn w:val="1"/>
    <w:qFormat/>
    <w:uiPriority w:val="0"/>
    <w:pPr>
      <w:widowControl/>
      <w:spacing w:before="100" w:after="100"/>
      <w:jc w:val="left"/>
    </w:pPr>
    <w:rPr>
      <w:rFonts w:ascii="仿宋_GB2312" w:hAnsi="仿宋_GB2312" w:eastAsia="仿宋_GB2312" w:cs="Courier New"/>
      <w:kern w:val="0"/>
      <w:sz w:val="28"/>
      <w:szCs w:val="20"/>
    </w:rPr>
  </w:style>
  <w:style w:type="paragraph" w:customStyle="1" w:styleId="231">
    <w:name w:val="xl34"/>
    <w:basedOn w:val="1"/>
    <w:qFormat/>
    <w:uiPriority w:val="0"/>
    <w:pPr>
      <w:widowControl/>
      <w:pBdr>
        <w:top w:val="single" w:color="auto" w:sz="4" w:space="0"/>
        <w:left w:val="single" w:color="auto" w:sz="4" w:space="0"/>
        <w:right w:val="single" w:color="auto" w:sz="4" w:space="0"/>
      </w:pBdr>
      <w:spacing w:before="100" w:after="100"/>
      <w:jc w:val="left"/>
    </w:pPr>
    <w:rPr>
      <w:rFonts w:ascii="仿宋_GB2312" w:hAnsi="仿宋_GB2312" w:eastAsia="仿宋_GB2312" w:cs="Courier New"/>
      <w:kern w:val="0"/>
      <w:sz w:val="28"/>
      <w:szCs w:val="20"/>
    </w:rPr>
  </w:style>
  <w:style w:type="paragraph" w:customStyle="1" w:styleId="232">
    <w:name w:val="xl35"/>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Courier New" w:hAnsi="Courier New" w:eastAsia="仿宋_GB2312" w:cs="Courier New"/>
      <w:kern w:val="0"/>
      <w:sz w:val="28"/>
      <w:szCs w:val="20"/>
    </w:rPr>
  </w:style>
  <w:style w:type="paragraph" w:customStyle="1" w:styleId="233">
    <w:name w:val="xl3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仿宋_GB2312" w:hAnsi="仿宋_GB2312" w:eastAsia="仿宋_GB2312" w:cs="Courier New"/>
      <w:kern w:val="0"/>
      <w:sz w:val="28"/>
      <w:szCs w:val="20"/>
    </w:rPr>
  </w:style>
  <w:style w:type="paragraph" w:customStyle="1" w:styleId="234">
    <w:name w:val="xl37"/>
    <w:basedOn w:val="1"/>
    <w:qFormat/>
    <w:uiPriority w:val="0"/>
    <w:pPr>
      <w:widowControl/>
      <w:pBdr>
        <w:top w:val="single" w:color="auto" w:sz="4" w:space="0"/>
        <w:bottom w:val="single" w:color="auto" w:sz="4" w:space="0"/>
        <w:right w:val="single" w:color="auto" w:sz="4" w:space="0"/>
      </w:pBdr>
      <w:spacing w:before="100" w:after="100"/>
      <w:jc w:val="left"/>
    </w:pPr>
    <w:rPr>
      <w:rFonts w:ascii="仿宋_GB2312" w:hAnsi="仿宋_GB2312" w:eastAsia="仿宋_GB2312" w:cs="Courier New"/>
      <w:kern w:val="0"/>
      <w:sz w:val="28"/>
      <w:szCs w:val="20"/>
    </w:rPr>
  </w:style>
  <w:style w:type="paragraph" w:customStyle="1" w:styleId="235">
    <w:name w:val="xl39"/>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仿宋_GB2312" w:hAnsi="仿宋_GB2312" w:eastAsia="仿宋_GB2312" w:cs="Courier New"/>
      <w:kern w:val="0"/>
      <w:sz w:val="28"/>
      <w:szCs w:val="20"/>
    </w:rPr>
  </w:style>
  <w:style w:type="paragraph" w:customStyle="1" w:styleId="236">
    <w:name w:val="xl40"/>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仿宋_GB2312" w:hAnsi="仿宋_GB2312" w:eastAsia="仿宋_GB2312" w:cs="Courier New"/>
      <w:b/>
      <w:kern w:val="0"/>
      <w:sz w:val="28"/>
      <w:szCs w:val="20"/>
    </w:rPr>
  </w:style>
  <w:style w:type="paragraph" w:customStyle="1" w:styleId="237">
    <w:name w:val="xl41"/>
    <w:basedOn w:val="1"/>
    <w:qFormat/>
    <w:uiPriority w:val="0"/>
    <w:pPr>
      <w:widowControl/>
      <w:spacing w:before="100" w:after="100"/>
      <w:jc w:val="center"/>
    </w:pPr>
    <w:rPr>
      <w:rFonts w:ascii="仿宋_GB2312" w:hAnsi="仿宋_GB2312" w:eastAsia="仿宋_GB2312" w:cs="Courier New"/>
      <w:kern w:val="0"/>
      <w:sz w:val="28"/>
      <w:szCs w:val="20"/>
    </w:rPr>
  </w:style>
  <w:style w:type="paragraph" w:customStyle="1" w:styleId="238">
    <w:name w:val="xl42"/>
    <w:basedOn w:val="1"/>
    <w:qFormat/>
    <w:uiPriority w:val="0"/>
    <w:pPr>
      <w:widowControl/>
      <w:pBdr>
        <w:top w:val="single" w:color="auto" w:sz="4" w:space="0"/>
        <w:bottom w:val="single" w:color="auto" w:sz="4" w:space="0"/>
      </w:pBdr>
      <w:spacing w:before="100" w:after="100"/>
      <w:jc w:val="center"/>
    </w:pPr>
    <w:rPr>
      <w:rFonts w:ascii="仿宋_GB2312" w:hAnsi="仿宋_GB2312" w:eastAsia="仿宋_GB2312" w:cs="Courier New"/>
      <w:kern w:val="0"/>
      <w:sz w:val="28"/>
      <w:szCs w:val="20"/>
    </w:rPr>
  </w:style>
  <w:style w:type="paragraph" w:customStyle="1" w:styleId="239">
    <w:name w:val="xl43"/>
    <w:basedOn w:val="1"/>
    <w:qFormat/>
    <w:uiPriority w:val="0"/>
    <w:pPr>
      <w:widowControl/>
      <w:pBdr>
        <w:top w:val="single" w:color="auto" w:sz="4" w:space="0"/>
        <w:bottom w:val="single" w:color="auto" w:sz="4" w:space="0"/>
        <w:right w:val="single" w:color="auto" w:sz="4" w:space="0"/>
      </w:pBdr>
      <w:spacing w:before="100" w:after="100"/>
      <w:jc w:val="center"/>
    </w:pPr>
    <w:rPr>
      <w:rFonts w:ascii="仿宋_GB2312" w:hAnsi="仿宋_GB2312" w:eastAsia="仿宋_GB2312" w:cs="Courier New"/>
      <w:kern w:val="0"/>
      <w:sz w:val="28"/>
      <w:szCs w:val="20"/>
    </w:rPr>
  </w:style>
  <w:style w:type="paragraph" w:customStyle="1" w:styleId="240">
    <w:name w:val="xl45"/>
    <w:basedOn w:val="1"/>
    <w:qFormat/>
    <w:uiPriority w:val="0"/>
    <w:pPr>
      <w:widowControl/>
      <w:pBdr>
        <w:top w:val="single" w:color="auto" w:sz="4" w:space="0"/>
        <w:bottom w:val="single" w:color="auto" w:sz="4" w:space="0"/>
        <w:right w:val="single" w:color="auto" w:sz="4" w:space="0"/>
      </w:pBdr>
      <w:spacing w:before="100" w:after="100"/>
      <w:jc w:val="center"/>
    </w:pPr>
    <w:rPr>
      <w:rFonts w:ascii="仿宋_GB2312" w:hAnsi="仿宋_GB2312" w:eastAsia="仿宋_GB2312" w:cs="Courier New"/>
      <w:color w:val="FF0000"/>
      <w:kern w:val="0"/>
      <w:sz w:val="28"/>
      <w:szCs w:val="20"/>
    </w:rPr>
  </w:style>
  <w:style w:type="paragraph" w:customStyle="1" w:styleId="241">
    <w:name w:val="xl4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仿宋_GB2312" w:hAnsi="仿宋_GB2312" w:eastAsia="仿宋_GB2312" w:cs="Courier New"/>
      <w:color w:val="FF0000"/>
      <w:kern w:val="0"/>
      <w:sz w:val="28"/>
      <w:szCs w:val="20"/>
    </w:rPr>
  </w:style>
  <w:style w:type="paragraph" w:customStyle="1" w:styleId="242">
    <w:name w:val="xl47"/>
    <w:basedOn w:val="1"/>
    <w:qFormat/>
    <w:uiPriority w:val="0"/>
    <w:pPr>
      <w:widowControl/>
      <w:pBdr>
        <w:top w:val="single" w:color="auto" w:sz="4" w:space="0"/>
        <w:left w:val="single" w:color="auto" w:sz="4" w:space="0"/>
        <w:right w:val="single" w:color="auto" w:sz="4" w:space="0"/>
      </w:pBdr>
      <w:spacing w:before="100" w:after="100"/>
      <w:jc w:val="center"/>
      <w:textAlignment w:val="center"/>
    </w:pPr>
    <w:rPr>
      <w:rFonts w:ascii="仿宋_GB2312" w:hAnsi="仿宋_GB2312" w:eastAsia="仿宋_GB2312" w:cs="Courier New"/>
      <w:kern w:val="0"/>
      <w:sz w:val="28"/>
      <w:szCs w:val="20"/>
    </w:rPr>
  </w:style>
  <w:style w:type="paragraph" w:customStyle="1" w:styleId="243">
    <w:name w:val="xl48"/>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仿宋_GB2312" w:hAnsi="仿宋_GB2312" w:eastAsia="仿宋_GB2312" w:cs="Courier New"/>
      <w:kern w:val="0"/>
      <w:sz w:val="28"/>
      <w:szCs w:val="20"/>
    </w:rPr>
  </w:style>
  <w:style w:type="paragraph" w:customStyle="1" w:styleId="244">
    <w:name w:val="xl49"/>
    <w:basedOn w:val="1"/>
    <w:qFormat/>
    <w:uiPriority w:val="0"/>
    <w:pPr>
      <w:widowControl/>
      <w:spacing w:before="100" w:after="100"/>
      <w:jc w:val="center"/>
    </w:pPr>
    <w:rPr>
      <w:rFonts w:ascii="仿宋_GB2312" w:hAnsi="仿宋_GB2312" w:eastAsia="仿宋_GB2312" w:cs="Courier New"/>
      <w:b/>
      <w:kern w:val="0"/>
      <w:sz w:val="44"/>
      <w:szCs w:val="20"/>
    </w:rPr>
  </w:style>
  <w:style w:type="paragraph" w:customStyle="1" w:styleId="245">
    <w:name w:val="Header Base"/>
    <w:basedOn w:val="1"/>
    <w:qFormat/>
    <w:uiPriority w:val="0"/>
    <w:pPr>
      <w:keepLines/>
      <w:widowControl/>
      <w:tabs>
        <w:tab w:val="center" w:pos="4320"/>
        <w:tab w:val="right" w:pos="8640"/>
      </w:tabs>
      <w:spacing w:line="180" w:lineRule="atLeast"/>
    </w:pPr>
    <w:rPr>
      <w:rFonts w:ascii="华文中宋" w:hAnsi="华文中宋" w:eastAsia="仿宋_GB2312" w:cs="Courier New"/>
      <w:spacing w:val="-5"/>
      <w:kern w:val="0"/>
      <w:sz w:val="28"/>
      <w:szCs w:val="20"/>
    </w:rPr>
  </w:style>
  <w:style w:type="paragraph" w:customStyle="1" w:styleId="246">
    <w:name w:val="z-Top of Form"/>
    <w:next w:val="1"/>
    <w:qFormat/>
    <w:uiPriority w:val="0"/>
    <w:pPr>
      <w:widowControl w:val="0"/>
      <w:pBdr>
        <w:bottom w:val="double" w:color="000000" w:sz="6" w:space="0"/>
      </w:pBdr>
      <w:autoSpaceDE w:val="0"/>
      <w:autoSpaceDN w:val="0"/>
      <w:adjustRightInd w:val="0"/>
      <w:jc w:val="center"/>
    </w:pPr>
    <w:rPr>
      <w:rFonts w:ascii="仿宋_GB2312" w:hAnsi="汉鼎简书宋" w:eastAsia="仿宋_GB2312" w:cs="Courier New"/>
      <w:vanish/>
      <w:sz w:val="16"/>
      <w:lang w:val="en-US" w:eastAsia="zh-CN" w:bidi="ar-SA"/>
    </w:rPr>
  </w:style>
  <w:style w:type="character" w:customStyle="1" w:styleId="247">
    <w:name w:val="正文缩进 Char"/>
    <w:qFormat/>
    <w:uiPriority w:val="0"/>
    <w:rPr>
      <w:rFonts w:eastAsia="仿宋_GB2312"/>
      <w:kern w:val="2"/>
      <w:sz w:val="21"/>
      <w:lang w:val="en-US" w:eastAsia="zh-CN" w:bidi="ar-SA"/>
    </w:rPr>
  </w:style>
  <w:style w:type="paragraph" w:customStyle="1" w:styleId="248">
    <w:name w:val="正文文字1"/>
    <w:basedOn w:val="1"/>
    <w:link w:val="280"/>
    <w:qFormat/>
    <w:uiPriority w:val="0"/>
    <w:pPr>
      <w:spacing w:line="500" w:lineRule="exact"/>
      <w:ind w:firstLine="552" w:firstLineChars="200"/>
      <w:jc w:val="left"/>
    </w:pPr>
    <w:rPr>
      <w:rFonts w:ascii="仿宋_GB2312" w:hAnsi="仿宋_GB2312" w:eastAsia="仿宋_GB2312" w:cs="Courier New"/>
      <w:spacing w:val="-2"/>
      <w:sz w:val="28"/>
    </w:rPr>
  </w:style>
  <w:style w:type="paragraph" w:customStyle="1" w:styleId="249">
    <w:name w:val="表号"/>
    <w:basedOn w:val="30"/>
    <w:link w:val="388"/>
    <w:qFormat/>
    <w:uiPriority w:val="0"/>
    <w:pPr>
      <w:spacing w:line="324" w:lineRule="auto"/>
      <w:ind w:left="0" w:leftChars="0" w:firstLine="420" w:firstLineChars="200"/>
      <w:outlineLvl w:val="5"/>
    </w:pPr>
  </w:style>
  <w:style w:type="character" w:customStyle="1" w:styleId="250">
    <w:name w:val="表号 Char Char"/>
    <w:qFormat/>
    <w:uiPriority w:val="0"/>
    <w:rPr>
      <w:rFonts w:eastAsia="仿宋_GB2312"/>
      <w:kern w:val="2"/>
      <w:sz w:val="21"/>
      <w:szCs w:val="24"/>
      <w:lang w:val="en-US" w:eastAsia="zh-CN" w:bidi="ar-SA"/>
    </w:rPr>
  </w:style>
  <w:style w:type="paragraph" w:customStyle="1" w:styleId="251">
    <w:name w:val="表名"/>
    <w:basedOn w:val="1"/>
    <w:qFormat/>
    <w:uiPriority w:val="0"/>
    <w:pPr>
      <w:overflowPunct w:val="0"/>
      <w:topLinePunct/>
      <w:adjustRightInd w:val="0"/>
      <w:snapToGrid w:val="0"/>
      <w:spacing w:line="360" w:lineRule="auto"/>
      <w:jc w:val="center"/>
      <w:outlineLvl w:val="4"/>
    </w:pPr>
    <w:rPr>
      <w:rFonts w:ascii="Courier New" w:hAnsi="Courier New" w:eastAsia="Batang" w:cs="Courier New"/>
      <w:b/>
      <w:bCs/>
      <w:kern w:val="10"/>
      <w:sz w:val="24"/>
    </w:rPr>
  </w:style>
  <w:style w:type="character" w:customStyle="1" w:styleId="252">
    <w:name w:val="表名 Char"/>
    <w:qFormat/>
    <w:uiPriority w:val="0"/>
    <w:rPr>
      <w:rFonts w:eastAsia="Batang"/>
      <w:b/>
      <w:bCs/>
      <w:kern w:val="10"/>
      <w:sz w:val="24"/>
      <w:szCs w:val="24"/>
      <w:lang w:val="en-US" w:eastAsia="zh-CN" w:bidi="ar-SA"/>
    </w:rPr>
  </w:style>
  <w:style w:type="character" w:customStyle="1" w:styleId="253">
    <w:name w:val="Date Char"/>
    <w:qFormat/>
    <w:locked/>
    <w:uiPriority w:val="0"/>
    <w:rPr>
      <w:rFonts w:eastAsia="Arial Unicode MS"/>
      <w:kern w:val="2"/>
      <w:sz w:val="28"/>
      <w:szCs w:val="24"/>
      <w:lang w:val="en-US" w:eastAsia="zh-CN" w:bidi="ar-SA"/>
    </w:rPr>
  </w:style>
  <w:style w:type="paragraph" w:customStyle="1" w:styleId="254">
    <w:name w:val="正文1"/>
    <w:qFormat/>
    <w:uiPriority w:val="0"/>
    <w:pPr>
      <w:widowControl w:val="0"/>
      <w:adjustRightInd w:val="0"/>
      <w:spacing w:line="315" w:lineRule="atLeast"/>
      <w:textAlignment w:val="baseline"/>
    </w:pPr>
    <w:rPr>
      <w:rFonts w:ascii="仿宋_GB2312" w:hAnsi="Courier New" w:eastAsia="仿宋_GB2312" w:cs="Courier New"/>
      <w:sz w:val="24"/>
      <w:lang w:val="en-US" w:eastAsia="zh-CN" w:bidi="ar-SA"/>
    </w:rPr>
  </w:style>
  <w:style w:type="character" w:customStyle="1" w:styleId="255">
    <w:name w:val="Normal Char"/>
    <w:qFormat/>
    <w:uiPriority w:val="0"/>
    <w:rPr>
      <w:rFonts w:ascii="仿宋_GB2312" w:eastAsia="仿宋_GB2312"/>
      <w:sz w:val="24"/>
      <w:lang w:val="en-US" w:eastAsia="zh-CN" w:bidi="ar-SA"/>
    </w:rPr>
  </w:style>
  <w:style w:type="paragraph" w:customStyle="1" w:styleId="256">
    <w:name w:val="Char Char Char"/>
    <w:basedOn w:val="1"/>
    <w:link w:val="521"/>
    <w:qFormat/>
    <w:uiPriority w:val="0"/>
    <w:rPr>
      <w:rFonts w:ascii="Courier New" w:hAnsi="Courier New" w:eastAsia="仿宋_GB2312" w:cs="Courier New"/>
      <w:sz w:val="24"/>
    </w:rPr>
  </w:style>
  <w:style w:type="paragraph" w:customStyle="1" w:styleId="257">
    <w:name w:val="德胜正文"/>
    <w:basedOn w:val="1"/>
    <w:link w:val="258"/>
    <w:qFormat/>
    <w:uiPriority w:val="0"/>
    <w:pPr>
      <w:adjustRightInd w:val="0"/>
      <w:snapToGrid w:val="0"/>
      <w:spacing w:line="360" w:lineRule="auto"/>
      <w:ind w:firstLine="200" w:firstLineChars="200"/>
    </w:pPr>
    <w:rPr>
      <w:rFonts w:ascii="Courier New" w:hAnsi="Courier New" w:eastAsia="仿宋_GB2312" w:cs="仿宋_GB2312"/>
      <w:snapToGrid w:val="0"/>
      <w:color w:val="0000FF"/>
      <w:kern w:val="0"/>
      <w:sz w:val="24"/>
    </w:rPr>
  </w:style>
  <w:style w:type="character" w:customStyle="1" w:styleId="258">
    <w:name w:val="德胜正文 Char"/>
    <w:link w:val="257"/>
    <w:qFormat/>
    <w:uiPriority w:val="0"/>
    <w:rPr>
      <w:rFonts w:ascii="Courier New" w:hAnsi="Courier New" w:eastAsia="仿宋_GB2312" w:cs="仿宋_GB2312"/>
      <w:snapToGrid w:val="0"/>
      <w:color w:val="0000FF"/>
      <w:sz w:val="24"/>
      <w:szCs w:val="24"/>
      <w:lang w:val="en-US" w:eastAsia="zh-CN" w:bidi="ar-SA"/>
    </w:rPr>
  </w:style>
  <w:style w:type="character" w:customStyle="1" w:styleId="259">
    <w:name w:val="style101"/>
    <w:basedOn w:val="134"/>
    <w:qFormat/>
    <w:uiPriority w:val="0"/>
  </w:style>
  <w:style w:type="paragraph" w:customStyle="1" w:styleId="260">
    <w:name w:val="德胜表格内容"/>
    <w:basedOn w:val="1"/>
    <w:link w:val="261"/>
    <w:qFormat/>
    <w:uiPriority w:val="0"/>
    <w:pPr>
      <w:adjustRightInd w:val="0"/>
      <w:snapToGrid w:val="0"/>
      <w:jc w:val="center"/>
    </w:pPr>
    <w:rPr>
      <w:rFonts w:ascii="Courier New" w:hAnsi="Courier New" w:eastAsia="仿宋_GB2312" w:cs="仿宋_GB2312"/>
      <w:snapToGrid w:val="0"/>
      <w:color w:val="0000FF"/>
      <w:kern w:val="0"/>
      <w:szCs w:val="21"/>
    </w:rPr>
  </w:style>
  <w:style w:type="character" w:customStyle="1" w:styleId="261">
    <w:name w:val="德胜表格内容 Char"/>
    <w:link w:val="260"/>
    <w:qFormat/>
    <w:uiPriority w:val="0"/>
    <w:rPr>
      <w:rFonts w:ascii="Courier New" w:hAnsi="Courier New" w:eastAsia="仿宋_GB2312" w:cs="仿宋_GB2312"/>
      <w:snapToGrid w:val="0"/>
      <w:color w:val="0000FF"/>
      <w:sz w:val="21"/>
      <w:szCs w:val="21"/>
      <w:lang w:val="en-US" w:eastAsia="zh-CN" w:bidi="ar-SA"/>
    </w:rPr>
  </w:style>
  <w:style w:type="paragraph" w:customStyle="1" w:styleId="262">
    <w:name w:val="德胜表头"/>
    <w:basedOn w:val="257"/>
    <w:link w:val="263"/>
    <w:qFormat/>
    <w:uiPriority w:val="0"/>
    <w:pPr>
      <w:spacing w:line="240" w:lineRule="auto"/>
      <w:ind w:firstLine="0" w:firstLineChars="0"/>
      <w:jc w:val="center"/>
    </w:pPr>
    <w:rPr>
      <w:b/>
    </w:rPr>
  </w:style>
  <w:style w:type="character" w:customStyle="1" w:styleId="263">
    <w:name w:val="德胜表头 Char"/>
    <w:link w:val="262"/>
    <w:qFormat/>
    <w:uiPriority w:val="0"/>
    <w:rPr>
      <w:rFonts w:ascii="Courier New" w:hAnsi="Courier New" w:eastAsia="仿宋_GB2312" w:cs="仿宋_GB2312"/>
      <w:b/>
      <w:snapToGrid w:val="0"/>
      <w:color w:val="0000FF"/>
      <w:sz w:val="24"/>
      <w:szCs w:val="24"/>
      <w:lang w:val="en-US" w:eastAsia="zh-CN" w:bidi="ar-SA"/>
    </w:rPr>
  </w:style>
  <w:style w:type="paragraph" w:customStyle="1" w:styleId="264">
    <w:name w:val="xl72"/>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hAnsi="仿宋_GB2312" w:eastAsia="仿宋_GB2312" w:cs="Courier New"/>
      <w:kern w:val="0"/>
      <w:szCs w:val="21"/>
    </w:rPr>
  </w:style>
  <w:style w:type="paragraph" w:customStyle="1" w:styleId="265">
    <w:name w:val="Char1"/>
    <w:basedOn w:val="1"/>
    <w:qFormat/>
    <w:uiPriority w:val="0"/>
    <w:rPr>
      <w:rFonts w:ascii="Courier New" w:hAnsi="Courier New" w:eastAsia="仿宋_GB2312" w:cs="Courier New"/>
    </w:rPr>
  </w:style>
  <w:style w:type="paragraph" w:customStyle="1" w:styleId="266">
    <w:name w:val="Char Char Char1 Char Char Char Char Char Char Char"/>
    <w:basedOn w:val="1"/>
    <w:qFormat/>
    <w:uiPriority w:val="0"/>
    <w:pPr>
      <w:snapToGrid w:val="0"/>
      <w:spacing w:line="440" w:lineRule="exact"/>
      <w:ind w:firstLine="200" w:firstLineChars="200"/>
    </w:pPr>
    <w:rPr>
      <w:rFonts w:ascii="Courier New" w:hAnsi="Courier New" w:eastAsia="仿宋_GB2312" w:cs="Courier New"/>
      <w:sz w:val="24"/>
    </w:rPr>
  </w:style>
  <w:style w:type="character" w:customStyle="1" w:styleId="267">
    <w:name w:val="apple-style-span"/>
    <w:basedOn w:val="134"/>
    <w:qFormat/>
    <w:uiPriority w:val="0"/>
  </w:style>
  <w:style w:type="character" w:customStyle="1" w:styleId="268">
    <w:name w:val="bt21"/>
    <w:qFormat/>
    <w:uiPriority w:val="0"/>
    <w:rPr>
      <w:rFonts w:ascii="Arial Unicode MS" w:eastAsia="Arial Unicode MS"/>
      <w:sz w:val="24"/>
      <w:szCs w:val="24"/>
    </w:rPr>
  </w:style>
  <w:style w:type="paragraph" w:customStyle="1" w:styleId="269">
    <w:name w:val="layman"/>
    <w:basedOn w:val="1"/>
    <w:qFormat/>
    <w:uiPriority w:val="0"/>
    <w:pPr>
      <w:widowControl/>
      <w:tabs>
        <w:tab w:val="left" w:pos="5760"/>
      </w:tabs>
      <w:autoSpaceDE w:val="0"/>
      <w:autoSpaceDN w:val="0"/>
      <w:ind w:firstLine="420"/>
      <w:jc w:val="left"/>
    </w:pPr>
    <w:rPr>
      <w:rFonts w:ascii="Courier New" w:hAnsi="Courier New" w:eastAsia="仿宋_GB2312" w:cs="Courier New"/>
      <w:color w:val="000000"/>
      <w:kern w:val="0"/>
      <w:szCs w:val="21"/>
    </w:rPr>
  </w:style>
  <w:style w:type="character" w:customStyle="1" w:styleId="270">
    <w:name w:val="Char Char4"/>
    <w:qFormat/>
    <w:uiPriority w:val="0"/>
    <w:rPr>
      <w:rFonts w:ascii="仿宋_GB2312" w:hAnsi="ˎ̥" w:eastAsia="仿宋_GB2312"/>
      <w:kern w:val="2"/>
      <w:sz w:val="21"/>
      <w:lang w:val="en-US" w:eastAsia="zh-CN" w:bidi="ar-SA"/>
    </w:rPr>
  </w:style>
  <w:style w:type="character" w:customStyle="1" w:styleId="271">
    <w:name w:val="正文文本缩进 字符"/>
    <w:link w:val="35"/>
    <w:qFormat/>
    <w:uiPriority w:val="0"/>
    <w:rPr>
      <w:rFonts w:eastAsia="宋体"/>
      <w:sz w:val="24"/>
      <w:lang w:val="en-US" w:eastAsia="zh-CN" w:bidi="ar-SA"/>
    </w:rPr>
  </w:style>
  <w:style w:type="paragraph" w:customStyle="1" w:styleId="272">
    <w:name w:val="【正文】"/>
    <w:basedOn w:val="1"/>
    <w:link w:val="273"/>
    <w:qFormat/>
    <w:uiPriority w:val="0"/>
    <w:pPr>
      <w:spacing w:line="440" w:lineRule="exact"/>
      <w:ind w:firstLine="544" w:firstLineChars="200"/>
    </w:pPr>
    <w:rPr>
      <w:rFonts w:ascii="Courier New" w:hAnsi="Courier New" w:eastAsia="仿宋_GB2312" w:cs="仿宋_GB2312"/>
      <w:sz w:val="24"/>
      <w:szCs w:val="20"/>
    </w:rPr>
  </w:style>
  <w:style w:type="character" w:customStyle="1" w:styleId="273">
    <w:name w:val="【正文】 Char"/>
    <w:link w:val="272"/>
    <w:qFormat/>
    <w:uiPriority w:val="0"/>
    <w:rPr>
      <w:rFonts w:ascii="Courier New" w:hAnsi="Courier New" w:eastAsia="仿宋_GB2312" w:cs="仿宋_GB2312"/>
      <w:kern w:val="2"/>
      <w:sz w:val="24"/>
      <w:lang w:val="en-US" w:eastAsia="zh-CN" w:bidi="ar-SA"/>
    </w:rPr>
  </w:style>
  <w:style w:type="paragraph" w:customStyle="1" w:styleId="274">
    <w:name w:val="Char4 Char Char Char Char Char Char1"/>
    <w:basedOn w:val="1"/>
    <w:qFormat/>
    <w:uiPriority w:val="0"/>
    <w:pPr>
      <w:spacing w:line="360" w:lineRule="auto"/>
      <w:ind w:firstLine="200" w:firstLineChars="200"/>
    </w:pPr>
    <w:rPr>
      <w:rFonts w:ascii="仿宋_GB2312" w:hAnsi="仿宋_GB2312" w:eastAsia="仿宋_GB2312" w:cs="仿宋_GB2312"/>
      <w:sz w:val="24"/>
    </w:rPr>
  </w:style>
  <w:style w:type="paragraph" w:customStyle="1" w:styleId="275">
    <w:name w:val="图表标题"/>
    <w:basedOn w:val="1"/>
    <w:link w:val="900"/>
    <w:qFormat/>
    <w:uiPriority w:val="0"/>
    <w:pPr>
      <w:spacing w:line="360" w:lineRule="auto"/>
      <w:jc w:val="center"/>
    </w:pPr>
    <w:rPr>
      <w:rFonts w:ascii="仿宋_GB2312" w:hAnsi="仿宋_GB2312" w:eastAsia="仿宋_GB2312" w:cs="Courier New"/>
      <w:kern w:val="0"/>
    </w:rPr>
  </w:style>
  <w:style w:type="character" w:customStyle="1" w:styleId="276">
    <w:name w:val="标题 2 字符"/>
    <w:link w:val="6"/>
    <w:qFormat/>
    <w:uiPriority w:val="0"/>
    <w:rPr>
      <w:rFonts w:ascii="宋体" w:hAnsi="Arial" w:eastAsia="黑体"/>
      <w:b/>
      <w:sz w:val="28"/>
    </w:rPr>
  </w:style>
  <w:style w:type="character" w:customStyle="1" w:styleId="277">
    <w:name w:val="Char Char2"/>
    <w:qFormat/>
    <w:uiPriority w:val="0"/>
    <w:rPr>
      <w:rFonts w:ascii="华文中宋" w:hAnsi="华文中宋" w:eastAsia="Arial Unicode MS"/>
      <w:b/>
      <w:bCs/>
      <w:kern w:val="2"/>
      <w:sz w:val="32"/>
      <w:szCs w:val="32"/>
      <w:lang w:val="en-US" w:eastAsia="zh-CN" w:bidi="ar-SA"/>
    </w:rPr>
  </w:style>
  <w:style w:type="paragraph" w:customStyle="1" w:styleId="278">
    <w:name w:val="样式 标题 3 + 加粗"/>
    <w:basedOn w:val="7"/>
    <w:qFormat/>
    <w:uiPriority w:val="0"/>
    <w:pPr>
      <w:keepNext w:val="0"/>
      <w:numPr>
        <w:numId w:val="11"/>
      </w:numPr>
      <w:tabs>
        <w:tab w:val="left" w:pos="425"/>
        <w:tab w:val="left" w:pos="480"/>
        <w:tab w:val="left" w:pos="709"/>
        <w:tab w:val="left" w:pos="778"/>
        <w:tab w:val="left" w:pos="838"/>
      </w:tabs>
      <w:spacing w:beforeLines="50"/>
      <w:jc w:val="both"/>
    </w:pPr>
    <w:rPr>
      <w:rFonts w:ascii="Courier New" w:hAnsi="Courier New" w:eastAsia="仿宋_GB2312" w:cs="Courier New"/>
      <w:b w:val="0"/>
      <w:bCs/>
      <w:sz w:val="24"/>
      <w:szCs w:val="24"/>
    </w:rPr>
  </w:style>
  <w:style w:type="paragraph" w:customStyle="1" w:styleId="279">
    <w:name w:val="Char Char Char1 Char"/>
    <w:basedOn w:val="1"/>
    <w:semiHidden/>
    <w:qFormat/>
    <w:uiPriority w:val="0"/>
    <w:pPr>
      <w:spacing w:line="360" w:lineRule="auto"/>
      <w:ind w:firstLine="200" w:firstLineChars="200"/>
    </w:pPr>
    <w:rPr>
      <w:rFonts w:ascii="仿宋_GB2312" w:hAnsi="仿宋_GB2312" w:eastAsia="仿宋_GB2312" w:cs="仿宋_GB2312"/>
      <w:sz w:val="24"/>
    </w:rPr>
  </w:style>
  <w:style w:type="character" w:customStyle="1" w:styleId="280">
    <w:name w:val="正文文字1 Char"/>
    <w:link w:val="248"/>
    <w:qFormat/>
    <w:uiPriority w:val="0"/>
    <w:rPr>
      <w:rFonts w:ascii="仿宋_GB2312" w:hAnsi="仿宋_GB2312" w:eastAsia="仿宋_GB2312" w:cs="Courier New"/>
      <w:spacing w:val="-2"/>
      <w:kern w:val="2"/>
      <w:sz w:val="28"/>
      <w:szCs w:val="24"/>
      <w:lang w:val="en-US" w:eastAsia="zh-CN" w:bidi="ar-SA"/>
    </w:rPr>
  </w:style>
  <w:style w:type="character" w:customStyle="1" w:styleId="281">
    <w:name w:val="正文缩进 字符"/>
    <w:link w:val="2"/>
    <w:qFormat/>
    <w:uiPriority w:val="0"/>
    <w:rPr>
      <w:rFonts w:ascii="宋体" w:eastAsia="宋体"/>
      <w:kern w:val="2"/>
      <w:sz w:val="24"/>
      <w:lang w:val="en-US" w:eastAsia="zh-CN" w:bidi="ar-SA"/>
    </w:rPr>
  </w:style>
  <w:style w:type="paragraph" w:customStyle="1" w:styleId="282">
    <w:name w:val="样式 首行缩进:  2 字符"/>
    <w:basedOn w:val="1"/>
    <w:qFormat/>
    <w:uiPriority w:val="0"/>
    <w:pPr>
      <w:ind w:firstLine="560" w:firstLineChars="200"/>
    </w:pPr>
    <w:rPr>
      <w:rFonts w:ascii="Courier New" w:hAnsi="Courier New" w:eastAsia="仿宋_GB2312" w:cs="Courier New"/>
      <w:sz w:val="28"/>
      <w:szCs w:val="20"/>
    </w:rPr>
  </w:style>
  <w:style w:type="paragraph" w:customStyle="1" w:styleId="283">
    <w:name w:val="正文文字 Char Char1"/>
    <w:basedOn w:val="1"/>
    <w:qFormat/>
    <w:uiPriority w:val="0"/>
    <w:pPr>
      <w:spacing w:line="300" w:lineRule="auto"/>
      <w:ind w:firstLine="480" w:firstLineChars="200"/>
    </w:pPr>
    <w:rPr>
      <w:rFonts w:ascii="Courier New" w:hAnsi="Courier New" w:eastAsia="仿宋_GB2312" w:cs="Courier New"/>
      <w:sz w:val="24"/>
      <w:szCs w:val="20"/>
    </w:rPr>
  </w:style>
  <w:style w:type="paragraph" w:customStyle="1" w:styleId="284">
    <w:name w:val="Char Char Char Char Char Char Char Char Char Char Char Char Char Char Char Char Char Char Char"/>
    <w:basedOn w:val="1"/>
    <w:qFormat/>
    <w:uiPriority w:val="0"/>
    <w:rPr>
      <w:rFonts w:ascii="Courier New" w:hAnsi="Courier New" w:eastAsia="仿宋_GB2312" w:cs="Courier New"/>
    </w:rPr>
  </w:style>
  <w:style w:type="paragraph" w:customStyle="1" w:styleId="285">
    <w:name w:val="默认段落字体 Para Char Char Char Char Char Char Char Char Char Char Char Char"/>
    <w:basedOn w:val="27"/>
    <w:qFormat/>
    <w:uiPriority w:val="0"/>
    <w:pPr>
      <w:adjustRightInd w:val="0"/>
      <w:spacing w:line="436" w:lineRule="exact"/>
      <w:ind w:left="357"/>
      <w:jc w:val="left"/>
      <w:outlineLvl w:val="3"/>
    </w:pPr>
    <w:rPr>
      <w:rFonts w:ascii="Symusic" w:hAnsi="Symusic"/>
      <w:b/>
      <w:sz w:val="24"/>
      <w:szCs w:val="28"/>
    </w:rPr>
  </w:style>
  <w:style w:type="paragraph" w:customStyle="1" w:styleId="286">
    <w:name w:val="表头"/>
    <w:basedOn w:val="23"/>
    <w:link w:val="287"/>
    <w:qFormat/>
    <w:uiPriority w:val="0"/>
    <w:pPr>
      <w:adjustRightInd w:val="0"/>
      <w:snapToGrid w:val="0"/>
      <w:spacing w:beforeLines="50" w:afterLines="50" w:line="240" w:lineRule="exact"/>
      <w:jc w:val="center"/>
    </w:pPr>
    <w:rPr>
      <w:rFonts w:ascii="仿宋_GB2312" w:hAnsi="仿宋_GB2312" w:eastAsia="仿宋_GB2312" w:cs="华文中宋"/>
      <w:b/>
      <w:sz w:val="21"/>
      <w:szCs w:val="21"/>
    </w:rPr>
  </w:style>
  <w:style w:type="character" w:customStyle="1" w:styleId="287">
    <w:name w:val="表头 Char"/>
    <w:link w:val="286"/>
    <w:qFormat/>
    <w:uiPriority w:val="0"/>
    <w:rPr>
      <w:rFonts w:ascii="仿宋_GB2312" w:hAnsi="仿宋_GB2312" w:eastAsia="仿宋_GB2312" w:cs="华文中宋"/>
      <w:b/>
      <w:kern w:val="2"/>
      <w:sz w:val="21"/>
      <w:szCs w:val="21"/>
      <w:lang w:val="en-US" w:eastAsia="zh-CN" w:bidi="ar-SA"/>
    </w:rPr>
  </w:style>
  <w:style w:type="paragraph" w:customStyle="1" w:styleId="288">
    <w:name w:val="样式 标题 3 + 首行缩进:  2 字符"/>
    <w:basedOn w:val="7"/>
    <w:qFormat/>
    <w:uiPriority w:val="0"/>
    <w:pPr>
      <w:numPr>
        <w:ilvl w:val="0"/>
        <w:numId w:val="0"/>
      </w:numPr>
      <w:snapToGrid w:val="0"/>
      <w:spacing w:beforeLines="50"/>
      <w:textAlignment w:val="auto"/>
    </w:pPr>
    <w:rPr>
      <w:rFonts w:ascii="仿宋_GB2312" w:hAnsi="仿宋_GB2312" w:eastAsia="仿宋_GB2312" w:cs="仿宋_GB2312"/>
      <w:color w:val="0000FF"/>
      <w:kern w:val="44"/>
      <w:sz w:val="24"/>
      <w:szCs w:val="24"/>
    </w:rPr>
  </w:style>
  <w:style w:type="paragraph" w:customStyle="1" w:styleId="289">
    <w:name w:val="样式 样式 标题 4项 + 非加粗 段前: 0.5 行 段后: 0.5 行 + 段前: 0.5 行 段后: 0.5 行"/>
    <w:basedOn w:val="1"/>
    <w:qFormat/>
    <w:uiPriority w:val="0"/>
    <w:pPr>
      <w:keepLines/>
      <w:adjustRightInd w:val="0"/>
      <w:snapToGrid w:val="0"/>
      <w:spacing w:line="360" w:lineRule="auto"/>
      <w:ind w:firstLine="480" w:firstLineChars="200"/>
      <w:jc w:val="center"/>
    </w:pPr>
    <w:rPr>
      <w:rFonts w:ascii="Courier New" w:hAnsi="Courier New" w:eastAsia="仿宋_GB2312" w:cs="Courier New"/>
      <w:bCs/>
      <w:color w:val="000000"/>
      <w:sz w:val="24"/>
    </w:rPr>
  </w:style>
  <w:style w:type="character" w:customStyle="1" w:styleId="290">
    <w:name w:val="表格标题 Char"/>
    <w:qFormat/>
    <w:uiPriority w:val="0"/>
    <w:rPr>
      <w:rFonts w:eastAsia="仿宋_GB2312"/>
      <w:kern w:val="2"/>
      <w:sz w:val="21"/>
      <w:szCs w:val="21"/>
      <w:lang w:val="en-US" w:eastAsia="zh-CN" w:bidi="ar-SA"/>
    </w:rPr>
  </w:style>
  <w:style w:type="paragraph" w:customStyle="1" w:styleId="291">
    <w:name w:val="王 正文 四宋"/>
    <w:basedOn w:val="1"/>
    <w:link w:val="293"/>
    <w:qFormat/>
    <w:uiPriority w:val="0"/>
    <w:pPr>
      <w:adjustRightInd w:val="0"/>
      <w:snapToGrid w:val="0"/>
      <w:ind w:firstLine="546" w:firstLineChars="260"/>
    </w:pPr>
    <w:rPr>
      <w:rFonts w:ascii="Arial Unicode MS" w:hAnsi="Courier New" w:eastAsia="Arial Unicode MS" w:cs="Courier New"/>
      <w:bCs/>
      <w:szCs w:val="21"/>
    </w:rPr>
  </w:style>
  <w:style w:type="paragraph" w:customStyle="1" w:styleId="292">
    <w:name w:val="Char Char Char Char Char Char Char Char Char Char Char Char Char Char Char Char"/>
    <w:basedOn w:val="27"/>
    <w:qFormat/>
    <w:uiPriority w:val="0"/>
    <w:pPr>
      <w:adjustRightInd w:val="0"/>
      <w:spacing w:line="436" w:lineRule="exact"/>
      <w:ind w:left="357"/>
      <w:jc w:val="left"/>
      <w:outlineLvl w:val="3"/>
    </w:pPr>
    <w:rPr>
      <w:rFonts w:ascii="Symusic" w:hAnsi="Symusic"/>
      <w:b/>
      <w:sz w:val="24"/>
      <w:szCs w:val="28"/>
    </w:rPr>
  </w:style>
  <w:style w:type="character" w:customStyle="1" w:styleId="293">
    <w:name w:val="王 正文 四宋 Char"/>
    <w:link w:val="291"/>
    <w:qFormat/>
    <w:uiPriority w:val="0"/>
    <w:rPr>
      <w:rFonts w:ascii="Arial Unicode MS" w:hAnsi="Courier New" w:eastAsia="Arial Unicode MS" w:cs="Courier New"/>
      <w:bCs/>
      <w:kern w:val="2"/>
      <w:sz w:val="21"/>
      <w:szCs w:val="21"/>
      <w:lang w:val="en-US" w:eastAsia="zh-CN" w:bidi="ar-SA"/>
    </w:rPr>
  </w:style>
  <w:style w:type="paragraph" w:customStyle="1" w:styleId="294">
    <w:name w:val="Char5"/>
    <w:basedOn w:val="27"/>
    <w:qFormat/>
    <w:uiPriority w:val="0"/>
    <w:pPr>
      <w:adjustRightInd w:val="0"/>
      <w:spacing w:line="436" w:lineRule="exact"/>
      <w:ind w:left="357"/>
      <w:jc w:val="left"/>
      <w:outlineLvl w:val="3"/>
    </w:pPr>
    <w:rPr>
      <w:rFonts w:ascii="Symusic" w:hAnsi="Symusic"/>
      <w:b/>
      <w:sz w:val="24"/>
      <w:szCs w:val="28"/>
    </w:rPr>
  </w:style>
  <w:style w:type="character" w:customStyle="1" w:styleId="295">
    <w:name w:val="正文缩进2 Char3"/>
    <w:qFormat/>
    <w:uiPriority w:val="0"/>
    <w:rPr>
      <w:rFonts w:ascii="MS Mincho" w:hAnsi="MS Mincho" w:eastAsia="仿宋_GB2312"/>
      <w:sz w:val="24"/>
      <w:szCs w:val="24"/>
      <w:lang w:val="en-US" w:eastAsia="zh-CN" w:bidi="ar-SA"/>
    </w:rPr>
  </w:style>
  <w:style w:type="paragraph" w:customStyle="1" w:styleId="296">
    <w:name w:val="9"/>
    <w:basedOn w:val="1"/>
    <w:next w:val="4"/>
    <w:qFormat/>
    <w:uiPriority w:val="0"/>
    <w:rPr>
      <w:rFonts w:ascii="Courier New" w:hAnsi="Courier New" w:eastAsia="仿宋_GB2312" w:cs="Courier New"/>
      <w:sz w:val="28"/>
      <w:szCs w:val="28"/>
    </w:rPr>
  </w:style>
  <w:style w:type="paragraph" w:customStyle="1" w:styleId="297">
    <w:name w:val="Char12"/>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298">
    <w:name w:val="Char Char Char Char Char Char Char2"/>
    <w:basedOn w:val="1"/>
    <w:qFormat/>
    <w:uiPriority w:val="0"/>
    <w:pPr>
      <w:widowControl/>
      <w:spacing w:after="160" w:line="240" w:lineRule="exact"/>
      <w:jc w:val="left"/>
    </w:pPr>
    <w:rPr>
      <w:rFonts w:ascii="新宋体" w:hAnsi="新宋体" w:cs="新宋体"/>
      <w:kern w:val="0"/>
      <w:sz w:val="30"/>
      <w:szCs w:val="30"/>
      <w:lang w:eastAsia="en-US"/>
    </w:rPr>
  </w:style>
  <w:style w:type="paragraph" w:customStyle="1" w:styleId="299">
    <w:name w:val="Char Char Char Char Char Char Char Char Char1"/>
    <w:basedOn w:val="1"/>
    <w:qFormat/>
    <w:uiPriority w:val="0"/>
    <w:pPr>
      <w:widowControl/>
      <w:spacing w:after="160" w:line="240" w:lineRule="exact"/>
      <w:jc w:val="left"/>
    </w:pPr>
    <w:rPr>
      <w:rFonts w:ascii="新宋体" w:hAnsi="新宋体" w:cs="新宋体"/>
      <w:kern w:val="0"/>
      <w:sz w:val="30"/>
      <w:szCs w:val="30"/>
      <w:lang w:eastAsia="en-US"/>
    </w:rPr>
  </w:style>
  <w:style w:type="paragraph" w:customStyle="1" w:styleId="300">
    <w:name w:val="Char Char Char Char Char Char1 Char"/>
    <w:basedOn w:val="1"/>
    <w:qFormat/>
    <w:uiPriority w:val="0"/>
    <w:pPr>
      <w:widowControl/>
      <w:spacing w:after="160" w:line="240" w:lineRule="exact"/>
      <w:jc w:val="left"/>
    </w:pPr>
    <w:rPr>
      <w:rFonts w:ascii="新宋体" w:hAnsi="新宋体" w:cs="新宋体"/>
      <w:kern w:val="0"/>
      <w:sz w:val="30"/>
      <w:szCs w:val="30"/>
      <w:lang w:eastAsia="en-US"/>
    </w:rPr>
  </w:style>
  <w:style w:type="paragraph" w:customStyle="1" w:styleId="301">
    <w:name w:val="表格，五宋"/>
    <w:qFormat/>
    <w:uiPriority w:val="0"/>
    <w:pPr>
      <w:keepNext/>
      <w:widowControl w:val="0"/>
      <w:adjustRightInd w:val="0"/>
      <w:spacing w:line="360" w:lineRule="atLeast"/>
      <w:jc w:val="center"/>
    </w:pPr>
    <w:rPr>
      <w:rFonts w:ascii="仿宋_GB2312" w:hAnsi="仿宋_GB2312" w:eastAsia="仿宋_GB2312" w:cs="仿宋_GB2312"/>
      <w:sz w:val="21"/>
      <w:szCs w:val="21"/>
      <w:lang w:val="en-US" w:eastAsia="zh-CN" w:bidi="ar-SA"/>
    </w:rPr>
  </w:style>
  <w:style w:type="character" w:customStyle="1" w:styleId="302">
    <w:name w:val="标题 6 字符"/>
    <w:link w:val="10"/>
    <w:qFormat/>
    <w:locked/>
    <w:uiPriority w:val="0"/>
    <w:rPr>
      <w:rFonts w:ascii="Arial" w:hAnsi="Arial" w:eastAsia="黑体"/>
      <w:b/>
      <w:sz w:val="24"/>
    </w:rPr>
  </w:style>
  <w:style w:type="paragraph" w:customStyle="1" w:styleId="303">
    <w:name w:val="Char Char Char Char Char Char Char Char Char Char Char Char Char Char Char Char Char Char Char1"/>
    <w:basedOn w:val="1"/>
    <w:qFormat/>
    <w:uiPriority w:val="0"/>
    <w:rPr>
      <w:rFonts w:ascii="Courier New" w:hAnsi="Courier New" w:eastAsia="仿宋_GB2312" w:cs="Courier New"/>
      <w:szCs w:val="21"/>
    </w:rPr>
  </w:style>
  <w:style w:type="paragraph" w:customStyle="1" w:styleId="304">
    <w:name w:val="Char Char Char Char Char Char1 Char Char Char1 Char Char Char Char"/>
    <w:basedOn w:val="1"/>
    <w:qFormat/>
    <w:uiPriority w:val="0"/>
    <w:pPr>
      <w:widowControl/>
      <w:spacing w:after="160" w:line="240" w:lineRule="exact"/>
      <w:jc w:val="left"/>
    </w:pPr>
    <w:rPr>
      <w:rFonts w:ascii="新宋体" w:hAnsi="新宋体" w:cs="新宋体"/>
      <w:kern w:val="0"/>
      <w:sz w:val="30"/>
      <w:szCs w:val="30"/>
      <w:lang w:eastAsia="en-US"/>
    </w:rPr>
  </w:style>
  <w:style w:type="paragraph" w:customStyle="1" w:styleId="305">
    <w:name w:val="Char1 Char Char Char"/>
    <w:basedOn w:val="1"/>
    <w:qFormat/>
    <w:uiPriority w:val="0"/>
    <w:rPr>
      <w:rFonts w:ascii="Symusic" w:hAnsi="Symusic" w:eastAsia="仿宋_GB2312" w:cs="Symusic"/>
      <w:sz w:val="24"/>
      <w:szCs w:val="28"/>
    </w:rPr>
  </w:style>
  <w:style w:type="paragraph" w:customStyle="1" w:styleId="306">
    <w:name w:val="Char Char Char Char Char Char1 Char1"/>
    <w:basedOn w:val="1"/>
    <w:qFormat/>
    <w:uiPriority w:val="0"/>
    <w:pPr>
      <w:widowControl/>
      <w:spacing w:after="160" w:line="240" w:lineRule="exact"/>
      <w:jc w:val="left"/>
    </w:pPr>
    <w:rPr>
      <w:rFonts w:ascii="新宋体" w:hAnsi="新宋体" w:cs="新宋体"/>
      <w:kern w:val="0"/>
      <w:sz w:val="30"/>
      <w:szCs w:val="30"/>
      <w:lang w:eastAsia="en-US"/>
    </w:rPr>
  </w:style>
  <w:style w:type="paragraph" w:customStyle="1" w:styleId="307">
    <w:name w:val="Char11"/>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308">
    <w:name w:val="Char1 Char Char Char Char Char Char1 Char Char Char"/>
    <w:basedOn w:val="1"/>
    <w:qFormat/>
    <w:uiPriority w:val="0"/>
    <w:pPr>
      <w:spacing w:line="360" w:lineRule="auto"/>
      <w:ind w:firstLine="200" w:firstLineChars="200"/>
    </w:pPr>
    <w:rPr>
      <w:rFonts w:ascii="仿宋_GB2312" w:hAnsi="仿宋_GB2312" w:eastAsia="仿宋_GB2312" w:cs="仿宋_GB2312"/>
      <w:sz w:val="24"/>
      <w:szCs w:val="28"/>
    </w:rPr>
  </w:style>
  <w:style w:type="character" w:customStyle="1" w:styleId="309">
    <w:name w:val="pt91"/>
    <w:qFormat/>
    <w:uiPriority w:val="0"/>
    <w:rPr>
      <w:rFonts w:hint="default" w:ascii="Times" w:hAnsi="Times"/>
      <w:color w:val="000000"/>
      <w:sz w:val="18"/>
      <w:szCs w:val="18"/>
    </w:rPr>
  </w:style>
  <w:style w:type="paragraph" w:customStyle="1" w:styleId="310">
    <w:name w:val="Char1 Char Char Char Char Char Char1 Char Char Char1"/>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311">
    <w:name w:val="Char2"/>
    <w:basedOn w:val="27"/>
    <w:qFormat/>
    <w:uiPriority w:val="0"/>
    <w:pPr>
      <w:adjustRightInd w:val="0"/>
      <w:spacing w:line="436" w:lineRule="exact"/>
      <w:ind w:left="357"/>
      <w:jc w:val="left"/>
      <w:outlineLvl w:val="3"/>
    </w:pPr>
    <w:rPr>
      <w:rFonts w:ascii="Symusic" w:hAnsi="Symusic"/>
      <w:b/>
      <w:sz w:val="24"/>
      <w:szCs w:val="28"/>
    </w:rPr>
  </w:style>
  <w:style w:type="character" w:customStyle="1" w:styleId="312">
    <w:name w:val="llyf141"/>
    <w:qFormat/>
    <w:uiPriority w:val="0"/>
    <w:rPr>
      <w:sz w:val="28"/>
      <w:szCs w:val="28"/>
    </w:rPr>
  </w:style>
  <w:style w:type="character" w:customStyle="1" w:styleId="313">
    <w:name w:val="new"/>
    <w:basedOn w:val="134"/>
    <w:qFormat/>
    <w:uiPriority w:val="0"/>
  </w:style>
  <w:style w:type="character" w:customStyle="1" w:styleId="314">
    <w:name w:val="纯文本 Char Char Char Char2"/>
    <w:qFormat/>
    <w:uiPriority w:val="0"/>
    <w:rPr>
      <w:rFonts w:ascii="仿宋_GB2312" w:hAnsi="ˎ̥" w:eastAsia="仿宋_GB2312"/>
      <w:color w:val="000000"/>
      <w:kern w:val="2"/>
      <w:sz w:val="21"/>
      <w:lang w:val="en-US" w:eastAsia="zh-CN" w:bidi="ar-SA"/>
    </w:rPr>
  </w:style>
  <w:style w:type="paragraph" w:customStyle="1" w:styleId="315">
    <w:name w:val="czg样式"/>
    <w:basedOn w:val="1"/>
    <w:link w:val="316"/>
    <w:qFormat/>
    <w:uiPriority w:val="0"/>
    <w:pPr>
      <w:ind w:firstLine="200" w:firstLineChars="200"/>
    </w:pPr>
    <w:rPr>
      <w:rFonts w:ascii="仿宋_GB2312" w:hAnsi="Courier New" w:eastAsia="仿宋_GB2312" w:cs="Courier New"/>
      <w:color w:val="000000"/>
      <w:sz w:val="28"/>
      <w:szCs w:val="28"/>
    </w:rPr>
  </w:style>
  <w:style w:type="character" w:customStyle="1" w:styleId="316">
    <w:name w:val="czg样式 Char Char"/>
    <w:link w:val="315"/>
    <w:qFormat/>
    <w:uiPriority w:val="0"/>
    <w:rPr>
      <w:rFonts w:ascii="仿宋_GB2312" w:hAnsi="Courier New" w:eastAsia="仿宋_GB2312" w:cs="Courier New"/>
      <w:color w:val="000000"/>
      <w:kern w:val="2"/>
      <w:sz w:val="28"/>
      <w:szCs w:val="28"/>
      <w:lang w:val="en-US" w:eastAsia="zh-CN" w:bidi="ar-SA"/>
    </w:rPr>
  </w:style>
  <w:style w:type="character" w:customStyle="1" w:styleId="317">
    <w:name w:val="Char Char Char Char Char"/>
    <w:qFormat/>
    <w:uiPriority w:val="0"/>
    <w:rPr>
      <w:rFonts w:ascii="Symusic" w:hAnsi="Symusic" w:eastAsia="仿宋_GB2312"/>
      <w:b/>
      <w:kern w:val="2"/>
      <w:sz w:val="24"/>
      <w:szCs w:val="28"/>
      <w:lang w:val="en-US" w:eastAsia="zh-CN" w:bidi="ar-SA"/>
    </w:rPr>
  </w:style>
  <w:style w:type="paragraph" w:customStyle="1" w:styleId="318">
    <w:name w:val="Char Char Char Char Char Char Char Char Char Char Char Char Char Char Char Char Char Char Char Char Char Char Char Char Char"/>
    <w:basedOn w:val="1"/>
    <w:qFormat/>
    <w:uiPriority w:val="0"/>
    <w:rPr>
      <w:rFonts w:ascii="Courier New" w:hAnsi="Courier New" w:eastAsia="仿宋_GB2312" w:cs="Courier New"/>
      <w:sz w:val="28"/>
      <w:szCs w:val="28"/>
    </w:rPr>
  </w:style>
  <w:style w:type="paragraph" w:customStyle="1" w:styleId="319">
    <w:name w:val="Char Char Char Char Char Char Char Char Char Char Char Char Char Char Char Char Char Char"/>
    <w:basedOn w:val="1"/>
    <w:qFormat/>
    <w:uiPriority w:val="0"/>
    <w:rPr>
      <w:rFonts w:ascii="Courier New" w:hAnsi="Courier New" w:eastAsia="仿宋_GB2312" w:cs="Courier New"/>
      <w:szCs w:val="28"/>
    </w:rPr>
  </w:style>
  <w:style w:type="paragraph" w:customStyle="1" w:styleId="320">
    <w:name w:val="Char Char"/>
    <w:basedOn w:val="1"/>
    <w:qFormat/>
    <w:uiPriority w:val="0"/>
    <w:rPr>
      <w:rFonts w:ascii="Courier New" w:hAnsi="Courier New" w:eastAsia="仿宋_GB2312" w:cs="Courier New"/>
      <w:sz w:val="28"/>
      <w:szCs w:val="28"/>
    </w:rPr>
  </w:style>
  <w:style w:type="paragraph" w:customStyle="1" w:styleId="321">
    <w:name w:val="Char Char Char Char Char Char Char Char Char Char Char Char Char Char Char Char Char Char Char Char Char"/>
    <w:basedOn w:val="1"/>
    <w:qFormat/>
    <w:uiPriority w:val="0"/>
    <w:rPr>
      <w:rFonts w:ascii="Courier New" w:hAnsi="Courier New" w:eastAsia="仿宋_GB2312" w:cs="Courier New"/>
      <w:szCs w:val="28"/>
    </w:rPr>
  </w:style>
  <w:style w:type="paragraph" w:customStyle="1" w:styleId="322">
    <w:name w:val="8"/>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323">
    <w:name w:val="样式"/>
    <w:basedOn w:val="1"/>
    <w:qFormat/>
    <w:uiPriority w:val="0"/>
    <w:rPr>
      <w:rFonts w:ascii="Courier New" w:hAnsi="Courier New" w:eastAsia="仿宋_GB2312" w:cs="Courier New"/>
      <w:sz w:val="28"/>
      <w:szCs w:val="28"/>
    </w:rPr>
  </w:style>
  <w:style w:type="character" w:customStyle="1" w:styleId="324">
    <w:name w:val="even Char Char"/>
    <w:semiHidden/>
    <w:qFormat/>
    <w:locked/>
    <w:uiPriority w:val="0"/>
    <w:rPr>
      <w:rFonts w:eastAsia="仿宋_GB2312"/>
      <w:kern w:val="2"/>
      <w:sz w:val="18"/>
      <w:szCs w:val="18"/>
      <w:lang w:val="en-US" w:eastAsia="zh-CN" w:bidi="ar-SA"/>
    </w:rPr>
  </w:style>
  <w:style w:type="paragraph" w:customStyle="1" w:styleId="325">
    <w:name w:val="Char Char1"/>
    <w:basedOn w:val="1"/>
    <w:qFormat/>
    <w:uiPriority w:val="0"/>
    <w:rPr>
      <w:rFonts w:ascii="Courier New" w:hAnsi="Courier New" w:eastAsia="仿宋_GB2312" w:cs="Courier New"/>
      <w:szCs w:val="28"/>
    </w:rPr>
  </w:style>
  <w:style w:type="character" w:customStyle="1" w:styleId="326">
    <w:name w:val="文档结构图 字符"/>
    <w:link w:val="27"/>
    <w:qFormat/>
    <w:uiPriority w:val="0"/>
    <w:rPr>
      <w:rFonts w:ascii="Courier New" w:hAnsi="Courier New" w:eastAsia="仿宋_GB2312" w:cs="Courier New"/>
      <w:kern w:val="2"/>
      <w:sz w:val="21"/>
      <w:szCs w:val="24"/>
      <w:lang w:val="en-US" w:eastAsia="zh-CN" w:bidi="ar-SA"/>
    </w:rPr>
  </w:style>
  <w:style w:type="table" w:customStyle="1" w:styleId="327">
    <w:name w:val="qiu"/>
    <w:basedOn w:val="90"/>
    <w:qFormat/>
    <w:uiPriority w:val="0"/>
    <w:rPr>
      <w:rFonts w:ascii="Courier New" w:hAnsi="Courier New" w:eastAsia="仿宋_GB2312" w:cs="Courier New"/>
    </w:rPr>
    <w:tcPr>
      <w:shd w:val="clear" w:color="auto" w:fill="auto"/>
    </w:tcPr>
    <w:tblStylePr w:type="firstRow">
      <w:tcPr>
        <w:shd w:val="clear" w:color="auto" w:fill="99CCFF"/>
      </w:tcPr>
    </w:tblStylePr>
  </w:style>
  <w:style w:type="character" w:customStyle="1" w:styleId="328">
    <w:name w:val="tpc_content1"/>
    <w:qFormat/>
    <w:uiPriority w:val="0"/>
    <w:rPr>
      <w:sz w:val="28"/>
      <w:szCs w:val="28"/>
    </w:rPr>
  </w:style>
  <w:style w:type="character" w:customStyle="1" w:styleId="329">
    <w:name w:val="f14"/>
    <w:basedOn w:val="134"/>
    <w:qFormat/>
    <w:uiPriority w:val="0"/>
  </w:style>
  <w:style w:type="paragraph" w:customStyle="1" w:styleId="330">
    <w:name w:val="图注"/>
    <w:basedOn w:val="1"/>
    <w:next w:val="71"/>
    <w:qFormat/>
    <w:uiPriority w:val="0"/>
    <w:pPr>
      <w:spacing w:after="120"/>
      <w:ind w:left="420" w:leftChars="200"/>
    </w:pPr>
    <w:rPr>
      <w:rFonts w:ascii="Courier New" w:hAnsi="Courier New" w:eastAsia="仿宋_GB2312" w:cs="Courier New"/>
      <w:sz w:val="16"/>
      <w:szCs w:val="16"/>
    </w:rPr>
  </w:style>
  <w:style w:type="paragraph" w:customStyle="1" w:styleId="331">
    <w:name w:val="xl60"/>
    <w:basedOn w:val="1"/>
    <w:qFormat/>
    <w:uiPriority w:val="0"/>
    <w:pPr>
      <w:widowControl/>
      <w:spacing w:before="100" w:beforeAutospacing="1" w:after="100" w:afterAutospacing="1"/>
      <w:jc w:val="center"/>
    </w:pPr>
    <w:rPr>
      <w:rFonts w:ascii="仿宋_GB2312" w:hAnsi="仿宋_GB2312" w:eastAsia="仿宋_GB2312" w:cs="Courier New"/>
      <w:kern w:val="0"/>
      <w:sz w:val="16"/>
      <w:szCs w:val="16"/>
    </w:rPr>
  </w:style>
  <w:style w:type="paragraph" w:customStyle="1" w:styleId="332">
    <w:name w:val="表格"/>
    <w:basedOn w:val="1"/>
    <w:link w:val="637"/>
    <w:qFormat/>
    <w:uiPriority w:val="0"/>
    <w:pPr>
      <w:jc w:val="center"/>
    </w:pPr>
    <w:rPr>
      <w:rFonts w:ascii="Courier New" w:hAnsi="Courier New" w:eastAsia="Arial Unicode MS" w:cs="Courier New"/>
      <w:sz w:val="28"/>
      <w:szCs w:val="21"/>
    </w:rPr>
  </w:style>
  <w:style w:type="character" w:customStyle="1" w:styleId="333">
    <w:name w:val="Output"/>
    <w:qFormat/>
    <w:uiPriority w:val="0"/>
    <w:rPr>
      <w:rFonts w:ascii="ˎ̥" w:hAnsi="ˎ̥"/>
      <w:color w:val="0000FF"/>
      <w:sz w:val="20"/>
    </w:rPr>
  </w:style>
  <w:style w:type="paragraph" w:customStyle="1" w:styleId="334">
    <w:name w:val="font1"/>
    <w:basedOn w:val="1"/>
    <w:qFormat/>
    <w:uiPriority w:val="0"/>
    <w:pPr>
      <w:widowControl/>
      <w:spacing w:before="100" w:beforeAutospacing="1" w:after="100" w:afterAutospacing="1"/>
      <w:jc w:val="left"/>
    </w:pPr>
    <w:rPr>
      <w:rFonts w:hint="eastAsia" w:ascii="仿宋_GB2312" w:hAnsi="仿宋_GB2312" w:eastAsia="仿宋_GB2312" w:cs="Courier New"/>
      <w:kern w:val="0"/>
      <w:sz w:val="24"/>
      <w:szCs w:val="28"/>
    </w:rPr>
  </w:style>
  <w:style w:type="paragraph" w:customStyle="1" w:styleId="335">
    <w:name w:val="xl2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Book Antiqua" w:hAnsi="Book Antiqua" w:eastAsia="仿宋_GB2312" w:cs="Courier New"/>
      <w:kern w:val="0"/>
      <w:sz w:val="16"/>
      <w:szCs w:val="16"/>
    </w:rPr>
  </w:style>
  <w:style w:type="paragraph" w:customStyle="1" w:styleId="336">
    <w:name w:val="xl50"/>
    <w:basedOn w:val="1"/>
    <w:qFormat/>
    <w:uiPriority w:val="0"/>
    <w:pPr>
      <w:widowControl/>
      <w:pBdr>
        <w:top w:val="single" w:color="000000" w:sz="8" w:space="0"/>
        <w:right w:val="single" w:color="000000" w:sz="8" w:space="0"/>
      </w:pBdr>
      <w:shd w:val="clear" w:color="auto" w:fill="FFFFFF"/>
      <w:spacing w:before="100" w:beforeAutospacing="1" w:after="100" w:afterAutospacing="1"/>
      <w:jc w:val="center"/>
    </w:pPr>
    <w:rPr>
      <w:rFonts w:ascii="Book Antiqua" w:hAnsi="Book Antiqua" w:eastAsia="仿宋_GB2312" w:cs="Courier New"/>
      <w:kern w:val="0"/>
      <w:sz w:val="16"/>
      <w:szCs w:val="16"/>
    </w:rPr>
  </w:style>
  <w:style w:type="paragraph" w:customStyle="1" w:styleId="337">
    <w:name w:val="xl51"/>
    <w:basedOn w:val="1"/>
    <w:qFormat/>
    <w:uiPriority w:val="0"/>
    <w:pPr>
      <w:widowControl/>
      <w:pBdr>
        <w:bottom w:val="single" w:color="000000" w:sz="4" w:space="0"/>
        <w:right w:val="single" w:color="000000" w:sz="8" w:space="0"/>
      </w:pBdr>
      <w:shd w:val="clear" w:color="auto" w:fill="FFFFFF"/>
      <w:spacing w:before="100" w:beforeAutospacing="1" w:after="100" w:afterAutospacing="1"/>
      <w:jc w:val="center"/>
    </w:pPr>
    <w:rPr>
      <w:rFonts w:ascii="Book Antiqua" w:hAnsi="Book Antiqua" w:eastAsia="仿宋_GB2312" w:cs="Courier New"/>
      <w:kern w:val="0"/>
      <w:sz w:val="16"/>
      <w:szCs w:val="16"/>
    </w:rPr>
  </w:style>
  <w:style w:type="paragraph" w:customStyle="1" w:styleId="338">
    <w:name w:val="xl5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Courier New" w:hAnsi="Courier New" w:eastAsia="仿宋_GB2312" w:cs="Courier New"/>
      <w:kern w:val="0"/>
      <w:sz w:val="16"/>
      <w:szCs w:val="16"/>
    </w:rPr>
  </w:style>
  <w:style w:type="paragraph" w:customStyle="1" w:styleId="339">
    <w:name w:val="xl53"/>
    <w:basedOn w:val="1"/>
    <w:qFormat/>
    <w:uiPriority w:val="0"/>
    <w:pPr>
      <w:widowControl/>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jc w:val="center"/>
    </w:pPr>
    <w:rPr>
      <w:rFonts w:ascii="Book Antiqua" w:hAnsi="Book Antiqua" w:eastAsia="仿宋_GB2312" w:cs="Courier New"/>
      <w:kern w:val="0"/>
      <w:sz w:val="16"/>
      <w:szCs w:val="16"/>
    </w:rPr>
  </w:style>
  <w:style w:type="paragraph" w:customStyle="1" w:styleId="340">
    <w:name w:val="xl5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Courier New" w:hAnsi="Courier New" w:eastAsia="仿宋_GB2312" w:cs="Courier New"/>
      <w:kern w:val="0"/>
      <w:sz w:val="16"/>
      <w:szCs w:val="16"/>
    </w:rPr>
  </w:style>
  <w:style w:type="paragraph" w:customStyle="1" w:styleId="341">
    <w:name w:val="xl55"/>
    <w:basedOn w:val="1"/>
    <w:qFormat/>
    <w:uiPriority w:val="0"/>
    <w:pPr>
      <w:widowControl/>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jc w:val="center"/>
    </w:pPr>
    <w:rPr>
      <w:rFonts w:ascii="Book Antiqua" w:hAnsi="Book Antiqua" w:eastAsia="仿宋_GB2312" w:cs="Courier New"/>
      <w:kern w:val="0"/>
      <w:sz w:val="16"/>
      <w:szCs w:val="16"/>
    </w:rPr>
  </w:style>
  <w:style w:type="paragraph" w:customStyle="1" w:styleId="342">
    <w:name w:val="xl56"/>
    <w:basedOn w:val="1"/>
    <w:qFormat/>
    <w:uiPriority w:val="0"/>
    <w:pPr>
      <w:widowControl/>
      <w:pBdr>
        <w:top w:val="single" w:color="000000" w:sz="4" w:space="0"/>
        <w:left w:val="single" w:color="000000" w:sz="8" w:space="0"/>
        <w:bottom w:val="single" w:color="000000" w:sz="8" w:space="0"/>
        <w:right w:val="single" w:color="000000" w:sz="4" w:space="0"/>
      </w:pBdr>
      <w:shd w:val="clear" w:color="auto" w:fill="FFFFFF"/>
      <w:spacing w:before="100" w:beforeAutospacing="1" w:after="100" w:afterAutospacing="1"/>
      <w:jc w:val="center"/>
    </w:pPr>
    <w:rPr>
      <w:rFonts w:ascii="Book Antiqua" w:hAnsi="Book Antiqua" w:eastAsia="仿宋_GB2312" w:cs="Courier New"/>
      <w:kern w:val="0"/>
      <w:sz w:val="16"/>
      <w:szCs w:val="16"/>
    </w:rPr>
  </w:style>
  <w:style w:type="paragraph" w:customStyle="1" w:styleId="343">
    <w:name w:val="xl57"/>
    <w:basedOn w:val="1"/>
    <w:qFormat/>
    <w:uiPriority w:val="0"/>
    <w:pPr>
      <w:widowControl/>
      <w:pBdr>
        <w:top w:val="single" w:color="000000" w:sz="8" w:space="0"/>
        <w:left w:val="single" w:color="000000" w:sz="8" w:space="0"/>
        <w:bottom w:val="single" w:color="000000" w:sz="4" w:space="0"/>
        <w:right w:val="single" w:color="000000" w:sz="4" w:space="0"/>
      </w:pBdr>
      <w:shd w:val="clear" w:color="auto" w:fill="FFFFFF"/>
      <w:spacing w:before="100" w:beforeAutospacing="1" w:after="100" w:afterAutospacing="1"/>
      <w:jc w:val="center"/>
    </w:pPr>
    <w:rPr>
      <w:rFonts w:ascii="Book Antiqua" w:hAnsi="Book Antiqua" w:eastAsia="仿宋_GB2312" w:cs="Courier New"/>
      <w:kern w:val="0"/>
      <w:sz w:val="24"/>
      <w:szCs w:val="28"/>
    </w:rPr>
  </w:style>
  <w:style w:type="paragraph" w:customStyle="1" w:styleId="344">
    <w:name w:val="xl58"/>
    <w:basedOn w:val="1"/>
    <w:qFormat/>
    <w:uiPriority w:val="0"/>
    <w:pPr>
      <w:widowControl/>
      <w:pBdr>
        <w:top w:val="single" w:color="000000" w:sz="8"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Book Antiqua" w:hAnsi="Book Antiqua" w:eastAsia="仿宋_GB2312" w:cs="Courier New"/>
      <w:kern w:val="0"/>
      <w:sz w:val="24"/>
      <w:szCs w:val="28"/>
    </w:rPr>
  </w:style>
  <w:style w:type="paragraph" w:customStyle="1" w:styleId="345">
    <w:name w:val="xl59"/>
    <w:basedOn w:val="1"/>
    <w:qFormat/>
    <w:uiPriority w:val="0"/>
    <w:pPr>
      <w:widowControl/>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jc w:val="center"/>
    </w:pPr>
    <w:rPr>
      <w:rFonts w:ascii="Book Antiqua" w:hAnsi="Book Antiqua" w:eastAsia="仿宋_GB2312" w:cs="Courier New"/>
      <w:kern w:val="0"/>
      <w:sz w:val="24"/>
      <w:szCs w:val="28"/>
    </w:rPr>
  </w:style>
  <w:style w:type="paragraph" w:customStyle="1" w:styleId="346">
    <w:name w:val="xl61"/>
    <w:basedOn w:val="1"/>
    <w:qFormat/>
    <w:uiPriority w:val="0"/>
    <w:pPr>
      <w:widowControl/>
      <w:pBdr>
        <w:top w:val="single" w:color="000000" w:sz="8"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Book Antiqua" w:hAnsi="Book Antiqua" w:eastAsia="仿宋_GB2312" w:cs="Courier New"/>
      <w:kern w:val="0"/>
      <w:sz w:val="24"/>
      <w:szCs w:val="28"/>
    </w:rPr>
  </w:style>
  <w:style w:type="character" w:customStyle="1" w:styleId="347">
    <w:name w:val="unnamed1"/>
    <w:basedOn w:val="134"/>
    <w:qFormat/>
    <w:uiPriority w:val="0"/>
  </w:style>
  <w:style w:type="paragraph" w:customStyle="1" w:styleId="348">
    <w:name w:val="7"/>
    <w:basedOn w:val="1"/>
    <w:qFormat/>
    <w:uiPriority w:val="0"/>
    <w:pPr>
      <w:spacing w:after="120"/>
      <w:ind w:left="420" w:leftChars="200"/>
    </w:pPr>
    <w:rPr>
      <w:rFonts w:ascii="Courier New" w:hAnsi="Courier New" w:eastAsia="仿宋_GB2312" w:cs="Courier New"/>
      <w:sz w:val="16"/>
      <w:szCs w:val="16"/>
    </w:rPr>
  </w:style>
  <w:style w:type="paragraph" w:customStyle="1" w:styleId="349">
    <w:name w:val="6"/>
    <w:basedOn w:val="1"/>
    <w:next w:val="52"/>
    <w:qFormat/>
    <w:uiPriority w:val="0"/>
    <w:pPr>
      <w:ind w:firstLine="560" w:firstLineChars="200"/>
    </w:pPr>
    <w:rPr>
      <w:rFonts w:ascii="Courier New" w:hAnsi="Courier New" w:eastAsia="仿宋_GB2312" w:cs="Courier New"/>
      <w:color w:val="FF0000"/>
      <w:sz w:val="28"/>
      <w:szCs w:val="28"/>
    </w:rPr>
  </w:style>
  <w:style w:type="paragraph" w:customStyle="1" w:styleId="350">
    <w:name w:val="5"/>
    <w:basedOn w:val="1"/>
    <w:next w:val="52"/>
    <w:qFormat/>
    <w:uiPriority w:val="0"/>
    <w:pPr>
      <w:ind w:firstLine="560" w:firstLineChars="200"/>
    </w:pPr>
    <w:rPr>
      <w:rFonts w:ascii="Courier New" w:hAnsi="Courier New" w:eastAsia="仿宋_GB2312" w:cs="Courier New"/>
      <w:color w:val="FF0000"/>
      <w:sz w:val="28"/>
      <w:szCs w:val="28"/>
    </w:rPr>
  </w:style>
  <w:style w:type="paragraph" w:customStyle="1" w:styleId="351">
    <w:name w:val="Char Char Char Char Char Char Char Char Char Char Char Char Char Char Char"/>
    <w:basedOn w:val="1"/>
    <w:qFormat/>
    <w:uiPriority w:val="0"/>
    <w:pPr>
      <w:widowControl/>
      <w:spacing w:after="160" w:line="240" w:lineRule="exact"/>
      <w:jc w:val="left"/>
    </w:pPr>
    <w:rPr>
      <w:rFonts w:ascii="新宋体" w:hAnsi="新宋体" w:cs="Courier New"/>
      <w:kern w:val="0"/>
      <w:sz w:val="30"/>
      <w:szCs w:val="30"/>
      <w:lang w:eastAsia="en-US"/>
    </w:rPr>
  </w:style>
  <w:style w:type="character" w:customStyle="1" w:styleId="352">
    <w:name w:val="font_black_12px1"/>
    <w:qFormat/>
    <w:uiPriority w:val="0"/>
    <w:rPr>
      <w:rFonts w:hint="default" w:ascii="????" w:hAnsi="????"/>
      <w:color w:val="333333"/>
      <w:sz w:val="20"/>
      <w:szCs w:val="20"/>
      <w:u w:val="none"/>
    </w:rPr>
  </w:style>
  <w:style w:type="paragraph" w:customStyle="1" w:styleId="353">
    <w:name w:val="z-窗体顶端1"/>
    <w:basedOn w:val="1"/>
    <w:next w:val="1"/>
    <w:hidden/>
    <w:qFormat/>
    <w:uiPriority w:val="0"/>
    <w:pPr>
      <w:widowControl/>
      <w:pBdr>
        <w:bottom w:val="single" w:color="auto" w:sz="6" w:space="1"/>
      </w:pBdr>
      <w:jc w:val="center"/>
    </w:pPr>
    <w:rPr>
      <w:rFonts w:ascii="华文中宋" w:hAnsi="华文中宋" w:eastAsia="仿宋_GB2312" w:cs="华文中宋"/>
      <w:vanish/>
      <w:kern w:val="0"/>
      <w:sz w:val="16"/>
      <w:szCs w:val="16"/>
    </w:rPr>
  </w:style>
  <w:style w:type="paragraph" w:customStyle="1" w:styleId="354">
    <w:name w:val="z-窗体底端1"/>
    <w:basedOn w:val="1"/>
    <w:next w:val="1"/>
    <w:hidden/>
    <w:qFormat/>
    <w:uiPriority w:val="0"/>
    <w:pPr>
      <w:widowControl/>
      <w:pBdr>
        <w:top w:val="single" w:color="auto" w:sz="6" w:space="1"/>
      </w:pBdr>
      <w:jc w:val="center"/>
    </w:pPr>
    <w:rPr>
      <w:rFonts w:ascii="华文中宋" w:hAnsi="华文中宋" w:eastAsia="仿宋_GB2312" w:cs="华文中宋"/>
      <w:vanish/>
      <w:kern w:val="0"/>
      <w:sz w:val="16"/>
      <w:szCs w:val="16"/>
    </w:rPr>
  </w:style>
  <w:style w:type="paragraph" w:customStyle="1" w:styleId="355">
    <w:name w:val="招标文件正文"/>
    <w:qFormat/>
    <w:uiPriority w:val="0"/>
    <w:pPr>
      <w:spacing w:before="120" w:after="120" w:line="300" w:lineRule="auto"/>
      <w:ind w:firstLine="200" w:firstLineChars="200"/>
    </w:pPr>
    <w:rPr>
      <w:rFonts w:ascii="仿宋_GB2312" w:hAnsi="Courier New" w:eastAsia="仿宋_GB2312" w:cs="Courier New"/>
      <w:spacing w:val="10"/>
      <w:w w:val="95"/>
      <w:sz w:val="21"/>
      <w:lang w:val="en-US" w:eastAsia="zh-CN" w:bidi="ar-SA"/>
    </w:rPr>
  </w:style>
  <w:style w:type="paragraph" w:customStyle="1" w:styleId="356">
    <w:name w:val="我的正文"/>
    <w:basedOn w:val="1"/>
    <w:link w:val="1008"/>
    <w:qFormat/>
    <w:uiPriority w:val="0"/>
    <w:pPr>
      <w:spacing w:line="480" w:lineRule="exact"/>
      <w:ind w:firstLine="200" w:firstLineChars="200"/>
    </w:pPr>
    <w:rPr>
      <w:rFonts w:ascii="Courier New" w:hAnsi="Courier New" w:eastAsia="仿宋_GB2312" w:cs="Courier New"/>
      <w:sz w:val="28"/>
      <w:szCs w:val="28"/>
    </w:rPr>
  </w:style>
  <w:style w:type="paragraph" w:customStyle="1" w:styleId="357">
    <w:name w:val="xl6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Courier New" w:hAnsi="Courier New" w:eastAsia="仿宋_GB2312" w:cs="Courier New"/>
      <w:kern w:val="0"/>
      <w:szCs w:val="21"/>
    </w:rPr>
  </w:style>
  <w:style w:type="paragraph" w:customStyle="1" w:styleId="358">
    <w:name w:val="xl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仿宋_GB2312" w:eastAsia="仿宋_GB2312" w:cs="Courier New"/>
      <w:kern w:val="0"/>
      <w:szCs w:val="21"/>
    </w:rPr>
  </w:style>
  <w:style w:type="paragraph" w:customStyle="1" w:styleId="359">
    <w:name w:val="xl6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仿宋_GB2312" w:eastAsia="仿宋_GB2312" w:cs="Courier New"/>
      <w:kern w:val="0"/>
      <w:szCs w:val="21"/>
    </w:rPr>
  </w:style>
  <w:style w:type="paragraph" w:customStyle="1" w:styleId="360">
    <w:name w:val="xl65"/>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pPr>
    <w:rPr>
      <w:rFonts w:ascii="仿宋_GB2312" w:hAnsi="仿宋_GB2312" w:eastAsia="仿宋_GB2312" w:cs="Courier New"/>
      <w:kern w:val="0"/>
      <w:szCs w:val="21"/>
    </w:rPr>
  </w:style>
  <w:style w:type="paragraph" w:customStyle="1" w:styleId="361">
    <w:name w:val="xl66"/>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pPr>
    <w:rPr>
      <w:rFonts w:ascii="仿宋_GB2312" w:hAnsi="仿宋_GB2312" w:eastAsia="仿宋_GB2312" w:cs="Courier New"/>
      <w:kern w:val="0"/>
      <w:szCs w:val="21"/>
    </w:rPr>
  </w:style>
  <w:style w:type="paragraph" w:customStyle="1" w:styleId="362">
    <w:name w:val="xl6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仿宋_GB2312" w:hAnsi="仿宋_GB2312" w:eastAsia="仿宋_GB2312" w:cs="Courier New"/>
      <w:kern w:val="0"/>
      <w:szCs w:val="21"/>
    </w:rPr>
  </w:style>
  <w:style w:type="paragraph" w:customStyle="1" w:styleId="363">
    <w:name w:val="xl68"/>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Courier New" w:hAnsi="Courier New" w:eastAsia="仿宋_GB2312" w:cs="Courier New"/>
      <w:kern w:val="0"/>
      <w:szCs w:val="21"/>
    </w:rPr>
  </w:style>
  <w:style w:type="paragraph" w:customStyle="1" w:styleId="364">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仿宋_GB2312" w:eastAsia="仿宋_GB2312" w:cs="Courier New"/>
      <w:kern w:val="0"/>
      <w:szCs w:val="21"/>
    </w:rPr>
  </w:style>
  <w:style w:type="paragraph" w:customStyle="1" w:styleId="365">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仿宋_GB2312" w:eastAsia="仿宋_GB2312" w:cs="Courier New"/>
      <w:kern w:val="0"/>
      <w:szCs w:val="21"/>
    </w:rPr>
  </w:style>
  <w:style w:type="paragraph" w:customStyle="1" w:styleId="366">
    <w:name w:val="xl71"/>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仿宋_GB2312" w:hAnsi="仿宋_GB2312" w:eastAsia="仿宋_GB2312" w:cs="Courier New"/>
      <w:kern w:val="0"/>
      <w:szCs w:val="21"/>
    </w:rPr>
  </w:style>
  <w:style w:type="paragraph" w:customStyle="1" w:styleId="367">
    <w:name w:val="xl73"/>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pPr>
    <w:rPr>
      <w:rFonts w:ascii="仿宋_GB2312" w:hAnsi="仿宋_GB2312" w:eastAsia="仿宋_GB2312" w:cs="Courier New"/>
      <w:kern w:val="0"/>
      <w:szCs w:val="21"/>
    </w:rPr>
  </w:style>
  <w:style w:type="paragraph" w:customStyle="1" w:styleId="368">
    <w:name w:val="xl7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仿宋_GB2312" w:hAnsi="仿宋_GB2312" w:eastAsia="仿宋_GB2312" w:cs="Courier New"/>
      <w:kern w:val="0"/>
      <w:szCs w:val="21"/>
    </w:rPr>
  </w:style>
  <w:style w:type="paragraph" w:customStyle="1" w:styleId="369">
    <w:name w:val="xl75"/>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仿宋_GB2312" w:hAnsi="仿宋_GB2312" w:eastAsia="仿宋_GB2312" w:cs="Courier New"/>
      <w:kern w:val="0"/>
      <w:szCs w:val="21"/>
    </w:rPr>
  </w:style>
  <w:style w:type="paragraph" w:customStyle="1" w:styleId="370">
    <w:name w:val="简单回函地址"/>
    <w:basedOn w:val="1"/>
    <w:qFormat/>
    <w:uiPriority w:val="0"/>
    <w:rPr>
      <w:rFonts w:ascii="Courier New" w:hAnsi="Courier New" w:eastAsia="仿宋_GB2312" w:cs="Courier New"/>
      <w:sz w:val="28"/>
      <w:szCs w:val="28"/>
    </w:rPr>
  </w:style>
  <w:style w:type="paragraph" w:customStyle="1" w:styleId="371">
    <w:name w:val="font11"/>
    <w:basedOn w:val="1"/>
    <w:qFormat/>
    <w:uiPriority w:val="0"/>
    <w:pPr>
      <w:widowControl/>
      <w:spacing w:before="100" w:beforeAutospacing="1" w:after="100" w:afterAutospacing="1"/>
      <w:jc w:val="left"/>
    </w:pPr>
    <w:rPr>
      <w:rFonts w:ascii="Courier New" w:hAnsi="Courier New" w:eastAsia="Book Antiqua" w:cs="Courier New"/>
      <w:color w:val="FF0000"/>
      <w:kern w:val="0"/>
      <w:sz w:val="20"/>
      <w:szCs w:val="20"/>
    </w:rPr>
  </w:style>
  <w:style w:type="paragraph" w:customStyle="1" w:styleId="372">
    <w:name w:val="font12"/>
    <w:basedOn w:val="1"/>
    <w:qFormat/>
    <w:uiPriority w:val="0"/>
    <w:pPr>
      <w:widowControl/>
      <w:spacing w:before="100" w:beforeAutospacing="1" w:after="100" w:afterAutospacing="1"/>
      <w:jc w:val="left"/>
    </w:pPr>
    <w:rPr>
      <w:rFonts w:hint="eastAsia" w:ascii="仿宋_GB2312" w:hAnsi="仿宋_GB2312" w:eastAsia="仿宋_GB2312" w:cs="Book Antiqua"/>
      <w:color w:val="FF0000"/>
      <w:kern w:val="0"/>
      <w:sz w:val="20"/>
      <w:szCs w:val="20"/>
    </w:rPr>
  </w:style>
  <w:style w:type="character" w:customStyle="1" w:styleId="373">
    <w:name w:val="xw1"/>
    <w:basedOn w:val="134"/>
    <w:qFormat/>
    <w:uiPriority w:val="0"/>
  </w:style>
  <w:style w:type="character" w:customStyle="1" w:styleId="374">
    <w:name w:val="f141"/>
    <w:qFormat/>
    <w:uiPriority w:val="0"/>
    <w:rPr>
      <w:rFonts w:hint="default" w:ascii="????" w:hAnsi="????"/>
      <w:sz w:val="21"/>
      <w:szCs w:val="21"/>
    </w:rPr>
  </w:style>
  <w:style w:type="table" w:customStyle="1" w:styleId="375">
    <w:name w:val="qiu2"/>
    <w:basedOn w:val="90"/>
    <w:qFormat/>
    <w:uiPriority w:val="0"/>
    <w:rPr>
      <w:rFonts w:ascii="Courier New" w:hAnsi="Courier New" w:eastAsia="仿宋_GB2312" w:cs="Courier New"/>
    </w:rPr>
    <w:tcPr>
      <w:shd w:val="clear" w:color="auto" w:fill="auto"/>
    </w:tcPr>
    <w:tblStylePr w:type="firstRow">
      <w:tcPr>
        <w:shd w:val="clear" w:color="auto" w:fill="99CCFF"/>
      </w:tcPr>
    </w:tblStylePr>
  </w:style>
  <w:style w:type="table" w:customStyle="1" w:styleId="376">
    <w:name w:val="我的样式"/>
    <w:basedOn w:val="91"/>
    <w:qFormat/>
    <w:uiPriority w:val="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6E6E6"/>
    </w:tcPr>
    <w:tblStylePr w:type="firstRow">
      <w:rPr>
        <w:rFonts w:eastAsia="宋体"/>
        <w:color w:val="FFFFFF"/>
      </w:rPr>
      <w:tcPr>
        <w:tcBorders>
          <w:top w:val="single" w:color="FFFFFF" w:sz="4" w:space="0"/>
          <w:left w:val="single" w:color="FFFFFF" w:sz="4" w:space="0"/>
          <w:bottom w:val="single" w:color="FFFFFF" w:sz="4" w:space="0"/>
          <w:right w:val="single" w:color="FFFFFF" w:sz="4" w:space="0"/>
          <w:insideH w:val="single" w:sz="4" w:space="0"/>
          <w:insideV w:val="single" w:sz="4" w:space="0"/>
          <w:tl2br w:val="nil"/>
          <w:tr2bl w:val="nil"/>
        </w:tcBorders>
        <w:shd w:val="clear" w:color="auto" w:fill="00CCFF"/>
      </w:tcPr>
    </w:tblStylePr>
  </w:style>
  <w:style w:type="character" w:customStyle="1" w:styleId="377">
    <w:name w:val="p2"/>
    <w:basedOn w:val="134"/>
    <w:qFormat/>
    <w:uiPriority w:val="0"/>
  </w:style>
  <w:style w:type="paragraph" w:customStyle="1" w:styleId="378">
    <w:name w:val="Char Char Char Char Char Char Char Char Char Char"/>
    <w:basedOn w:val="1"/>
    <w:qFormat/>
    <w:uiPriority w:val="0"/>
    <w:pPr>
      <w:spacing w:beforeLines="50" w:afterLines="50"/>
    </w:pPr>
    <w:rPr>
      <w:rFonts w:ascii="Symusic" w:hAnsi="Symusic" w:eastAsia="仿宋_GB2312" w:cs="Courier New"/>
      <w:sz w:val="24"/>
      <w:szCs w:val="20"/>
    </w:rPr>
  </w:style>
  <w:style w:type="paragraph" w:customStyle="1" w:styleId="379">
    <w:name w:val="Char Char Char Char Char Char"/>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380">
    <w:name w:val="Char Char Char Char Char Char Char Char Char Char Char Char Char Char Char Char Char Char Char Char Char Char Char Char Char1"/>
    <w:basedOn w:val="1"/>
    <w:qFormat/>
    <w:uiPriority w:val="0"/>
    <w:rPr>
      <w:rFonts w:ascii="Courier New" w:hAnsi="Courier New" w:eastAsia="仿宋_GB2312" w:cs="Courier New"/>
      <w:sz w:val="28"/>
      <w:szCs w:val="28"/>
    </w:rPr>
  </w:style>
  <w:style w:type="character" w:customStyle="1" w:styleId="381">
    <w:name w:val="纯文本 Char Char Char1"/>
    <w:qFormat/>
    <w:uiPriority w:val="0"/>
    <w:rPr>
      <w:rFonts w:ascii="仿宋_GB2312" w:hAnsi="ˎ̥" w:eastAsia="仿宋_GB2312"/>
      <w:kern w:val="2"/>
      <w:sz w:val="21"/>
      <w:lang w:val="en-US" w:eastAsia="zh-CN" w:bidi="ar-SA"/>
    </w:rPr>
  </w:style>
  <w:style w:type="character" w:customStyle="1" w:styleId="382">
    <w:name w:val="Char Char3"/>
    <w:semiHidden/>
    <w:qFormat/>
    <w:locked/>
    <w:uiPriority w:val="0"/>
    <w:rPr>
      <w:rFonts w:eastAsia="仿宋_GB2312"/>
      <w:kern w:val="2"/>
      <w:sz w:val="18"/>
      <w:szCs w:val="18"/>
      <w:lang w:val="en-US" w:eastAsia="zh-CN" w:bidi="ar-SA"/>
    </w:rPr>
  </w:style>
  <w:style w:type="character" w:customStyle="1" w:styleId="383">
    <w:name w:val="正文缩进2 Char"/>
    <w:qFormat/>
    <w:uiPriority w:val="0"/>
    <w:rPr>
      <w:rFonts w:eastAsia="仿宋_GB2312"/>
      <w:kern w:val="2"/>
      <w:sz w:val="21"/>
      <w:szCs w:val="24"/>
      <w:lang w:val="en-US" w:eastAsia="zh-CN" w:bidi="ar-SA"/>
    </w:rPr>
  </w:style>
  <w:style w:type="character" w:customStyle="1" w:styleId="384">
    <w:name w:val="标题 3 字符"/>
    <w:link w:val="7"/>
    <w:qFormat/>
    <w:uiPriority w:val="99"/>
    <w:rPr>
      <w:b/>
      <w:sz w:val="32"/>
    </w:rPr>
  </w:style>
  <w:style w:type="character" w:customStyle="1" w:styleId="385">
    <w:name w:val="正文文字缩进 Char Char3"/>
    <w:qFormat/>
    <w:uiPriority w:val="0"/>
    <w:rPr>
      <w:rFonts w:eastAsia="仿宋_GB2312"/>
      <w:sz w:val="24"/>
      <w:lang w:val="en-US" w:eastAsia="zh-CN" w:bidi="ar-SA"/>
    </w:rPr>
  </w:style>
  <w:style w:type="paragraph" w:customStyle="1" w:styleId="386">
    <w:name w:val="样式 正文首行缩进 + 首行缩进:  2 字符1"/>
    <w:basedOn w:val="1"/>
    <w:link w:val="387"/>
    <w:qFormat/>
    <w:uiPriority w:val="0"/>
    <w:pPr>
      <w:ind w:firstLine="200" w:firstLineChars="200"/>
      <w:jc w:val="left"/>
    </w:pPr>
    <w:rPr>
      <w:rFonts w:ascii="ISOCT" w:hAnsi="ISOCT" w:eastAsia="仿宋_GB2312" w:cs="仿宋_GB2312"/>
      <w:sz w:val="28"/>
      <w:szCs w:val="20"/>
    </w:rPr>
  </w:style>
  <w:style w:type="character" w:customStyle="1" w:styleId="387">
    <w:name w:val="样式 正文首行缩进 + 首行缩进:  2 字符1 Char"/>
    <w:link w:val="386"/>
    <w:qFormat/>
    <w:uiPriority w:val="0"/>
    <w:rPr>
      <w:rFonts w:ascii="ISOCT" w:hAnsi="ISOCT" w:eastAsia="仿宋_GB2312" w:cs="仿宋_GB2312"/>
      <w:kern w:val="2"/>
      <w:sz w:val="28"/>
      <w:lang w:val="en-US" w:eastAsia="zh-CN" w:bidi="ar-SA"/>
    </w:rPr>
  </w:style>
  <w:style w:type="character" w:customStyle="1" w:styleId="388">
    <w:name w:val="表号 Char"/>
    <w:link w:val="249"/>
    <w:qFormat/>
    <w:uiPriority w:val="0"/>
    <w:rPr>
      <w:rFonts w:ascii="Courier New" w:hAnsi="Courier New" w:eastAsia="仿宋_GB2312" w:cs="Courier New"/>
      <w:kern w:val="2"/>
      <w:sz w:val="21"/>
      <w:szCs w:val="24"/>
      <w:lang w:val="en-US" w:eastAsia="zh-CN" w:bidi="ar-SA"/>
    </w:rPr>
  </w:style>
  <w:style w:type="paragraph" w:customStyle="1" w:styleId="389">
    <w:name w:val="样式 宋体 8 磅 居中"/>
    <w:basedOn w:val="1"/>
    <w:qFormat/>
    <w:uiPriority w:val="0"/>
    <w:pPr>
      <w:spacing w:line="240" w:lineRule="atLeast"/>
      <w:jc w:val="center"/>
    </w:pPr>
    <w:rPr>
      <w:rFonts w:ascii="仿宋_GB2312" w:hAnsi="仿宋_GB2312" w:eastAsia="仿宋_GB2312" w:cs="仿宋_GB2312"/>
      <w:kern w:val="0"/>
      <w:sz w:val="16"/>
      <w:szCs w:val="20"/>
    </w:rPr>
  </w:style>
  <w:style w:type="paragraph" w:customStyle="1" w:styleId="390">
    <w:name w:val="Char5 Char Char Char"/>
    <w:basedOn w:val="27"/>
    <w:qFormat/>
    <w:uiPriority w:val="0"/>
    <w:pPr>
      <w:adjustRightInd w:val="0"/>
      <w:spacing w:line="436" w:lineRule="exact"/>
      <w:ind w:left="357"/>
      <w:jc w:val="left"/>
      <w:outlineLvl w:val="3"/>
    </w:pPr>
    <w:rPr>
      <w:rFonts w:ascii="Symusic" w:hAnsi="Symusic"/>
      <w:b/>
      <w:sz w:val="24"/>
      <w:szCs w:val="28"/>
    </w:rPr>
  </w:style>
  <w:style w:type="paragraph" w:customStyle="1" w:styleId="391">
    <w:name w:val="样式 样式 小四 行距: 1.5 倍行距 首行缩进:  2 字符1 + 首行缩进:  2 字符1"/>
    <w:basedOn w:val="1"/>
    <w:qFormat/>
    <w:uiPriority w:val="0"/>
    <w:pPr>
      <w:ind w:firstLine="200" w:firstLineChars="200"/>
    </w:pPr>
    <w:rPr>
      <w:rFonts w:ascii="Courier New" w:hAnsi="Courier New" w:eastAsia="仿宋_GB2312" w:cs="仿宋_GB2312"/>
      <w:sz w:val="24"/>
      <w:szCs w:val="20"/>
    </w:rPr>
  </w:style>
  <w:style w:type="paragraph" w:customStyle="1" w:styleId="392">
    <w:name w:val="e"/>
    <w:basedOn w:val="1"/>
    <w:qFormat/>
    <w:uiPriority w:val="0"/>
    <w:pPr>
      <w:spacing w:line="360" w:lineRule="auto"/>
      <w:ind w:left="1" w:firstLine="3420" w:firstLineChars="1900"/>
    </w:pPr>
    <w:rPr>
      <w:rFonts w:ascii="Courier New" w:hAnsi="Courier New" w:eastAsia="仿宋_GB2312" w:cs="Courier New"/>
      <w:sz w:val="18"/>
      <w:szCs w:val="28"/>
    </w:rPr>
  </w:style>
  <w:style w:type="character" w:customStyle="1" w:styleId="393">
    <w:name w:val="Char Char Char Char Char1"/>
    <w:qFormat/>
    <w:uiPriority w:val="0"/>
    <w:rPr>
      <w:rFonts w:ascii="华文中宋" w:hAnsi="华文中宋" w:eastAsia="仿宋_GB2312"/>
      <w:b/>
      <w:bCs/>
      <w:kern w:val="2"/>
      <w:sz w:val="24"/>
      <w:szCs w:val="24"/>
      <w:lang w:val="en-US" w:eastAsia="zh-CN" w:bidi="ar-SA"/>
    </w:rPr>
  </w:style>
  <w:style w:type="paragraph" w:customStyle="1" w:styleId="394">
    <w:name w:val="Char1 Char Char Char Char Char Char"/>
    <w:basedOn w:val="27"/>
    <w:qFormat/>
    <w:uiPriority w:val="0"/>
    <w:pPr>
      <w:adjustRightInd w:val="0"/>
      <w:spacing w:line="436" w:lineRule="exact"/>
      <w:ind w:left="357"/>
      <w:jc w:val="left"/>
      <w:outlineLvl w:val="3"/>
    </w:pPr>
    <w:rPr>
      <w:rFonts w:ascii="Symusic" w:hAnsi="Symusic"/>
      <w:b/>
      <w:sz w:val="24"/>
      <w:szCs w:val="28"/>
    </w:rPr>
  </w:style>
  <w:style w:type="paragraph" w:customStyle="1" w:styleId="395">
    <w:name w:val="样式5 Char Char"/>
    <w:basedOn w:val="1"/>
    <w:link w:val="396"/>
    <w:qFormat/>
    <w:uiPriority w:val="0"/>
    <w:pPr>
      <w:spacing w:line="360" w:lineRule="auto"/>
      <w:ind w:firstLine="200" w:firstLineChars="200"/>
    </w:pPr>
    <w:rPr>
      <w:rFonts w:ascii="Courier New" w:hAnsi="Courier New" w:eastAsia="仿宋_GB2312" w:cs="Courier New"/>
      <w:sz w:val="24"/>
      <w:szCs w:val="28"/>
    </w:rPr>
  </w:style>
  <w:style w:type="character" w:customStyle="1" w:styleId="396">
    <w:name w:val="样式5 Char Char Char"/>
    <w:link w:val="395"/>
    <w:qFormat/>
    <w:uiPriority w:val="0"/>
    <w:rPr>
      <w:rFonts w:ascii="Courier New" w:hAnsi="Courier New" w:eastAsia="仿宋_GB2312" w:cs="Courier New"/>
      <w:kern w:val="2"/>
      <w:sz w:val="24"/>
      <w:szCs w:val="28"/>
      <w:lang w:val="en-US" w:eastAsia="zh-CN" w:bidi="ar-SA"/>
    </w:rPr>
  </w:style>
  <w:style w:type="paragraph" w:customStyle="1" w:styleId="397">
    <w:name w:val="图1"/>
    <w:basedOn w:val="1"/>
    <w:next w:val="1"/>
    <w:qFormat/>
    <w:uiPriority w:val="0"/>
    <w:pPr>
      <w:widowControl/>
      <w:tabs>
        <w:tab w:val="left" w:pos="777"/>
      </w:tabs>
      <w:spacing w:beforeLines="50" w:afterLines="100" w:line="360" w:lineRule="auto"/>
      <w:ind w:left="2210" w:hanging="748"/>
      <w:jc w:val="center"/>
    </w:pPr>
    <w:rPr>
      <w:rFonts w:ascii="仿宋_GB2312" w:hAnsi="仿宋_GB2312" w:eastAsia="仿宋_GB2312" w:cs="仿宋_GB2312"/>
      <w:kern w:val="0"/>
      <w:sz w:val="24"/>
      <w:szCs w:val="28"/>
    </w:rPr>
  </w:style>
  <w:style w:type="paragraph" w:customStyle="1" w:styleId="398">
    <w:name w:val="默认段落字体 Para Char"/>
    <w:basedOn w:val="1"/>
    <w:next w:val="1"/>
    <w:qFormat/>
    <w:uiPriority w:val="0"/>
    <w:rPr>
      <w:rFonts w:ascii="Courier New" w:hAnsi="Courier New" w:eastAsia="仿宋_GB2312" w:cs="Courier New"/>
      <w:szCs w:val="28"/>
    </w:rPr>
  </w:style>
  <w:style w:type="paragraph" w:customStyle="1" w:styleId="399">
    <w:name w:val="Char Char Char2"/>
    <w:basedOn w:val="27"/>
    <w:qFormat/>
    <w:uiPriority w:val="0"/>
    <w:pPr>
      <w:adjustRightInd w:val="0"/>
      <w:spacing w:line="436" w:lineRule="exact"/>
      <w:ind w:left="357"/>
      <w:jc w:val="left"/>
      <w:outlineLvl w:val="3"/>
    </w:pPr>
    <w:rPr>
      <w:rFonts w:ascii="Symusic" w:hAnsi="Symusic"/>
      <w:b/>
      <w:sz w:val="24"/>
      <w:szCs w:val="28"/>
    </w:rPr>
  </w:style>
  <w:style w:type="character" w:customStyle="1" w:styleId="400">
    <w:name w:val="style121"/>
    <w:qFormat/>
    <w:uiPriority w:val="0"/>
    <w:rPr>
      <w:sz w:val="24"/>
      <w:szCs w:val="24"/>
    </w:rPr>
  </w:style>
  <w:style w:type="character" w:customStyle="1" w:styleId="401">
    <w:name w:val="blackfont"/>
    <w:basedOn w:val="134"/>
    <w:qFormat/>
    <w:uiPriority w:val="0"/>
  </w:style>
  <w:style w:type="paragraph" w:customStyle="1" w:styleId="402">
    <w:name w:val="Char21"/>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403">
    <w:name w:val="样式 正文文本缩进 + 行距: 单倍行距"/>
    <w:basedOn w:val="35"/>
    <w:qFormat/>
    <w:uiPriority w:val="0"/>
    <w:pPr>
      <w:adjustRightInd/>
      <w:snapToGrid w:val="0"/>
      <w:spacing w:line="240" w:lineRule="auto"/>
      <w:ind w:firstLine="200" w:firstLineChars="200"/>
      <w:jc w:val="both"/>
      <w:textAlignment w:val="auto"/>
    </w:pPr>
    <w:rPr>
      <w:rFonts w:ascii="仿宋_GB2312" w:hAnsi="仿宋_GB2312" w:eastAsia="仿宋_GB2312" w:cs="仿宋_GB2312"/>
      <w:kern w:val="2"/>
      <w:sz w:val="28"/>
    </w:rPr>
  </w:style>
  <w:style w:type="paragraph" w:customStyle="1" w:styleId="404">
    <w:name w:val="Char Char Char Char Char Char1 Char2"/>
    <w:basedOn w:val="1"/>
    <w:qFormat/>
    <w:uiPriority w:val="0"/>
    <w:pPr>
      <w:widowControl/>
      <w:spacing w:after="160" w:line="240" w:lineRule="exact"/>
      <w:jc w:val="left"/>
    </w:pPr>
    <w:rPr>
      <w:rFonts w:ascii="新宋体" w:hAnsi="新宋体" w:cs="Courier New"/>
      <w:kern w:val="0"/>
      <w:sz w:val="30"/>
      <w:szCs w:val="30"/>
      <w:lang w:eastAsia="en-US"/>
    </w:rPr>
  </w:style>
  <w:style w:type="paragraph" w:customStyle="1" w:styleId="405">
    <w:name w:val="样式 样式 左侧:  1.69 厘米 + 左侧:  1.69 厘米"/>
    <w:basedOn w:val="1"/>
    <w:qFormat/>
    <w:uiPriority w:val="0"/>
    <w:pPr>
      <w:spacing w:line="300" w:lineRule="auto"/>
      <w:ind w:left="720" w:firstLine="480" w:firstLineChars="200"/>
    </w:pPr>
    <w:rPr>
      <w:rFonts w:ascii="Courier New" w:hAnsi="Courier New" w:eastAsia="仿宋_GB2312" w:cs="仿宋_GB2312"/>
      <w:sz w:val="24"/>
      <w:szCs w:val="20"/>
    </w:rPr>
  </w:style>
  <w:style w:type="paragraph" w:customStyle="1" w:styleId="406">
    <w:name w:val="标题2 节"/>
    <w:basedOn w:val="1"/>
    <w:qFormat/>
    <w:uiPriority w:val="0"/>
    <w:pPr>
      <w:keepNext/>
      <w:keepLines/>
      <w:spacing w:before="260" w:after="260" w:line="360" w:lineRule="auto"/>
      <w:jc w:val="center"/>
      <w:outlineLvl w:val="1"/>
    </w:pPr>
    <w:rPr>
      <w:rFonts w:ascii="华文中宋" w:hAnsi="华文中宋" w:eastAsia="Arial Unicode MS" w:cs="Courier New"/>
      <w:sz w:val="28"/>
      <w:szCs w:val="20"/>
    </w:rPr>
  </w:style>
  <w:style w:type="paragraph" w:customStyle="1" w:styleId="407">
    <w:name w:val="Char4"/>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408">
    <w:name w:val="Char3"/>
    <w:basedOn w:val="1"/>
    <w:qFormat/>
    <w:uiPriority w:val="0"/>
    <w:pPr>
      <w:widowControl/>
      <w:spacing w:after="160" w:line="240" w:lineRule="exact"/>
      <w:jc w:val="left"/>
    </w:pPr>
    <w:rPr>
      <w:rFonts w:ascii="新宋体" w:hAnsi="新宋体" w:cs="Courier New"/>
      <w:kern w:val="0"/>
      <w:sz w:val="30"/>
      <w:szCs w:val="30"/>
      <w:lang w:eastAsia="en-US"/>
    </w:rPr>
  </w:style>
  <w:style w:type="character" w:customStyle="1" w:styleId="409">
    <w:name w:val="11p"/>
    <w:basedOn w:val="134"/>
    <w:qFormat/>
    <w:uiPriority w:val="0"/>
  </w:style>
  <w:style w:type="character" w:customStyle="1" w:styleId="410">
    <w:name w:val="style21"/>
    <w:qFormat/>
    <w:uiPriority w:val="0"/>
    <w:rPr>
      <w:sz w:val="18"/>
      <w:szCs w:val="18"/>
    </w:rPr>
  </w:style>
  <w:style w:type="paragraph" w:customStyle="1" w:styleId="411">
    <w:name w:val="Char51"/>
    <w:basedOn w:val="27"/>
    <w:qFormat/>
    <w:uiPriority w:val="0"/>
    <w:pPr>
      <w:adjustRightInd w:val="0"/>
      <w:spacing w:line="436" w:lineRule="exact"/>
      <w:ind w:left="357"/>
      <w:jc w:val="left"/>
      <w:outlineLvl w:val="3"/>
    </w:pPr>
    <w:rPr>
      <w:rFonts w:ascii="Symusic" w:hAnsi="Symusic"/>
      <w:b/>
      <w:sz w:val="24"/>
      <w:szCs w:val="28"/>
    </w:rPr>
  </w:style>
  <w:style w:type="character" w:customStyle="1" w:styleId="412">
    <w:name w:val="一样式 Char"/>
    <w:qFormat/>
    <w:uiPriority w:val="0"/>
    <w:rPr>
      <w:rFonts w:ascii="华文中宋" w:hAnsi="华文中宋" w:eastAsia="仿宋_GB2312"/>
      <w:sz w:val="24"/>
      <w:szCs w:val="24"/>
      <w:lang w:val="en-US" w:eastAsia="zh-CN" w:bidi="ar-SA"/>
    </w:rPr>
  </w:style>
  <w:style w:type="paragraph" w:customStyle="1" w:styleId="413">
    <w:name w:val="Char Char Char1 Char1"/>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414">
    <w:name w:val="Char Char Char Char Char Char Char Char Char Char Char Char Char Char Char1"/>
    <w:basedOn w:val="1"/>
    <w:qFormat/>
    <w:uiPriority w:val="0"/>
    <w:pPr>
      <w:widowControl/>
      <w:spacing w:after="160" w:line="240" w:lineRule="exact"/>
      <w:jc w:val="left"/>
    </w:pPr>
    <w:rPr>
      <w:rFonts w:ascii="新宋体" w:hAnsi="新宋体" w:cs="Courier New"/>
      <w:kern w:val="0"/>
      <w:sz w:val="30"/>
      <w:szCs w:val="30"/>
      <w:lang w:eastAsia="en-US"/>
    </w:rPr>
  </w:style>
  <w:style w:type="character" w:customStyle="1" w:styleId="415">
    <w:name w:val="Char Char7"/>
    <w:qFormat/>
    <w:uiPriority w:val="0"/>
    <w:rPr>
      <w:rFonts w:ascii="仿宋_GB2312" w:hAnsi="仿宋_GB2312" w:eastAsia="仿宋_GB2312" w:cs="仿宋_GB2312"/>
      <w:kern w:val="2"/>
      <w:sz w:val="24"/>
      <w:szCs w:val="24"/>
      <w:lang w:val="en-US" w:eastAsia="zh-CN" w:bidi="ar-SA"/>
    </w:rPr>
  </w:style>
  <w:style w:type="paragraph" w:customStyle="1" w:styleId="416">
    <w:name w:val="Char Char Char Char Char Char Char Char Char Char1"/>
    <w:basedOn w:val="1"/>
    <w:qFormat/>
    <w:uiPriority w:val="0"/>
    <w:pPr>
      <w:spacing w:beforeLines="50" w:afterLines="50"/>
    </w:pPr>
    <w:rPr>
      <w:rFonts w:ascii="Symusic" w:hAnsi="Symusic" w:eastAsia="仿宋_GB2312" w:cs="Courier New"/>
      <w:sz w:val="24"/>
      <w:szCs w:val="20"/>
    </w:rPr>
  </w:style>
  <w:style w:type="paragraph" w:customStyle="1" w:styleId="417">
    <w:name w:val="Char Char Char Char Char Char3"/>
    <w:basedOn w:val="1"/>
    <w:qFormat/>
    <w:uiPriority w:val="0"/>
    <w:pPr>
      <w:spacing w:line="360" w:lineRule="auto"/>
      <w:ind w:firstLine="200" w:firstLineChars="200"/>
    </w:pPr>
    <w:rPr>
      <w:rFonts w:ascii="仿宋_GB2312" w:hAnsi="仿宋_GB2312" w:eastAsia="仿宋_GB2312" w:cs="仿宋_GB2312"/>
      <w:sz w:val="24"/>
      <w:szCs w:val="28"/>
    </w:rPr>
  </w:style>
  <w:style w:type="paragraph" w:customStyle="1" w:styleId="418">
    <w:name w:val="Char1 Char Char Char Char Char Char1"/>
    <w:basedOn w:val="27"/>
    <w:qFormat/>
    <w:uiPriority w:val="0"/>
    <w:pPr>
      <w:adjustRightInd w:val="0"/>
      <w:spacing w:line="436" w:lineRule="exact"/>
      <w:ind w:left="357"/>
      <w:jc w:val="left"/>
      <w:outlineLvl w:val="3"/>
    </w:pPr>
    <w:rPr>
      <w:rFonts w:ascii="Symusic" w:hAnsi="Symusic"/>
      <w:b/>
      <w:sz w:val="24"/>
      <w:szCs w:val="28"/>
    </w:rPr>
  </w:style>
  <w:style w:type="paragraph" w:customStyle="1" w:styleId="419">
    <w:name w:val="一般正文"/>
    <w:basedOn w:val="1"/>
    <w:qFormat/>
    <w:uiPriority w:val="0"/>
    <w:pPr>
      <w:adjustRightInd w:val="0"/>
      <w:snapToGrid w:val="0"/>
      <w:spacing w:line="360" w:lineRule="auto"/>
      <w:jc w:val="left"/>
    </w:pPr>
    <w:rPr>
      <w:rFonts w:ascii="仿宋_GB2312" w:hAnsi="仿宋_GB2312" w:eastAsia="仿宋_GB2312" w:cs="Courier New"/>
      <w:sz w:val="28"/>
      <w:szCs w:val="28"/>
    </w:rPr>
  </w:style>
  <w:style w:type="character" w:customStyle="1" w:styleId="420">
    <w:name w:val="正文缩进2 Char1"/>
    <w:qFormat/>
    <w:uiPriority w:val="0"/>
    <w:rPr>
      <w:rFonts w:eastAsia="仿宋_GB2312"/>
      <w:kern w:val="2"/>
      <w:sz w:val="21"/>
      <w:lang w:val="en-US" w:eastAsia="zh-CN" w:bidi="ar-SA"/>
    </w:rPr>
  </w:style>
  <w:style w:type="character" w:customStyle="1" w:styleId="421">
    <w:name w:val="一样式 Char1"/>
    <w:qFormat/>
    <w:uiPriority w:val="0"/>
    <w:rPr>
      <w:rFonts w:ascii="华文中宋" w:hAnsi="华文中宋" w:eastAsia="仿宋_GB2312"/>
      <w:sz w:val="24"/>
      <w:szCs w:val="24"/>
      <w:lang w:val="en-US" w:eastAsia="zh-CN" w:bidi="ar-SA"/>
    </w:rPr>
  </w:style>
  <w:style w:type="character" w:customStyle="1" w:styleId="422">
    <w:name w:val="正文文字缩进 Char Char1"/>
    <w:qFormat/>
    <w:uiPriority w:val="0"/>
    <w:rPr>
      <w:rFonts w:eastAsia="仿宋_GB2312"/>
      <w:kern w:val="2"/>
      <w:sz w:val="28"/>
      <w:szCs w:val="28"/>
      <w:lang w:val="en-US" w:eastAsia="zh-CN" w:bidi="ar-SA"/>
    </w:rPr>
  </w:style>
  <w:style w:type="character" w:customStyle="1" w:styleId="423">
    <w:name w:val="纯文本 Char Char Char Char1"/>
    <w:qFormat/>
    <w:uiPriority w:val="0"/>
    <w:rPr>
      <w:rFonts w:ascii="仿宋_GB2312" w:hAnsi="ˎ̥" w:eastAsia="仿宋_GB2312"/>
      <w:kern w:val="2"/>
      <w:sz w:val="21"/>
      <w:lang w:val="en-US" w:eastAsia="zh-CN" w:bidi="ar-SA"/>
    </w:rPr>
  </w:style>
  <w:style w:type="character" w:customStyle="1" w:styleId="424">
    <w:name w:val="Char Char5"/>
    <w:semiHidden/>
    <w:qFormat/>
    <w:locked/>
    <w:uiPriority w:val="0"/>
    <w:rPr>
      <w:rFonts w:eastAsia="仿宋_GB2312"/>
      <w:kern w:val="2"/>
      <w:sz w:val="18"/>
      <w:szCs w:val="18"/>
      <w:lang w:val="en-US" w:eastAsia="zh-CN" w:bidi="ar-SA"/>
    </w:rPr>
  </w:style>
  <w:style w:type="character" w:customStyle="1" w:styleId="425">
    <w:name w:val="正文缩进2 Char2"/>
    <w:qFormat/>
    <w:uiPriority w:val="0"/>
    <w:rPr>
      <w:rFonts w:eastAsia="仿宋_GB2312"/>
      <w:kern w:val="2"/>
      <w:sz w:val="21"/>
      <w:szCs w:val="24"/>
      <w:lang w:val="en-US" w:eastAsia="zh-CN" w:bidi="ar-SA"/>
    </w:rPr>
  </w:style>
  <w:style w:type="character" w:customStyle="1" w:styleId="426">
    <w:name w:val="标题 3 Char Char Char Char Char Char Char Char Char Char Char Char"/>
    <w:qFormat/>
    <w:uiPriority w:val="0"/>
    <w:rPr>
      <w:rFonts w:eastAsia="Arial Unicode MS"/>
      <w:color w:val="000000"/>
      <w:sz w:val="24"/>
      <w:szCs w:val="24"/>
      <w:lang w:val="zh-CN" w:eastAsia="zh-CN" w:bidi="ar-SA"/>
    </w:rPr>
  </w:style>
  <w:style w:type="character" w:customStyle="1" w:styleId="427">
    <w:name w:val="正文文字缩进 Char Char2"/>
    <w:qFormat/>
    <w:uiPriority w:val="0"/>
    <w:rPr>
      <w:rFonts w:eastAsia="仿宋_GB2312"/>
      <w:kern w:val="2"/>
      <w:sz w:val="28"/>
      <w:szCs w:val="28"/>
      <w:lang w:val="en-US" w:eastAsia="zh-CN" w:bidi="ar-SA"/>
    </w:rPr>
  </w:style>
  <w:style w:type="paragraph" w:customStyle="1" w:styleId="428">
    <w:name w:val="Char1 Char Char Char1"/>
    <w:basedOn w:val="27"/>
    <w:qFormat/>
    <w:uiPriority w:val="0"/>
    <w:pPr>
      <w:adjustRightInd w:val="0"/>
      <w:spacing w:line="436" w:lineRule="exact"/>
      <w:ind w:left="357"/>
      <w:jc w:val="left"/>
      <w:outlineLvl w:val="3"/>
    </w:pPr>
    <w:rPr>
      <w:rFonts w:ascii="Symusic" w:hAnsi="Symusic"/>
      <w:b/>
      <w:sz w:val="24"/>
      <w:szCs w:val="28"/>
    </w:rPr>
  </w:style>
  <w:style w:type="paragraph" w:customStyle="1" w:styleId="429">
    <w:name w:val="王表格，五宋"/>
    <w:basedOn w:val="1"/>
    <w:semiHidden/>
    <w:qFormat/>
    <w:uiPriority w:val="0"/>
    <w:pPr>
      <w:snapToGrid w:val="0"/>
    </w:pPr>
    <w:rPr>
      <w:rFonts w:ascii="Courier New" w:hAnsi="Courier New" w:eastAsia="仿宋_GB2312" w:cs="Courier New"/>
      <w:snapToGrid w:val="0"/>
      <w:kern w:val="0"/>
      <w:sz w:val="18"/>
      <w:szCs w:val="20"/>
    </w:rPr>
  </w:style>
  <w:style w:type="paragraph" w:customStyle="1" w:styleId="430">
    <w:name w:val="封面2，二宋"/>
    <w:qFormat/>
    <w:uiPriority w:val="0"/>
    <w:pPr>
      <w:keepNext/>
      <w:widowControl w:val="0"/>
      <w:snapToGrid w:val="0"/>
      <w:jc w:val="distribute"/>
    </w:pPr>
    <w:rPr>
      <w:rFonts w:ascii="Courier New" w:hAnsi="Courier New" w:eastAsia="仿宋_GB2312" w:cs="Courier New"/>
      <w:sz w:val="44"/>
      <w:lang w:val="en-US" w:eastAsia="zh-CN" w:bidi="ar-SA"/>
    </w:rPr>
  </w:style>
  <w:style w:type="paragraph" w:customStyle="1" w:styleId="431">
    <w:name w:val="封面3，小二"/>
    <w:qFormat/>
    <w:uiPriority w:val="0"/>
    <w:pPr>
      <w:keepNext/>
      <w:widowControl w:val="0"/>
      <w:snapToGrid w:val="0"/>
      <w:jc w:val="distribute"/>
    </w:pPr>
    <w:rPr>
      <w:rFonts w:ascii="Courier New" w:hAnsi="Courier New" w:eastAsia="仿宋_GB2312" w:cs="Courier New"/>
      <w:sz w:val="36"/>
      <w:lang w:val="en-US" w:eastAsia="zh-CN" w:bidi="ar-SA"/>
    </w:rPr>
  </w:style>
  <w:style w:type="paragraph" w:customStyle="1" w:styleId="432">
    <w:name w:val="封面1，初黑"/>
    <w:qFormat/>
    <w:uiPriority w:val="0"/>
    <w:pPr>
      <w:keepNext/>
      <w:widowControl w:val="0"/>
      <w:snapToGrid w:val="0"/>
      <w:jc w:val="distribute"/>
    </w:pPr>
    <w:rPr>
      <w:rFonts w:ascii="Courier New" w:hAnsi="Courier New" w:eastAsia="Arial Unicode MS" w:cs="Courier New"/>
      <w:sz w:val="84"/>
      <w:lang w:val="en-US" w:eastAsia="zh-CN" w:bidi="ar-SA"/>
    </w:rPr>
  </w:style>
  <w:style w:type="paragraph" w:customStyle="1" w:styleId="433">
    <w:name w:val="封面4，小二中"/>
    <w:qFormat/>
    <w:uiPriority w:val="0"/>
    <w:pPr>
      <w:keepNext/>
      <w:widowControl w:val="0"/>
      <w:snapToGrid w:val="0"/>
      <w:spacing w:beforeLines="25" w:afterLines="25"/>
      <w:jc w:val="center"/>
    </w:pPr>
    <w:rPr>
      <w:rFonts w:ascii="Courier New" w:hAnsi="Courier New" w:eastAsia="仿宋_GB2312" w:cs="Courier New"/>
      <w:kern w:val="2"/>
      <w:sz w:val="36"/>
      <w:lang w:val="en-US" w:eastAsia="zh-CN" w:bidi="ar-SA"/>
    </w:rPr>
  </w:style>
  <w:style w:type="paragraph" w:customStyle="1" w:styleId="434">
    <w:name w:val="封面 3"/>
    <w:qFormat/>
    <w:uiPriority w:val="0"/>
    <w:pPr>
      <w:keepNext/>
      <w:widowControl w:val="0"/>
      <w:spacing w:before="120" w:after="120" w:line="400" w:lineRule="exact"/>
      <w:jc w:val="center"/>
    </w:pPr>
    <w:rPr>
      <w:rFonts w:ascii="Courier New" w:hAnsi="Courier New" w:eastAsia="仿宋_GB2312" w:cs="Courier New"/>
      <w:sz w:val="36"/>
      <w:lang w:val="en-US" w:eastAsia="zh-CN" w:bidi="ar-SA"/>
    </w:rPr>
  </w:style>
  <w:style w:type="paragraph" w:customStyle="1" w:styleId="435">
    <w:name w:val="王 表头"/>
    <w:basedOn w:val="1"/>
    <w:qFormat/>
    <w:uiPriority w:val="0"/>
    <w:pPr>
      <w:jc w:val="center"/>
    </w:pPr>
    <w:rPr>
      <w:rFonts w:ascii="Courier New" w:hAnsi="Courier New" w:eastAsia="Arial Unicode MS" w:cs="Courier New"/>
      <w:sz w:val="28"/>
      <w:szCs w:val="28"/>
    </w:rPr>
  </w:style>
  <w:style w:type="paragraph" w:customStyle="1" w:styleId="436">
    <w:name w:val="王 标题四（一）"/>
    <w:basedOn w:val="1"/>
    <w:qFormat/>
    <w:uiPriority w:val="0"/>
    <w:pPr>
      <w:spacing w:beforeLines="30" w:afterLines="30"/>
      <w:outlineLvl w:val="0"/>
    </w:pPr>
    <w:rPr>
      <w:rFonts w:ascii="Courier New" w:hAnsi="Courier New" w:eastAsia="Arial Unicode MS" w:cs="Courier New"/>
      <w:bCs/>
      <w:color w:val="FF0000"/>
      <w:sz w:val="28"/>
      <w:szCs w:val="28"/>
    </w:rPr>
  </w:style>
  <w:style w:type="paragraph" w:customStyle="1" w:styleId="437">
    <w:name w:val="山西 王 表名13黑"/>
    <w:basedOn w:val="1"/>
    <w:qFormat/>
    <w:uiPriority w:val="0"/>
    <w:pPr>
      <w:jc w:val="center"/>
    </w:pPr>
    <w:rPr>
      <w:rFonts w:ascii="Courier New" w:hAnsi="Courier New" w:eastAsia="Arial Unicode MS" w:cs="Courier New"/>
      <w:sz w:val="26"/>
      <w:szCs w:val="26"/>
    </w:rPr>
  </w:style>
  <w:style w:type="character" w:customStyle="1" w:styleId="438">
    <w:name w:val="图注 Char Char"/>
    <w:qFormat/>
    <w:uiPriority w:val="0"/>
    <w:rPr>
      <w:rFonts w:eastAsia="仿宋_GB2312"/>
      <w:kern w:val="2"/>
      <w:sz w:val="28"/>
      <w:lang w:val="en-US" w:eastAsia="zh-CN" w:bidi="ar-SA"/>
    </w:rPr>
  </w:style>
  <w:style w:type="paragraph" w:customStyle="1" w:styleId="439">
    <w:name w:val="样式 宋体 四号 首行缩进:  0.85 厘米 行距: 1.5 倍行距"/>
    <w:basedOn w:val="1"/>
    <w:qFormat/>
    <w:uiPriority w:val="0"/>
    <w:pPr>
      <w:spacing w:line="360" w:lineRule="auto"/>
      <w:ind w:firstLine="480"/>
    </w:pPr>
    <w:rPr>
      <w:rFonts w:ascii="仿宋_GB2312" w:hAnsi="仿宋_GB2312" w:eastAsia="仿宋_GB2312" w:cs="仿宋_GB2312"/>
      <w:sz w:val="24"/>
      <w:szCs w:val="20"/>
    </w:rPr>
  </w:style>
  <w:style w:type="paragraph" w:customStyle="1" w:styleId="440">
    <w:name w:val="正文首行缩进2字"/>
    <w:basedOn w:val="1"/>
    <w:qFormat/>
    <w:uiPriority w:val="0"/>
    <w:pPr>
      <w:spacing w:line="360" w:lineRule="auto"/>
      <w:ind w:firstLine="200" w:firstLineChars="200"/>
    </w:pPr>
    <w:rPr>
      <w:rFonts w:ascii="Courier New" w:hAnsi="Courier New" w:eastAsia="仿宋_GB2312" w:cs="Courier New"/>
      <w:kern w:val="0"/>
      <w:sz w:val="24"/>
      <w:szCs w:val="28"/>
    </w:rPr>
  </w:style>
  <w:style w:type="paragraph" w:customStyle="1" w:styleId="441">
    <w:name w:val="Style Body Text Indent + 四号 First line:  2 ch After:  0.5 line L..."/>
    <w:basedOn w:val="35"/>
    <w:qFormat/>
    <w:uiPriority w:val="0"/>
    <w:pPr>
      <w:adjustRightInd/>
      <w:spacing w:line="240" w:lineRule="auto"/>
      <w:ind w:firstLine="556" w:firstLineChars="201"/>
      <w:jc w:val="both"/>
      <w:textAlignment w:val="auto"/>
    </w:pPr>
    <w:rPr>
      <w:rFonts w:ascii="Courier New" w:hAnsi="Courier New" w:eastAsia="仿宋_GB2312" w:cs="Courier New"/>
      <w:kern w:val="2"/>
      <w:sz w:val="28"/>
      <w:szCs w:val="28"/>
    </w:rPr>
  </w:style>
  <w:style w:type="character" w:customStyle="1" w:styleId="442">
    <w:name w:val="wz141"/>
    <w:qFormat/>
    <w:uiPriority w:val="0"/>
    <w:rPr>
      <w:rFonts w:hint="default" w:ascii="华文中宋" w:hAnsi="华文中宋" w:cs="华文中宋"/>
      <w:color w:val="245182"/>
      <w:sz w:val="21"/>
      <w:szCs w:val="21"/>
    </w:rPr>
  </w:style>
  <w:style w:type="paragraph" w:customStyle="1" w:styleId="443">
    <w:name w:val="图表文字"/>
    <w:basedOn w:val="1"/>
    <w:next w:val="1"/>
    <w:qFormat/>
    <w:uiPriority w:val="0"/>
    <w:pPr>
      <w:jc w:val="center"/>
    </w:pPr>
    <w:rPr>
      <w:rFonts w:ascii="Courier New" w:hAnsi="Courier New" w:eastAsia="仿宋_GB2312" w:cs="Courier New"/>
      <w:kern w:val="0"/>
      <w:sz w:val="28"/>
      <w:szCs w:val="28"/>
    </w:rPr>
  </w:style>
  <w:style w:type="paragraph" w:customStyle="1" w:styleId="444">
    <w:name w:val="样式 标题 2 + 左侧:  0.37 厘米 右侧:  0.37 厘米"/>
    <w:basedOn w:val="6"/>
    <w:qFormat/>
    <w:uiPriority w:val="0"/>
    <w:pPr>
      <w:numPr>
        <w:ilvl w:val="0"/>
        <w:numId w:val="0"/>
      </w:numPr>
      <w:adjustRightInd/>
      <w:spacing w:before="240" w:after="240" w:line="415" w:lineRule="auto"/>
      <w:ind w:left="1050" w:leftChars="100" w:right="210" w:rightChars="100"/>
      <w:jc w:val="both"/>
      <w:textAlignment w:val="auto"/>
    </w:pPr>
    <w:rPr>
      <w:rFonts w:ascii="华文中宋" w:hAnsi="华文中宋" w:eastAsia="华文楷体" w:cs="仿宋_GB2312"/>
      <w:bCs/>
      <w:kern w:val="2"/>
    </w:rPr>
  </w:style>
  <w:style w:type="character" w:customStyle="1" w:styleId="445">
    <w:name w:val="标题 4 字符"/>
    <w:link w:val="8"/>
    <w:qFormat/>
    <w:uiPriority w:val="0"/>
    <w:rPr>
      <w:b/>
      <w:sz w:val="28"/>
    </w:rPr>
  </w:style>
  <w:style w:type="paragraph" w:customStyle="1" w:styleId="446">
    <w:name w:val="Char Char Char Char Char Char1 Char Char Char1 Char Char Char Char1"/>
    <w:basedOn w:val="1"/>
    <w:qFormat/>
    <w:uiPriority w:val="0"/>
    <w:pPr>
      <w:widowControl/>
      <w:spacing w:after="160" w:line="240" w:lineRule="exact"/>
      <w:jc w:val="left"/>
    </w:pPr>
    <w:rPr>
      <w:rFonts w:ascii="新宋体" w:hAnsi="新宋体" w:cs="Courier New"/>
      <w:kern w:val="0"/>
      <w:sz w:val="30"/>
      <w:szCs w:val="30"/>
      <w:lang w:eastAsia="en-US"/>
    </w:rPr>
  </w:style>
  <w:style w:type="paragraph" w:customStyle="1" w:styleId="447">
    <w:name w:val="正文 1"/>
    <w:basedOn w:val="1"/>
    <w:link w:val="448"/>
    <w:qFormat/>
    <w:uiPriority w:val="0"/>
    <w:pPr>
      <w:spacing w:line="360" w:lineRule="atLeast"/>
      <w:ind w:firstLine="425"/>
    </w:pPr>
    <w:rPr>
      <w:rFonts w:ascii="Courier New" w:hAnsi="Courier New" w:eastAsia="仿宋_GB2312" w:cs="Courier New"/>
      <w:szCs w:val="21"/>
    </w:rPr>
  </w:style>
  <w:style w:type="character" w:customStyle="1" w:styleId="448">
    <w:name w:val="正文 1 Char"/>
    <w:link w:val="447"/>
    <w:qFormat/>
    <w:uiPriority w:val="0"/>
    <w:rPr>
      <w:rFonts w:ascii="Courier New" w:hAnsi="Courier New" w:eastAsia="仿宋_GB2312" w:cs="Courier New"/>
      <w:kern w:val="2"/>
      <w:sz w:val="21"/>
      <w:szCs w:val="21"/>
      <w:lang w:val="en-US" w:eastAsia="zh-CN" w:bidi="ar-SA"/>
    </w:rPr>
  </w:style>
  <w:style w:type="character" w:customStyle="1" w:styleId="449">
    <w:name w:val="b91"/>
    <w:qFormat/>
    <w:uiPriority w:val="0"/>
    <w:rPr>
      <w:rFonts w:hint="default" w:ascii="Times" w:hAnsi="Times"/>
      <w:color w:val="0000CC"/>
      <w:sz w:val="18"/>
      <w:szCs w:val="18"/>
      <w:u w:val="none"/>
    </w:rPr>
  </w:style>
  <w:style w:type="character" w:customStyle="1" w:styleId="450">
    <w:name w:val="ourfont1"/>
    <w:qFormat/>
    <w:uiPriority w:val="0"/>
    <w:rPr>
      <w:color w:val="000000"/>
      <w:sz w:val="24"/>
      <w:szCs w:val="24"/>
    </w:rPr>
  </w:style>
  <w:style w:type="character" w:customStyle="1" w:styleId="451">
    <w:name w:val="p21"/>
    <w:qFormat/>
    <w:uiPriority w:val="0"/>
    <w:rPr>
      <w:sz w:val="21"/>
      <w:szCs w:val="21"/>
    </w:rPr>
  </w:style>
  <w:style w:type="paragraph" w:customStyle="1" w:styleId="452">
    <w:name w:val="xl76"/>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仿宋_GB2312" w:hAnsi="仿宋_GB2312" w:eastAsia="仿宋_GB2312" w:cs="Courier New"/>
      <w:kern w:val="0"/>
      <w:sz w:val="28"/>
      <w:szCs w:val="28"/>
    </w:rPr>
  </w:style>
  <w:style w:type="paragraph" w:customStyle="1" w:styleId="453">
    <w:name w:val="xl77"/>
    <w:basedOn w:val="1"/>
    <w:qFormat/>
    <w:uiPriority w:val="0"/>
    <w:pPr>
      <w:widowControl/>
      <w:spacing w:before="100" w:beforeAutospacing="1" w:after="100" w:afterAutospacing="1"/>
      <w:jc w:val="center"/>
    </w:pPr>
    <w:rPr>
      <w:rFonts w:ascii="仿宋_GB2312" w:hAnsi="仿宋_GB2312" w:eastAsia="仿宋_GB2312" w:cs="Courier New"/>
      <w:kern w:val="0"/>
      <w:sz w:val="28"/>
      <w:szCs w:val="28"/>
    </w:rPr>
  </w:style>
  <w:style w:type="paragraph" w:customStyle="1" w:styleId="454">
    <w:name w:val="xl78"/>
    <w:basedOn w:val="1"/>
    <w:qFormat/>
    <w:uiPriority w:val="0"/>
    <w:pPr>
      <w:widowControl/>
      <w:pBdr>
        <w:left w:val="single" w:color="000000" w:sz="4" w:space="0"/>
        <w:right w:val="single" w:color="auto" w:sz="4" w:space="0"/>
      </w:pBdr>
      <w:spacing w:before="100" w:beforeAutospacing="1" w:after="100" w:afterAutospacing="1"/>
      <w:jc w:val="center"/>
      <w:textAlignment w:val="center"/>
    </w:pPr>
    <w:rPr>
      <w:rFonts w:ascii="仿宋_GB2312" w:hAnsi="仿宋_GB2312" w:eastAsia="仿宋_GB2312" w:cs="Courier New"/>
      <w:kern w:val="0"/>
      <w:sz w:val="28"/>
      <w:szCs w:val="28"/>
    </w:rPr>
  </w:style>
  <w:style w:type="paragraph" w:customStyle="1" w:styleId="455">
    <w:name w:val="xl79"/>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仿宋_GB2312" w:hAnsi="仿宋_GB2312" w:eastAsia="仿宋_GB2312" w:cs="Courier New"/>
      <w:kern w:val="0"/>
      <w:sz w:val="28"/>
      <w:szCs w:val="28"/>
    </w:rPr>
  </w:style>
  <w:style w:type="paragraph" w:customStyle="1" w:styleId="456">
    <w:name w:val="xl80"/>
    <w:basedOn w:val="1"/>
    <w:qFormat/>
    <w:uiPriority w:val="0"/>
    <w:pPr>
      <w:widowControl/>
      <w:spacing w:before="100" w:beforeAutospacing="1" w:after="100" w:afterAutospacing="1"/>
      <w:jc w:val="center"/>
      <w:textAlignment w:val="top"/>
    </w:pPr>
    <w:rPr>
      <w:rFonts w:ascii="仿宋_GB2312" w:hAnsi="仿宋_GB2312" w:eastAsia="仿宋_GB2312" w:cs="Courier New"/>
      <w:kern w:val="0"/>
      <w:sz w:val="28"/>
      <w:szCs w:val="28"/>
    </w:rPr>
  </w:style>
  <w:style w:type="paragraph" w:customStyle="1" w:styleId="457">
    <w:name w:val="xl81"/>
    <w:basedOn w:val="1"/>
    <w:qFormat/>
    <w:uiPriority w:val="0"/>
    <w:pPr>
      <w:widowControl/>
      <w:pBdr>
        <w:right w:val="single" w:color="000000" w:sz="4" w:space="0"/>
      </w:pBdr>
      <w:spacing w:before="100" w:beforeAutospacing="1" w:after="100" w:afterAutospacing="1"/>
      <w:jc w:val="center"/>
      <w:textAlignment w:val="top"/>
    </w:pPr>
    <w:rPr>
      <w:rFonts w:ascii="仿宋_GB2312" w:hAnsi="仿宋_GB2312" w:eastAsia="仿宋_GB2312" w:cs="Courier New"/>
      <w:kern w:val="0"/>
      <w:sz w:val="28"/>
      <w:szCs w:val="28"/>
    </w:rPr>
  </w:style>
  <w:style w:type="paragraph" w:customStyle="1" w:styleId="458">
    <w:name w:val="xl82"/>
    <w:basedOn w:val="1"/>
    <w:qFormat/>
    <w:uiPriority w:val="0"/>
    <w:pPr>
      <w:widowControl/>
      <w:pBdr>
        <w:left w:val="single" w:color="000000" w:sz="4" w:space="0"/>
        <w:right w:val="single" w:color="000000" w:sz="4" w:space="0"/>
      </w:pBdr>
      <w:spacing w:before="100" w:beforeAutospacing="1" w:after="100" w:afterAutospacing="1"/>
      <w:jc w:val="center"/>
      <w:textAlignment w:val="top"/>
    </w:pPr>
    <w:rPr>
      <w:rFonts w:ascii="仿宋_GB2312" w:hAnsi="仿宋_GB2312" w:eastAsia="仿宋_GB2312" w:cs="Courier New"/>
      <w:kern w:val="0"/>
      <w:sz w:val="28"/>
      <w:szCs w:val="28"/>
    </w:rPr>
  </w:style>
  <w:style w:type="paragraph" w:customStyle="1" w:styleId="459">
    <w:name w:val="xl83"/>
    <w:basedOn w:val="1"/>
    <w:qFormat/>
    <w:uiPriority w:val="0"/>
    <w:pPr>
      <w:widowControl/>
      <w:pBdr>
        <w:left w:val="single" w:color="000000" w:sz="4" w:space="0"/>
        <w:bottom w:val="single" w:color="000000" w:sz="4" w:space="0"/>
      </w:pBdr>
      <w:spacing w:before="100" w:beforeAutospacing="1" w:after="100" w:afterAutospacing="1"/>
      <w:jc w:val="left"/>
      <w:textAlignment w:val="center"/>
    </w:pPr>
    <w:rPr>
      <w:rFonts w:ascii="仿宋_GB2312" w:hAnsi="仿宋_GB2312" w:eastAsia="仿宋_GB2312" w:cs="Courier New"/>
      <w:kern w:val="0"/>
      <w:sz w:val="28"/>
      <w:szCs w:val="28"/>
    </w:rPr>
  </w:style>
  <w:style w:type="paragraph" w:customStyle="1" w:styleId="460">
    <w:name w:val="xl84"/>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仿宋_GB2312" w:hAnsi="仿宋_GB2312" w:eastAsia="仿宋_GB2312" w:cs="Courier New"/>
      <w:kern w:val="0"/>
      <w:sz w:val="28"/>
      <w:szCs w:val="28"/>
    </w:rPr>
  </w:style>
  <w:style w:type="paragraph" w:customStyle="1" w:styleId="461">
    <w:name w:val="xl85"/>
    <w:basedOn w:val="1"/>
    <w:qFormat/>
    <w:uiPriority w:val="0"/>
    <w:pPr>
      <w:widowControl/>
      <w:pBdr>
        <w:left w:val="single" w:color="auto" w:sz="4" w:space="0"/>
        <w:right w:val="single" w:color="000000" w:sz="4" w:space="0"/>
      </w:pBdr>
      <w:spacing w:before="100" w:beforeAutospacing="1" w:after="100" w:afterAutospacing="1"/>
      <w:jc w:val="center"/>
      <w:textAlignment w:val="center"/>
    </w:pPr>
    <w:rPr>
      <w:rFonts w:ascii="仿宋_GB2312" w:hAnsi="仿宋_GB2312" w:eastAsia="仿宋_GB2312" w:cs="Courier New"/>
      <w:kern w:val="0"/>
      <w:sz w:val="28"/>
      <w:szCs w:val="28"/>
    </w:rPr>
  </w:style>
  <w:style w:type="paragraph" w:customStyle="1" w:styleId="462">
    <w:name w:val="xl8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top"/>
    </w:pPr>
    <w:rPr>
      <w:rFonts w:ascii="仿宋_GB2312" w:hAnsi="仿宋_GB2312" w:eastAsia="仿宋_GB2312" w:cs="Courier New"/>
      <w:kern w:val="0"/>
      <w:sz w:val="28"/>
      <w:szCs w:val="28"/>
    </w:rPr>
  </w:style>
  <w:style w:type="paragraph" w:customStyle="1" w:styleId="463">
    <w:name w:val="xl87"/>
    <w:basedOn w:val="1"/>
    <w:qFormat/>
    <w:uiPriority w:val="0"/>
    <w:pPr>
      <w:widowControl/>
      <w:spacing w:before="100" w:beforeAutospacing="1" w:after="100" w:afterAutospacing="1"/>
      <w:jc w:val="left"/>
      <w:textAlignment w:val="center"/>
    </w:pPr>
    <w:rPr>
      <w:rFonts w:ascii="华文中宋" w:hAnsi="华文中宋" w:eastAsia="仿宋_GB2312" w:cs="华文中宋"/>
      <w:kern w:val="0"/>
      <w:sz w:val="24"/>
      <w:szCs w:val="28"/>
    </w:rPr>
  </w:style>
  <w:style w:type="paragraph" w:customStyle="1" w:styleId="464">
    <w:name w:val="xl88"/>
    <w:basedOn w:val="1"/>
    <w:qFormat/>
    <w:uiPriority w:val="0"/>
    <w:pPr>
      <w:widowControl/>
      <w:spacing w:before="100" w:beforeAutospacing="1" w:after="100" w:afterAutospacing="1"/>
      <w:jc w:val="left"/>
      <w:textAlignment w:val="center"/>
    </w:pPr>
    <w:rPr>
      <w:rFonts w:ascii="仿宋_GB2312" w:hAnsi="仿宋_GB2312" w:eastAsia="仿宋_GB2312" w:cs="Courier New"/>
      <w:kern w:val="0"/>
      <w:sz w:val="24"/>
      <w:szCs w:val="28"/>
    </w:rPr>
  </w:style>
  <w:style w:type="paragraph" w:customStyle="1" w:styleId="465">
    <w:name w:val="xl89"/>
    <w:basedOn w:val="1"/>
    <w:qFormat/>
    <w:uiPriority w:val="0"/>
    <w:pPr>
      <w:widowControl/>
      <w:pBdr>
        <w:top w:val="single" w:color="auto" w:sz="4" w:space="0"/>
        <w:left w:val="single" w:color="000000" w:sz="4" w:space="0"/>
        <w:bottom w:val="single" w:color="auto" w:sz="4" w:space="0"/>
        <w:right w:val="single" w:color="000000" w:sz="4" w:space="0"/>
      </w:pBdr>
      <w:spacing w:before="100" w:beforeAutospacing="1" w:after="100" w:afterAutospacing="1"/>
      <w:jc w:val="center"/>
      <w:textAlignment w:val="center"/>
    </w:pPr>
    <w:rPr>
      <w:rFonts w:ascii="华文中宋" w:hAnsi="华文中宋" w:eastAsia="仿宋_GB2312" w:cs="华文中宋"/>
      <w:kern w:val="0"/>
      <w:sz w:val="28"/>
      <w:szCs w:val="28"/>
    </w:rPr>
  </w:style>
  <w:style w:type="paragraph" w:customStyle="1" w:styleId="466">
    <w:name w:val="xl90"/>
    <w:basedOn w:val="1"/>
    <w:qFormat/>
    <w:uiPriority w:val="0"/>
    <w:pPr>
      <w:widowControl/>
      <w:spacing w:before="100" w:beforeAutospacing="1" w:after="100" w:afterAutospacing="1"/>
      <w:jc w:val="left"/>
      <w:textAlignment w:val="center"/>
    </w:pPr>
    <w:rPr>
      <w:rFonts w:hint="eastAsia" w:ascii="华文楷体" w:hAnsi="仿宋_GB2312" w:eastAsia="华文楷体" w:cs="Courier New"/>
      <w:kern w:val="0"/>
      <w:sz w:val="44"/>
      <w:szCs w:val="44"/>
    </w:rPr>
  </w:style>
  <w:style w:type="paragraph" w:customStyle="1" w:styleId="467">
    <w:name w:val="表内大文字"/>
    <w:qFormat/>
    <w:uiPriority w:val="0"/>
    <w:pPr>
      <w:jc w:val="center"/>
    </w:pPr>
    <w:rPr>
      <w:rFonts w:ascii="仿宋_GB2312" w:hAnsi="仿宋_GB2312" w:eastAsia="仿宋_GB2312" w:cs="Courier New"/>
      <w:sz w:val="21"/>
      <w:lang w:val="en-US" w:eastAsia="zh-CN" w:bidi="ar-SA"/>
    </w:rPr>
  </w:style>
  <w:style w:type="paragraph" w:customStyle="1" w:styleId="468">
    <w:name w:val="1 Char"/>
    <w:basedOn w:val="27"/>
    <w:qFormat/>
    <w:uiPriority w:val="0"/>
    <w:pPr>
      <w:adjustRightInd w:val="0"/>
      <w:spacing w:line="436" w:lineRule="exact"/>
      <w:ind w:left="357"/>
      <w:jc w:val="left"/>
      <w:outlineLvl w:val="3"/>
    </w:pPr>
    <w:rPr>
      <w:rFonts w:ascii="Symusic" w:hAnsi="Symusic"/>
      <w:b/>
      <w:sz w:val="24"/>
      <w:szCs w:val="28"/>
    </w:rPr>
  </w:style>
  <w:style w:type="paragraph" w:customStyle="1" w:styleId="469">
    <w:name w:val="样式 样式 样式 小四 行距: 1.5 倍行距 首行缩进:  2 字符1 + 首行缩进:  2 字符1 + 首行缩进:  2 字符"/>
    <w:basedOn w:val="1"/>
    <w:qFormat/>
    <w:uiPriority w:val="0"/>
    <w:pPr>
      <w:spacing w:line="360" w:lineRule="auto"/>
      <w:ind w:firstLine="200" w:firstLineChars="200"/>
    </w:pPr>
    <w:rPr>
      <w:rFonts w:ascii="Courier New" w:hAnsi="Courier New" w:eastAsia="仿宋_GB2312" w:cs="仿宋_GB2312"/>
      <w:sz w:val="24"/>
      <w:szCs w:val="20"/>
    </w:rPr>
  </w:style>
  <w:style w:type="paragraph" w:customStyle="1" w:styleId="470">
    <w:name w:val="Char Char1 Char Char Char"/>
    <w:basedOn w:val="1"/>
    <w:qFormat/>
    <w:uiPriority w:val="0"/>
    <w:pPr>
      <w:widowControl/>
      <w:spacing w:after="160" w:line="240" w:lineRule="exact"/>
      <w:jc w:val="left"/>
    </w:pPr>
    <w:rPr>
      <w:rFonts w:ascii="新宋体" w:hAnsi="新宋体" w:cs="Courier New"/>
      <w:kern w:val="0"/>
      <w:sz w:val="30"/>
      <w:szCs w:val="30"/>
      <w:lang w:eastAsia="en-US"/>
    </w:rPr>
  </w:style>
  <w:style w:type="paragraph" w:customStyle="1" w:styleId="471">
    <w:name w:val="Char Char Char1 Char Char Char Char Char Char Char Char Char Char"/>
    <w:basedOn w:val="1"/>
    <w:qFormat/>
    <w:uiPriority w:val="0"/>
    <w:pPr>
      <w:spacing w:line="360" w:lineRule="auto"/>
      <w:ind w:firstLine="200" w:firstLineChars="200"/>
    </w:pPr>
    <w:rPr>
      <w:rFonts w:ascii="仿宋_GB2312" w:hAnsi="仿宋_GB2312" w:eastAsia="仿宋_GB2312" w:cs="仿宋_GB2312"/>
      <w:sz w:val="24"/>
    </w:rPr>
  </w:style>
  <w:style w:type="paragraph" w:customStyle="1" w:styleId="472">
    <w:name w:val="height22px"/>
    <w:basedOn w:val="1"/>
    <w:qFormat/>
    <w:uiPriority w:val="0"/>
    <w:pPr>
      <w:widowControl/>
      <w:spacing w:before="100" w:beforeAutospacing="1" w:after="100" w:afterAutospacing="1"/>
      <w:jc w:val="left"/>
    </w:pPr>
    <w:rPr>
      <w:rFonts w:ascii="仿宋_GB2312" w:hAnsi="仿宋_GB2312" w:eastAsia="仿宋_GB2312" w:cs="仿宋_GB2312"/>
      <w:kern w:val="0"/>
      <w:sz w:val="24"/>
    </w:rPr>
  </w:style>
  <w:style w:type="paragraph" w:customStyle="1" w:styleId="473">
    <w:name w:val="样式 乐山-正文 + 小四 加粗1"/>
    <w:basedOn w:val="1"/>
    <w:qFormat/>
    <w:uiPriority w:val="0"/>
    <w:pPr>
      <w:tabs>
        <w:tab w:val="left" w:pos="1125"/>
      </w:tabs>
      <w:spacing w:line="440" w:lineRule="exact"/>
      <w:ind w:left="1125" w:hanging="1125"/>
    </w:pPr>
    <w:rPr>
      <w:rFonts w:ascii="华文中宋" w:hAnsi="华文中宋" w:eastAsia="文鼎粗钢笔行楷" w:cs="仿宋_GB2312"/>
      <w:b/>
      <w:bCs/>
      <w:sz w:val="24"/>
      <w:szCs w:val="20"/>
    </w:rPr>
  </w:style>
  <w:style w:type="paragraph" w:customStyle="1" w:styleId="474">
    <w:name w:val="乐山-正文 Char"/>
    <w:basedOn w:val="1"/>
    <w:next w:val="1"/>
    <w:qFormat/>
    <w:uiPriority w:val="0"/>
    <w:pPr>
      <w:spacing w:line="440" w:lineRule="exact"/>
      <w:ind w:firstLine="200" w:firstLineChars="200"/>
    </w:pPr>
    <w:rPr>
      <w:rFonts w:ascii="华文中宋" w:hAnsi="华文中宋" w:eastAsia="文鼎粗钢笔行楷" w:cs="仿宋_GB2312"/>
      <w:szCs w:val="20"/>
    </w:rPr>
  </w:style>
  <w:style w:type="paragraph" w:customStyle="1" w:styleId="475">
    <w:name w:val="111"/>
    <w:basedOn w:val="1"/>
    <w:qFormat/>
    <w:uiPriority w:val="0"/>
    <w:pPr>
      <w:autoSpaceDE w:val="0"/>
      <w:autoSpaceDN w:val="0"/>
      <w:adjustRightInd w:val="0"/>
      <w:ind w:left="3" w:firstLine="553"/>
    </w:pPr>
    <w:rPr>
      <w:rFonts w:ascii="Courier New" w:hAnsi="Courier New" w:eastAsia="仿宋_GB2312" w:cs="Courier New"/>
      <w:sz w:val="28"/>
      <w:szCs w:val="28"/>
    </w:rPr>
  </w:style>
  <w:style w:type="paragraph" w:customStyle="1" w:styleId="476">
    <w:name w:val="一级"/>
    <w:basedOn w:val="156"/>
    <w:qFormat/>
    <w:uiPriority w:val="0"/>
    <w:pPr>
      <w:tabs>
        <w:tab w:val="clear" w:pos="0"/>
      </w:tabs>
      <w:spacing w:before="240" w:after="60" w:line="240" w:lineRule="auto"/>
      <w:outlineLvl w:val="0"/>
    </w:pPr>
    <w:rPr>
      <w:rFonts w:ascii="Arial Unicode MS" w:hAnsi="华文中宋" w:eastAsia="Arial Unicode MS" w:cs="Courier New"/>
    </w:rPr>
  </w:style>
  <w:style w:type="paragraph" w:customStyle="1" w:styleId="477">
    <w:name w:val="样式 标题 2 + Times New Roman"/>
    <w:basedOn w:val="6"/>
    <w:qFormat/>
    <w:uiPriority w:val="0"/>
    <w:pPr>
      <w:numPr>
        <w:ilvl w:val="0"/>
        <w:numId w:val="0"/>
      </w:numPr>
      <w:autoSpaceDE w:val="0"/>
      <w:autoSpaceDN w:val="0"/>
      <w:spacing w:before="260" w:after="260"/>
    </w:pPr>
    <w:rPr>
      <w:rFonts w:ascii="Courier New" w:hAnsi="Courier New" w:eastAsia="仿宋_GB2312" w:cs="仿宋_GB2312"/>
      <w:bCs/>
      <w:sz w:val="30"/>
    </w:rPr>
  </w:style>
  <w:style w:type="paragraph" w:customStyle="1" w:styleId="478">
    <w:name w:val="样式 样式 标题 3 + 首行缩进:  2 字符 + Times New Roman"/>
    <w:basedOn w:val="1"/>
    <w:qFormat/>
    <w:uiPriority w:val="0"/>
    <w:pPr>
      <w:keepNext/>
      <w:keepLines/>
      <w:autoSpaceDE w:val="0"/>
      <w:autoSpaceDN w:val="0"/>
      <w:adjustRightInd w:val="0"/>
      <w:spacing w:before="100" w:beforeAutospacing="1" w:after="100" w:afterAutospacing="1" w:line="360" w:lineRule="auto"/>
      <w:jc w:val="left"/>
      <w:textAlignment w:val="baseline"/>
      <w:outlineLvl w:val="2"/>
    </w:pPr>
    <w:rPr>
      <w:rFonts w:ascii="Courier New" w:hAnsi="Courier New" w:eastAsia="仿宋_GB2312" w:cs="仿宋_GB2312"/>
      <w:b/>
      <w:bCs/>
      <w:kern w:val="0"/>
      <w:sz w:val="28"/>
      <w:szCs w:val="20"/>
    </w:rPr>
  </w:style>
  <w:style w:type="character" w:customStyle="1" w:styleId="479">
    <w:name w:val="标题 2 Char Char Char Char Char"/>
    <w:qFormat/>
    <w:uiPriority w:val="0"/>
    <w:rPr>
      <w:rFonts w:ascii="华文中宋" w:hAnsi="华文中宋" w:eastAsia="Arial Unicode MS"/>
      <w:b/>
      <w:bCs/>
      <w:kern w:val="2"/>
      <w:sz w:val="32"/>
      <w:szCs w:val="32"/>
      <w:lang w:val="en-US" w:eastAsia="zh-CN" w:bidi="ar-SA"/>
    </w:rPr>
  </w:style>
  <w:style w:type="character" w:customStyle="1" w:styleId="480">
    <w:name w:val="En-tête 1.1 Char Char"/>
    <w:semiHidden/>
    <w:qFormat/>
    <w:uiPriority w:val="0"/>
    <w:rPr>
      <w:rFonts w:eastAsia="仿宋_GB2312"/>
      <w:kern w:val="2"/>
      <w:sz w:val="18"/>
      <w:szCs w:val="18"/>
      <w:lang w:val="en-US" w:eastAsia="zh-CN" w:bidi="ar-SA"/>
    </w:rPr>
  </w:style>
  <w:style w:type="paragraph" w:customStyle="1" w:styleId="481">
    <w:name w:val="样式 标题 1 + Times New Roman"/>
    <w:basedOn w:val="5"/>
    <w:qFormat/>
    <w:uiPriority w:val="0"/>
    <w:pPr>
      <w:pageBreakBefore w:val="0"/>
      <w:numPr>
        <w:numId w:val="0"/>
      </w:numPr>
      <w:autoSpaceDE w:val="0"/>
      <w:autoSpaceDN w:val="0"/>
      <w:spacing w:line="360" w:lineRule="auto"/>
      <w:jc w:val="left"/>
    </w:pPr>
    <w:rPr>
      <w:rFonts w:ascii="Courier New" w:hAnsi="Courier New" w:eastAsia="仿宋_GB2312" w:cs="Courier New"/>
      <w:b/>
      <w:bCs/>
      <w:sz w:val="32"/>
      <w:szCs w:val="44"/>
    </w:rPr>
  </w:style>
  <w:style w:type="character" w:customStyle="1" w:styleId="482">
    <w:name w:val="仿宋体正文 Char"/>
    <w:qFormat/>
    <w:uiPriority w:val="0"/>
    <w:rPr>
      <w:rFonts w:eastAsia="仿宋_GB2312"/>
      <w:color w:val="000000"/>
      <w:kern w:val="2"/>
      <w:sz w:val="28"/>
      <w:szCs w:val="24"/>
      <w:lang w:val="en-US" w:eastAsia="zh-CN" w:bidi="ar-SA"/>
    </w:rPr>
  </w:style>
  <w:style w:type="paragraph" w:customStyle="1" w:styleId="483">
    <w:name w:val="表文"/>
    <w:basedOn w:val="1"/>
    <w:qFormat/>
    <w:uiPriority w:val="0"/>
    <w:pPr>
      <w:spacing w:line="360" w:lineRule="exact"/>
      <w:jc w:val="center"/>
    </w:pPr>
    <w:rPr>
      <w:rFonts w:ascii="Courier New" w:hAnsi="Courier New" w:eastAsia="仿宋_GB2312" w:cs="Courier New"/>
      <w:szCs w:val="20"/>
    </w:rPr>
  </w:style>
  <w:style w:type="paragraph" w:customStyle="1" w:styleId="484">
    <w:name w:val="样式 五号 黑色 居中 行距: 单倍行距"/>
    <w:basedOn w:val="1"/>
    <w:qFormat/>
    <w:uiPriority w:val="0"/>
    <w:pPr>
      <w:adjustRightInd w:val="0"/>
      <w:snapToGrid w:val="0"/>
      <w:jc w:val="center"/>
    </w:pPr>
    <w:rPr>
      <w:rFonts w:ascii="Courier New" w:hAnsi="Courier New" w:eastAsia="仿宋_GB2312" w:cs="Courier New"/>
      <w:snapToGrid w:val="0"/>
      <w:color w:val="000000"/>
      <w:kern w:val="0"/>
      <w:szCs w:val="21"/>
    </w:rPr>
  </w:style>
  <w:style w:type="character" w:customStyle="1" w:styleId="485">
    <w:name w:val="11p1"/>
    <w:qFormat/>
    <w:uiPriority w:val="0"/>
    <w:rPr>
      <w:sz w:val="30"/>
      <w:szCs w:val="30"/>
    </w:rPr>
  </w:style>
  <w:style w:type="paragraph" w:customStyle="1" w:styleId="486">
    <w:name w:val="列表内容 2"/>
    <w:basedOn w:val="1"/>
    <w:next w:val="1"/>
    <w:qFormat/>
    <w:uiPriority w:val="0"/>
    <w:pPr>
      <w:keepLines/>
      <w:adjustRightInd w:val="0"/>
      <w:snapToGrid w:val="0"/>
      <w:jc w:val="center"/>
    </w:pPr>
    <w:rPr>
      <w:rFonts w:ascii="Courier New" w:hAnsi="Courier New" w:eastAsia="仿宋_GB2312" w:cs="Courier New"/>
      <w:snapToGrid w:val="0"/>
      <w:kern w:val="0"/>
      <w:sz w:val="24"/>
      <w:szCs w:val="20"/>
    </w:rPr>
  </w:style>
  <w:style w:type="paragraph" w:customStyle="1" w:styleId="487">
    <w:name w:val="a"/>
    <w:basedOn w:val="1"/>
    <w:qFormat/>
    <w:uiPriority w:val="0"/>
    <w:pPr>
      <w:spacing w:line="360" w:lineRule="auto"/>
      <w:jc w:val="center"/>
    </w:pPr>
    <w:rPr>
      <w:rFonts w:ascii="Courier New" w:hAnsi="Courier New" w:eastAsia="Arial Unicode MS" w:cs="Courier New"/>
      <w:sz w:val="44"/>
      <w:szCs w:val="20"/>
    </w:rPr>
  </w:style>
  <w:style w:type="paragraph" w:customStyle="1" w:styleId="488">
    <w:name w:val="列表内容 1"/>
    <w:basedOn w:val="1"/>
    <w:next w:val="1"/>
    <w:qFormat/>
    <w:uiPriority w:val="0"/>
    <w:pPr>
      <w:keepLines/>
      <w:adjustRightInd w:val="0"/>
      <w:snapToGrid w:val="0"/>
      <w:jc w:val="center"/>
    </w:pPr>
    <w:rPr>
      <w:rFonts w:ascii="Courier New" w:hAnsi="Courier New" w:eastAsia="仿宋_GB2312" w:cs="Courier New"/>
      <w:snapToGrid w:val="0"/>
      <w:kern w:val="0"/>
      <w:sz w:val="28"/>
      <w:szCs w:val="20"/>
    </w:rPr>
  </w:style>
  <w:style w:type="paragraph" w:customStyle="1" w:styleId="489">
    <w:name w:val="表格内容"/>
    <w:basedOn w:val="1"/>
    <w:link w:val="1247"/>
    <w:qFormat/>
    <w:uiPriority w:val="0"/>
    <w:pPr>
      <w:keepNext/>
      <w:keepLines/>
      <w:tabs>
        <w:tab w:val="left" w:pos="-145"/>
        <w:tab w:val="left" w:pos="0"/>
        <w:tab w:val="left" w:pos="37"/>
        <w:tab w:val="left" w:pos="580"/>
        <w:tab w:val="left" w:pos="4500"/>
        <w:tab w:val="left" w:pos="5160"/>
        <w:tab w:val="right" w:pos="8460"/>
        <w:tab w:val="left" w:pos="9000"/>
      </w:tabs>
      <w:adjustRightInd w:val="0"/>
      <w:snapToGrid w:val="0"/>
      <w:jc w:val="center"/>
      <w:textAlignment w:val="baseline"/>
    </w:pPr>
    <w:rPr>
      <w:rFonts w:ascii="Courier New" w:hAnsi="Courier New" w:eastAsia="仿宋_GB2312" w:cs="Courier New"/>
      <w:snapToGrid w:val="0"/>
      <w:color w:val="000000"/>
      <w:spacing w:val="-10"/>
      <w:kern w:val="0"/>
      <w:sz w:val="28"/>
      <w:szCs w:val="20"/>
    </w:rPr>
  </w:style>
  <w:style w:type="paragraph" w:customStyle="1" w:styleId="490">
    <w:name w:val="样式34"/>
    <w:basedOn w:val="1"/>
    <w:qFormat/>
    <w:uiPriority w:val="0"/>
    <w:pPr>
      <w:spacing w:beforeLines="50" w:afterLines="50"/>
      <w:outlineLvl w:val="0"/>
    </w:pPr>
    <w:rPr>
      <w:rFonts w:ascii="Courier New" w:hAnsi="Courier New" w:eastAsia="华文行楷" w:cs="Courier New"/>
      <w:b/>
      <w:color w:val="000000"/>
      <w:sz w:val="28"/>
      <w:szCs w:val="28"/>
    </w:rPr>
  </w:style>
  <w:style w:type="paragraph" w:customStyle="1" w:styleId="491">
    <w:name w:val="默认段落字体 Para Char Char Char Char Char Char Char Char Char Char"/>
    <w:basedOn w:val="1"/>
    <w:qFormat/>
    <w:uiPriority w:val="0"/>
    <w:rPr>
      <w:rFonts w:ascii="Courier New" w:hAnsi="Courier New" w:eastAsia="仿宋_GB2312" w:cs="Courier New"/>
    </w:rPr>
  </w:style>
  <w:style w:type="paragraph" w:customStyle="1" w:styleId="492">
    <w:name w:val="表格小四"/>
    <w:basedOn w:val="1"/>
    <w:qFormat/>
    <w:uiPriority w:val="0"/>
    <w:pPr>
      <w:adjustRightInd w:val="0"/>
      <w:snapToGrid w:val="0"/>
      <w:spacing w:line="480" w:lineRule="exact"/>
    </w:pPr>
    <w:rPr>
      <w:rFonts w:ascii="仿宋_GB2312" w:hAnsi="仿宋_GB2312" w:eastAsia="仿宋_GB2312" w:cs="Courier New"/>
      <w:sz w:val="24"/>
    </w:rPr>
  </w:style>
  <w:style w:type="paragraph" w:customStyle="1" w:styleId="493">
    <w:name w:val="列表内容"/>
    <w:basedOn w:val="1"/>
    <w:qFormat/>
    <w:uiPriority w:val="0"/>
    <w:pPr>
      <w:keepNext/>
      <w:keepLines/>
      <w:adjustRightInd w:val="0"/>
      <w:snapToGrid w:val="0"/>
      <w:jc w:val="center"/>
    </w:pPr>
    <w:rPr>
      <w:rFonts w:ascii="Courier New" w:hAnsi="Courier New" w:eastAsia="仿宋_GB2312" w:cs="Courier New"/>
      <w:snapToGrid w:val="0"/>
      <w:kern w:val="0"/>
      <w:sz w:val="24"/>
      <w:szCs w:val="28"/>
    </w:rPr>
  </w:style>
  <w:style w:type="paragraph" w:customStyle="1" w:styleId="494">
    <w:name w:val="样式 居中"/>
    <w:basedOn w:val="1"/>
    <w:qFormat/>
    <w:uiPriority w:val="0"/>
    <w:pPr>
      <w:widowControl/>
      <w:spacing w:line="360" w:lineRule="auto"/>
      <w:jc w:val="center"/>
    </w:pPr>
    <w:rPr>
      <w:rFonts w:ascii="Courier New" w:hAnsi="Courier New" w:eastAsia="仿宋_GB2312" w:cs="Courier New"/>
      <w:sz w:val="24"/>
      <w:szCs w:val="20"/>
    </w:rPr>
  </w:style>
  <w:style w:type="paragraph" w:customStyle="1" w:styleId="495">
    <w:name w:val="Char Char Char Char1 Char Char Char"/>
    <w:basedOn w:val="1"/>
    <w:qFormat/>
    <w:uiPriority w:val="0"/>
    <w:rPr>
      <w:rFonts w:ascii="Courier New" w:hAnsi="Courier New" w:eastAsia="仿宋_GB2312" w:cs="Courier New"/>
    </w:rPr>
  </w:style>
  <w:style w:type="paragraph" w:customStyle="1" w:styleId="496">
    <w:name w:val="样式 标题 1 + 二号"/>
    <w:basedOn w:val="5"/>
    <w:qFormat/>
    <w:uiPriority w:val="0"/>
    <w:pPr>
      <w:pageBreakBefore w:val="0"/>
      <w:widowControl/>
      <w:numPr>
        <w:numId w:val="0"/>
      </w:numPr>
      <w:adjustRightInd/>
      <w:spacing w:line="578" w:lineRule="auto"/>
      <w:jc w:val="left"/>
      <w:textAlignment w:val="auto"/>
    </w:pPr>
    <w:rPr>
      <w:rFonts w:ascii="Courier New" w:hAnsi="Courier New" w:eastAsia="仿宋_GB2312" w:cs="Courier New"/>
      <w:b/>
      <w:bCs/>
      <w:sz w:val="30"/>
      <w:szCs w:val="44"/>
    </w:rPr>
  </w:style>
  <w:style w:type="paragraph" w:customStyle="1" w:styleId="497">
    <w:name w:val="样式 小四 黑色 行距: 单倍行距"/>
    <w:basedOn w:val="1"/>
    <w:qFormat/>
    <w:uiPriority w:val="0"/>
    <w:pPr>
      <w:adjustRightInd w:val="0"/>
      <w:snapToGrid w:val="0"/>
    </w:pPr>
    <w:rPr>
      <w:rFonts w:ascii="Courier New" w:hAnsi="Courier New" w:eastAsia="仿宋_GB2312" w:cs="Courier New"/>
      <w:snapToGrid w:val="0"/>
      <w:color w:val="000000"/>
      <w:kern w:val="0"/>
      <w:sz w:val="24"/>
    </w:rPr>
  </w:style>
  <w:style w:type="paragraph" w:customStyle="1" w:styleId="498">
    <w:name w:val="港口总体布局规划"/>
    <w:basedOn w:val="1"/>
    <w:qFormat/>
    <w:uiPriority w:val="0"/>
    <w:pPr>
      <w:snapToGrid w:val="0"/>
      <w:spacing w:line="312" w:lineRule="auto"/>
      <w:ind w:firstLine="567"/>
    </w:pPr>
    <w:rPr>
      <w:rFonts w:ascii="Courier New" w:hAnsi="Courier New" w:eastAsia="仿宋_GB2312" w:cs="Courier New"/>
      <w:spacing w:val="8"/>
      <w:sz w:val="28"/>
      <w:szCs w:val="20"/>
    </w:rPr>
  </w:style>
  <w:style w:type="paragraph" w:customStyle="1" w:styleId="499">
    <w:name w:val="规划报告____报告文字"/>
    <w:basedOn w:val="1"/>
    <w:qFormat/>
    <w:uiPriority w:val="0"/>
    <w:pPr>
      <w:adjustRightInd w:val="0"/>
      <w:snapToGrid w:val="0"/>
      <w:spacing w:line="312" w:lineRule="auto"/>
      <w:ind w:firstLine="567"/>
    </w:pPr>
    <w:rPr>
      <w:rFonts w:ascii="Courier New" w:hAnsi="Courier New" w:eastAsia="仿宋_GB2312" w:cs="Courier New"/>
      <w:spacing w:val="10"/>
      <w:sz w:val="28"/>
      <w:szCs w:val="20"/>
    </w:rPr>
  </w:style>
  <w:style w:type="paragraph" w:customStyle="1" w:styleId="500">
    <w:name w:val="样式 标题 2 + 黑体 非加粗 段前: 18 磅 段后: 18 磅 行距: 1.5 倍行距"/>
    <w:basedOn w:val="6"/>
    <w:qFormat/>
    <w:uiPriority w:val="0"/>
    <w:pPr>
      <w:widowControl/>
      <w:numPr>
        <w:ilvl w:val="0"/>
        <w:numId w:val="0"/>
      </w:numPr>
      <w:adjustRightInd/>
      <w:spacing w:beforeLines="100" w:after="240"/>
      <w:textAlignment w:val="auto"/>
    </w:pPr>
    <w:rPr>
      <w:rFonts w:ascii="Arial Unicode MS" w:hAnsi="华文中宋" w:eastAsia="Arial Unicode MS" w:cs="仿宋_GB2312"/>
      <w:b w:val="0"/>
    </w:rPr>
  </w:style>
  <w:style w:type="paragraph" w:customStyle="1" w:styleId="501">
    <w:name w:val="正文11"/>
    <w:basedOn w:val="1"/>
    <w:link w:val="1147"/>
    <w:qFormat/>
    <w:uiPriority w:val="0"/>
    <w:pPr>
      <w:spacing w:line="360" w:lineRule="auto"/>
      <w:ind w:firstLine="480" w:firstLineChars="200"/>
    </w:pPr>
    <w:rPr>
      <w:rFonts w:ascii="Courier New" w:hAnsi="Courier New" w:eastAsia="仿宋_GB2312" w:cs="Courier New"/>
      <w:sz w:val="24"/>
    </w:rPr>
  </w:style>
  <w:style w:type="paragraph" w:customStyle="1" w:styleId="502">
    <w:name w:val="表格居中"/>
    <w:basedOn w:val="1"/>
    <w:qFormat/>
    <w:uiPriority w:val="0"/>
    <w:pPr>
      <w:jc w:val="center"/>
    </w:pPr>
    <w:rPr>
      <w:rFonts w:ascii="仿宋_GB2312" w:hAnsi="仿宋_GB2312" w:eastAsia="仿宋_GB2312" w:cs="仿宋_GB2312"/>
      <w:snapToGrid w:val="0"/>
      <w:spacing w:val="-4"/>
      <w:w w:val="90"/>
      <w:kern w:val="0"/>
      <w:sz w:val="24"/>
    </w:rPr>
  </w:style>
  <w:style w:type="paragraph" w:customStyle="1" w:styleId="503">
    <w:name w:val="小四+首行缩进"/>
    <w:basedOn w:val="1"/>
    <w:link w:val="504"/>
    <w:qFormat/>
    <w:uiPriority w:val="0"/>
    <w:pPr>
      <w:spacing w:line="360" w:lineRule="auto"/>
      <w:ind w:firstLine="482"/>
    </w:pPr>
    <w:rPr>
      <w:rFonts w:ascii="仿宋_GB2312" w:hAnsi="仿宋_GB2312" w:eastAsia="仿宋_GB2312" w:cs="仿宋_GB2312"/>
      <w:sz w:val="24"/>
      <w:szCs w:val="20"/>
    </w:rPr>
  </w:style>
  <w:style w:type="character" w:customStyle="1" w:styleId="504">
    <w:name w:val="小四+首行缩进 Char2"/>
    <w:link w:val="503"/>
    <w:qFormat/>
    <w:uiPriority w:val="0"/>
    <w:rPr>
      <w:rFonts w:ascii="仿宋_GB2312" w:hAnsi="仿宋_GB2312" w:eastAsia="仿宋_GB2312" w:cs="仿宋_GB2312"/>
      <w:kern w:val="2"/>
      <w:sz w:val="24"/>
      <w:lang w:val="en-US" w:eastAsia="zh-CN" w:bidi="ar-SA"/>
    </w:rPr>
  </w:style>
  <w:style w:type="paragraph" w:customStyle="1" w:styleId="505">
    <w:name w:val="样式 (中文) 仿宋_GB2312 四号 首行缩进:  1.01 厘米 行距: 固定值 22 磅"/>
    <w:basedOn w:val="1"/>
    <w:qFormat/>
    <w:uiPriority w:val="0"/>
    <w:pPr>
      <w:spacing w:line="440" w:lineRule="exact"/>
      <w:ind w:firstLine="200" w:firstLineChars="200"/>
    </w:pPr>
    <w:rPr>
      <w:rFonts w:ascii="Courier New" w:hAnsi="Courier New" w:cs="仿宋_GB2312"/>
      <w:sz w:val="28"/>
      <w:szCs w:val="20"/>
    </w:rPr>
  </w:style>
  <w:style w:type="paragraph" w:customStyle="1" w:styleId="506">
    <w:name w:val="subject"/>
    <w:basedOn w:val="1"/>
    <w:qFormat/>
    <w:uiPriority w:val="0"/>
    <w:pPr>
      <w:widowControl/>
      <w:spacing w:before="100" w:beforeAutospacing="1" w:after="100" w:afterAutospacing="1"/>
      <w:jc w:val="left"/>
    </w:pPr>
    <w:rPr>
      <w:rFonts w:ascii="仿宋_GB2312" w:hAnsi="仿宋_GB2312" w:eastAsia="仿宋_GB2312" w:cs="仿宋_GB2312"/>
      <w:kern w:val="0"/>
      <w:sz w:val="24"/>
    </w:rPr>
  </w:style>
  <w:style w:type="paragraph" w:customStyle="1" w:styleId="507">
    <w:name w:val="默认段落字体 Para Char Char Char Char"/>
    <w:basedOn w:val="1"/>
    <w:qFormat/>
    <w:uiPriority w:val="0"/>
    <w:pPr>
      <w:spacing w:line="360" w:lineRule="auto"/>
      <w:ind w:firstLine="200" w:firstLineChars="200"/>
    </w:pPr>
    <w:rPr>
      <w:rFonts w:ascii="Courier New" w:hAnsi="Courier New" w:eastAsia="仿宋_GB2312" w:cs="Courier New"/>
      <w:kern w:val="0"/>
      <w:szCs w:val="21"/>
    </w:rPr>
  </w:style>
  <w:style w:type="paragraph" w:customStyle="1" w:styleId="508">
    <w:name w:val="德胜二级标题"/>
    <w:basedOn w:val="1"/>
    <w:qFormat/>
    <w:uiPriority w:val="0"/>
    <w:pPr>
      <w:keepNext/>
      <w:keepLines/>
      <w:adjustRightInd w:val="0"/>
      <w:snapToGrid w:val="0"/>
      <w:spacing w:line="360" w:lineRule="auto"/>
      <w:jc w:val="left"/>
      <w:outlineLvl w:val="1"/>
    </w:pPr>
    <w:rPr>
      <w:rFonts w:ascii="Courier New" w:hAnsi="Courier New" w:eastAsia="仿宋_GB2312" w:cs="Courier New"/>
      <w:b/>
      <w:bCs/>
      <w:snapToGrid w:val="0"/>
      <w:color w:val="0000FF"/>
      <w:kern w:val="0"/>
      <w:sz w:val="28"/>
      <w:szCs w:val="28"/>
    </w:rPr>
  </w:style>
  <w:style w:type="paragraph" w:customStyle="1" w:styleId="509">
    <w:name w:val="德胜空行"/>
    <w:basedOn w:val="1"/>
    <w:link w:val="510"/>
    <w:qFormat/>
    <w:uiPriority w:val="0"/>
    <w:pPr>
      <w:adjustRightInd w:val="0"/>
      <w:snapToGrid w:val="0"/>
      <w:jc w:val="left"/>
    </w:pPr>
    <w:rPr>
      <w:rFonts w:ascii="Courier New" w:hAnsi="Courier New" w:eastAsia="仿宋_GB2312" w:cs="Courier New"/>
      <w:snapToGrid w:val="0"/>
      <w:color w:val="0000FF"/>
      <w:kern w:val="0"/>
      <w:szCs w:val="21"/>
    </w:rPr>
  </w:style>
  <w:style w:type="character" w:customStyle="1" w:styleId="510">
    <w:name w:val="德胜空行 Char"/>
    <w:link w:val="509"/>
    <w:qFormat/>
    <w:uiPriority w:val="0"/>
    <w:rPr>
      <w:rFonts w:ascii="Courier New" w:hAnsi="Courier New" w:eastAsia="仿宋_GB2312" w:cs="Courier New"/>
      <w:snapToGrid w:val="0"/>
      <w:color w:val="0000FF"/>
      <w:sz w:val="21"/>
      <w:szCs w:val="21"/>
      <w:lang w:val="en-US" w:eastAsia="zh-CN" w:bidi="ar-SA"/>
    </w:rPr>
  </w:style>
  <w:style w:type="paragraph" w:customStyle="1" w:styleId="511">
    <w:name w:val="样式 标题 2 + 黑体 (符号) 宋体"/>
    <w:basedOn w:val="6"/>
    <w:qFormat/>
    <w:uiPriority w:val="0"/>
    <w:pPr>
      <w:numPr>
        <w:ilvl w:val="0"/>
        <w:numId w:val="0"/>
      </w:numPr>
      <w:tabs>
        <w:tab w:val="left" w:pos="576"/>
      </w:tabs>
      <w:adjustRightInd/>
      <w:ind w:left="576" w:hanging="576"/>
      <w:jc w:val="center"/>
      <w:textAlignment w:val="auto"/>
      <w:outlineLvl w:val="9"/>
    </w:pPr>
    <w:rPr>
      <w:rFonts w:ascii="Arial Unicode MS" w:hAnsi="Courier New" w:eastAsia="Arial Unicode MS" w:cs="Courier New"/>
      <w:bCs/>
      <w:kern w:val="2"/>
      <w:sz w:val="44"/>
      <w:szCs w:val="44"/>
    </w:rPr>
  </w:style>
  <w:style w:type="paragraph" w:customStyle="1" w:styleId="512">
    <w:name w:val="第四节"/>
    <w:basedOn w:val="1"/>
    <w:qFormat/>
    <w:uiPriority w:val="0"/>
    <w:pPr>
      <w:spacing w:beforeLines="150" w:line="360" w:lineRule="auto"/>
      <w:ind w:firstLine="358" w:firstLineChars="119"/>
      <w:jc w:val="left"/>
    </w:pPr>
    <w:rPr>
      <w:rFonts w:ascii="Courier New" w:hAnsi="Courier New" w:eastAsia="Arial Unicode MS" w:cs="Courier New"/>
      <w:b/>
      <w:bCs/>
      <w:kern w:val="0"/>
      <w:sz w:val="30"/>
    </w:rPr>
  </w:style>
  <w:style w:type="paragraph" w:customStyle="1" w:styleId="513">
    <w:name w:val="报告表正文"/>
    <w:basedOn w:val="1"/>
    <w:link w:val="1047"/>
    <w:qFormat/>
    <w:uiPriority w:val="0"/>
    <w:pPr>
      <w:adjustRightInd w:val="0"/>
      <w:spacing w:line="300" w:lineRule="auto"/>
      <w:ind w:left="113" w:right="113"/>
      <w:textAlignment w:val="baseline"/>
    </w:pPr>
    <w:rPr>
      <w:rFonts w:ascii="Courier New" w:hAnsi="Courier New" w:eastAsia="仿宋_GB2312" w:cs="Courier New"/>
      <w:kern w:val="0"/>
      <w:sz w:val="24"/>
      <w:szCs w:val="20"/>
    </w:rPr>
  </w:style>
  <w:style w:type="paragraph" w:customStyle="1" w:styleId="514">
    <w:name w:val="pic-info"/>
    <w:basedOn w:val="1"/>
    <w:qFormat/>
    <w:uiPriority w:val="0"/>
    <w:pPr>
      <w:widowControl/>
      <w:spacing w:before="100" w:beforeAutospacing="1" w:after="100" w:afterAutospacing="1"/>
      <w:jc w:val="left"/>
    </w:pPr>
    <w:rPr>
      <w:rFonts w:ascii="仿宋_GB2312" w:hAnsi="仿宋_GB2312" w:eastAsia="仿宋_GB2312" w:cs="仿宋_GB2312"/>
      <w:kern w:val="0"/>
      <w:sz w:val="24"/>
    </w:rPr>
  </w:style>
  <w:style w:type="character" w:customStyle="1" w:styleId="515">
    <w:name w:val="标题6"/>
    <w:basedOn w:val="134"/>
    <w:qFormat/>
    <w:uiPriority w:val="0"/>
  </w:style>
  <w:style w:type="paragraph" w:customStyle="1" w:styleId="516">
    <w:name w:val="Char Char Char Char Char Char Char Char"/>
    <w:basedOn w:val="1"/>
    <w:next w:val="35"/>
    <w:qFormat/>
    <w:uiPriority w:val="0"/>
    <w:pPr>
      <w:spacing w:line="360" w:lineRule="auto"/>
      <w:ind w:firstLine="570"/>
    </w:pPr>
    <w:rPr>
      <w:rFonts w:ascii="仿宋_GB2312" w:hAnsi="Courier New" w:eastAsia="仿宋_GB2312" w:cs="Courier New"/>
      <w:sz w:val="28"/>
      <w:szCs w:val="20"/>
    </w:rPr>
  </w:style>
  <w:style w:type="character" w:customStyle="1" w:styleId="517">
    <w:name w:val="unnamed11"/>
    <w:qFormat/>
    <w:uiPriority w:val="0"/>
    <w:rPr>
      <w:rFonts w:hint="eastAsia" w:ascii="仿宋_GB2312" w:hAnsi="仿宋_GB2312" w:eastAsia="仿宋_GB2312"/>
      <w:sz w:val="20"/>
      <w:szCs w:val="20"/>
    </w:rPr>
  </w:style>
  <w:style w:type="character" w:customStyle="1" w:styleId="518">
    <w:name w:val="标题 Char"/>
    <w:qFormat/>
    <w:uiPriority w:val="0"/>
    <w:rPr>
      <w:rFonts w:ascii="华文中宋" w:hAnsi="华文中宋" w:eastAsia="仿宋_GB2312" w:cs="华文中宋"/>
      <w:b/>
      <w:bCs/>
      <w:kern w:val="2"/>
      <w:sz w:val="32"/>
      <w:szCs w:val="32"/>
      <w:lang w:val="en-US" w:eastAsia="zh-CN" w:bidi="ar-SA"/>
    </w:rPr>
  </w:style>
  <w:style w:type="character" w:customStyle="1" w:styleId="519">
    <w:name w:val="标题 1 Char1"/>
    <w:qFormat/>
    <w:uiPriority w:val="0"/>
    <w:rPr>
      <w:rFonts w:ascii="仿宋_GB2312" w:hAnsi="仿宋_GB2312" w:eastAsia="仿宋_GB2312"/>
      <w:b/>
      <w:color w:val="000000"/>
      <w:kern w:val="44"/>
      <w:sz w:val="28"/>
      <w:szCs w:val="28"/>
      <w:lang w:val="en-US" w:eastAsia="zh-CN" w:bidi="ar-SA"/>
    </w:rPr>
  </w:style>
  <w:style w:type="paragraph" w:customStyle="1" w:styleId="520">
    <w:name w:val="2 Char"/>
    <w:basedOn w:val="1"/>
    <w:qFormat/>
    <w:uiPriority w:val="0"/>
    <w:pPr>
      <w:spacing w:line="560" w:lineRule="exact"/>
      <w:ind w:firstLine="200" w:firstLineChars="200"/>
    </w:pPr>
    <w:rPr>
      <w:rFonts w:hAnsi="Courier New" w:cs="Courier New"/>
      <w:sz w:val="28"/>
      <w:szCs w:val="28"/>
    </w:rPr>
  </w:style>
  <w:style w:type="character" w:customStyle="1" w:styleId="521">
    <w:name w:val="Char Char Char Char1"/>
    <w:link w:val="256"/>
    <w:qFormat/>
    <w:uiPriority w:val="0"/>
    <w:rPr>
      <w:rFonts w:ascii="Courier New" w:hAnsi="Courier New" w:eastAsia="仿宋_GB2312" w:cs="Courier New"/>
      <w:kern w:val="2"/>
      <w:sz w:val="24"/>
      <w:szCs w:val="24"/>
      <w:lang w:val="en-US" w:eastAsia="zh-CN" w:bidi="ar-SA"/>
    </w:rPr>
  </w:style>
  <w:style w:type="paragraph" w:customStyle="1" w:styleId="522">
    <w:name w:val="Char Char1 Char Char Char Char"/>
    <w:basedOn w:val="1"/>
    <w:qFormat/>
    <w:uiPriority w:val="0"/>
    <w:pPr>
      <w:tabs>
        <w:tab w:val="left" w:pos="360"/>
      </w:tabs>
    </w:pPr>
    <w:rPr>
      <w:rFonts w:ascii="Courier New" w:hAnsi="Courier New" w:eastAsia="仿宋_GB2312" w:cs="Courier New"/>
      <w:sz w:val="24"/>
    </w:rPr>
  </w:style>
  <w:style w:type="character" w:customStyle="1" w:styleId="523">
    <w:name w:val="正文(首行缩进) Char"/>
    <w:link w:val="524"/>
    <w:qFormat/>
    <w:uiPriority w:val="0"/>
    <w:rPr>
      <w:rFonts w:eastAsia="仿宋_GB2312"/>
      <w:snapToGrid w:val="0"/>
      <w:sz w:val="24"/>
      <w:szCs w:val="24"/>
      <w:lang w:val="en-US" w:eastAsia="zh-CN" w:bidi="ar-SA"/>
    </w:rPr>
  </w:style>
  <w:style w:type="paragraph" w:customStyle="1" w:styleId="524">
    <w:name w:val="正文(首行缩进)"/>
    <w:basedOn w:val="1"/>
    <w:link w:val="523"/>
    <w:qFormat/>
    <w:uiPriority w:val="0"/>
    <w:pPr>
      <w:adjustRightInd w:val="0"/>
      <w:snapToGrid w:val="0"/>
      <w:spacing w:line="360" w:lineRule="auto"/>
      <w:ind w:firstLine="200" w:firstLineChars="200"/>
    </w:pPr>
    <w:rPr>
      <w:rFonts w:eastAsia="仿宋_GB2312"/>
      <w:snapToGrid w:val="0"/>
      <w:kern w:val="0"/>
      <w:sz w:val="24"/>
    </w:rPr>
  </w:style>
  <w:style w:type="paragraph" w:customStyle="1" w:styleId="525">
    <w:name w:val="表头1"/>
    <w:basedOn w:val="1"/>
    <w:next w:val="1"/>
    <w:link w:val="526"/>
    <w:qFormat/>
    <w:uiPriority w:val="0"/>
    <w:pPr>
      <w:tabs>
        <w:tab w:val="left" w:pos="605"/>
      </w:tabs>
      <w:adjustRightInd w:val="0"/>
      <w:snapToGrid w:val="0"/>
      <w:jc w:val="center"/>
    </w:pPr>
    <w:rPr>
      <w:rFonts w:ascii="Courier New" w:hAnsi="Courier New" w:eastAsia="Arial Unicode MS" w:cs="Courier New"/>
      <w:kern w:val="0"/>
      <w:szCs w:val="28"/>
    </w:rPr>
  </w:style>
  <w:style w:type="character" w:customStyle="1" w:styleId="526">
    <w:name w:val="表头1 Char"/>
    <w:link w:val="525"/>
    <w:qFormat/>
    <w:uiPriority w:val="0"/>
    <w:rPr>
      <w:rFonts w:ascii="Courier New" w:hAnsi="Courier New" w:eastAsia="Arial Unicode MS" w:cs="Courier New"/>
      <w:sz w:val="21"/>
      <w:szCs w:val="28"/>
      <w:lang w:val="en-US" w:eastAsia="zh-CN" w:bidi="ar-SA"/>
    </w:rPr>
  </w:style>
  <w:style w:type="character" w:customStyle="1" w:styleId="527">
    <w:name w:val="普通文字 Char2"/>
    <w:qFormat/>
    <w:uiPriority w:val="0"/>
    <w:rPr>
      <w:rFonts w:eastAsia="仿宋_GB2312"/>
      <w:spacing w:val="8"/>
      <w:kern w:val="2"/>
      <w:sz w:val="24"/>
      <w:lang w:val="en-US" w:eastAsia="zh-CN" w:bidi="ar-SA"/>
    </w:rPr>
  </w:style>
  <w:style w:type="paragraph" w:customStyle="1" w:styleId="528">
    <w:name w:val="Char Char Char1 Char Char Char1 Char Char Char Char Char Char1 Char Char Char1 Char"/>
    <w:basedOn w:val="1"/>
    <w:semiHidden/>
    <w:qFormat/>
    <w:uiPriority w:val="0"/>
    <w:rPr>
      <w:rFonts w:ascii="Courier New" w:hAnsi="Courier New" w:eastAsia="仿宋_GB2312" w:cs="Courier New"/>
    </w:rPr>
  </w:style>
  <w:style w:type="paragraph" w:customStyle="1" w:styleId="529">
    <w:name w:val="表内式样"/>
    <w:semiHidden/>
    <w:qFormat/>
    <w:uiPriority w:val="0"/>
    <w:pPr>
      <w:keepLines/>
      <w:widowControl w:val="0"/>
      <w:kinsoku w:val="0"/>
      <w:overflowPunct w:val="0"/>
      <w:adjustRightInd w:val="0"/>
      <w:spacing w:line="360" w:lineRule="atLeast"/>
      <w:jc w:val="center"/>
    </w:pPr>
    <w:rPr>
      <w:rFonts w:ascii="仿宋_GB2312" w:hAnsi="Courier New" w:eastAsia="仿宋_GB2312" w:cs="Courier New"/>
      <w:kern w:val="21"/>
      <w:sz w:val="21"/>
      <w:lang w:val="en-US" w:eastAsia="zh-CN" w:bidi="ar-SA"/>
    </w:rPr>
  </w:style>
  <w:style w:type="paragraph" w:customStyle="1" w:styleId="530">
    <w:name w:val="表体"/>
    <w:basedOn w:val="1"/>
    <w:semiHidden/>
    <w:qFormat/>
    <w:uiPriority w:val="0"/>
    <w:pPr>
      <w:overflowPunct w:val="0"/>
      <w:adjustRightInd w:val="0"/>
      <w:spacing w:line="300" w:lineRule="atLeast"/>
      <w:jc w:val="center"/>
      <w:textAlignment w:val="baseline"/>
    </w:pPr>
    <w:rPr>
      <w:rFonts w:ascii="Courier New" w:hAnsi="Courier New" w:eastAsia="仿宋_GB2312" w:cs="Courier New"/>
      <w:color w:val="000000"/>
      <w:kern w:val="24"/>
      <w:sz w:val="18"/>
      <w:szCs w:val="20"/>
    </w:rPr>
  </w:style>
  <w:style w:type="paragraph" w:customStyle="1" w:styleId="531">
    <w:name w:val="表中"/>
    <w:semiHidden/>
    <w:qFormat/>
    <w:uiPriority w:val="0"/>
    <w:pPr>
      <w:adjustRightInd w:val="0"/>
      <w:snapToGrid w:val="0"/>
      <w:jc w:val="center"/>
    </w:pPr>
    <w:rPr>
      <w:rFonts w:ascii="Courier New" w:hAnsi="Courier New" w:eastAsia="仿宋_GB2312" w:cs="Courier New"/>
      <w:kern w:val="44"/>
      <w:sz w:val="18"/>
      <w:lang w:val="en-US" w:eastAsia="zh-CN" w:bidi="ar-SA"/>
    </w:rPr>
  </w:style>
  <w:style w:type="paragraph" w:customStyle="1" w:styleId="532">
    <w:name w:val="段落"/>
    <w:basedOn w:val="1"/>
    <w:semiHidden/>
    <w:qFormat/>
    <w:uiPriority w:val="0"/>
    <w:pPr>
      <w:spacing w:line="360" w:lineRule="auto"/>
      <w:ind w:firstLine="200" w:firstLineChars="200"/>
    </w:pPr>
    <w:rPr>
      <w:rFonts w:ascii="Courier New" w:hAnsi="Courier New" w:eastAsia="仿宋_GB2312" w:cs="Courier New"/>
      <w:sz w:val="24"/>
    </w:rPr>
  </w:style>
  <w:style w:type="paragraph" w:customStyle="1" w:styleId="533">
    <w:name w:val="封面正文"/>
    <w:semiHidden/>
    <w:qFormat/>
    <w:uiPriority w:val="0"/>
    <w:pPr>
      <w:jc w:val="both"/>
    </w:pPr>
    <w:rPr>
      <w:rFonts w:ascii="Courier New" w:hAnsi="Courier New" w:eastAsia="仿宋_GB2312" w:cs="Courier New"/>
      <w:lang w:val="en-US" w:eastAsia="zh-CN" w:bidi="ar-SA"/>
    </w:rPr>
  </w:style>
  <w:style w:type="paragraph" w:customStyle="1" w:styleId="534">
    <w:name w:val="框图格式2"/>
    <w:basedOn w:val="1"/>
    <w:semiHidden/>
    <w:qFormat/>
    <w:uiPriority w:val="0"/>
    <w:rPr>
      <w:rFonts w:ascii="Courier New" w:hAnsi="Courier New" w:eastAsia="仿宋_GB2312" w:cs="Courier New"/>
      <w:sz w:val="18"/>
    </w:rPr>
  </w:style>
  <w:style w:type="paragraph" w:customStyle="1" w:styleId="535">
    <w:name w:val="框图内容"/>
    <w:basedOn w:val="1"/>
    <w:semiHidden/>
    <w:qFormat/>
    <w:uiPriority w:val="0"/>
    <w:pPr>
      <w:jc w:val="center"/>
    </w:pPr>
    <w:rPr>
      <w:rFonts w:ascii="仿宋_GB2312" w:hAnsi="Courier New" w:eastAsia="仿宋_GB2312" w:cs="Courier New"/>
      <w:lang w:val="en-GB"/>
    </w:rPr>
  </w:style>
  <w:style w:type="paragraph" w:customStyle="1" w:styleId="536">
    <w:name w:val="流程图"/>
    <w:basedOn w:val="1"/>
    <w:semiHidden/>
    <w:qFormat/>
    <w:uiPriority w:val="0"/>
    <w:rPr>
      <w:rFonts w:ascii="Courier New" w:hAnsi="Courier New" w:eastAsia="仿宋_GB2312" w:cs="Courier New"/>
      <w:szCs w:val="18"/>
    </w:rPr>
  </w:style>
  <w:style w:type="character" w:customStyle="1" w:styleId="537">
    <w:name w:val="正文(首行缩进) Char Char"/>
    <w:semiHidden/>
    <w:qFormat/>
    <w:uiPriority w:val="0"/>
    <w:rPr>
      <w:rFonts w:eastAsia="仿宋_GB2312"/>
      <w:snapToGrid w:val="0"/>
      <w:color w:val="000000"/>
      <w:sz w:val="24"/>
      <w:szCs w:val="24"/>
      <w:lang w:val="en-US" w:eastAsia="zh-CN" w:bidi="ar-SA"/>
    </w:rPr>
  </w:style>
  <w:style w:type="paragraph" w:customStyle="1" w:styleId="538">
    <w:name w:val="正文999"/>
    <w:basedOn w:val="1"/>
    <w:semiHidden/>
    <w:qFormat/>
    <w:uiPriority w:val="0"/>
    <w:pPr>
      <w:spacing w:line="360" w:lineRule="auto"/>
      <w:ind w:firstLine="480" w:firstLineChars="200"/>
    </w:pPr>
    <w:rPr>
      <w:rFonts w:ascii="仿宋_GB2312" w:hAnsi="仿宋_GB2312" w:eastAsia="仿宋_GB2312" w:cs="Courier New"/>
      <w:sz w:val="24"/>
    </w:rPr>
  </w:style>
  <w:style w:type="table" w:customStyle="1" w:styleId="539">
    <w:name w:val="ljw"/>
    <w:basedOn w:val="91"/>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Pr>
  </w:style>
  <w:style w:type="paragraph" w:customStyle="1" w:styleId="540">
    <w:name w:val="1正文段落"/>
    <w:basedOn w:val="1"/>
    <w:link w:val="648"/>
    <w:semiHidden/>
    <w:qFormat/>
    <w:uiPriority w:val="0"/>
    <w:pPr>
      <w:spacing w:line="360" w:lineRule="auto"/>
      <w:ind w:firstLine="480" w:firstLineChars="200"/>
      <w:jc w:val="left"/>
    </w:pPr>
    <w:rPr>
      <w:rFonts w:ascii="Courier New" w:hAnsi="Courier New" w:eastAsia="仿宋_GB2312" w:cs="Courier New"/>
      <w:snapToGrid w:val="0"/>
      <w:kern w:val="0"/>
      <w:sz w:val="24"/>
    </w:rPr>
  </w:style>
  <w:style w:type="paragraph" w:customStyle="1" w:styleId="541">
    <w:name w:val="表格中"/>
    <w:basedOn w:val="1"/>
    <w:semiHidden/>
    <w:qFormat/>
    <w:uiPriority w:val="0"/>
    <w:pPr>
      <w:spacing w:line="280" w:lineRule="exact"/>
      <w:jc w:val="center"/>
    </w:pPr>
    <w:rPr>
      <w:rFonts w:ascii="仿宋_GB2312" w:hAnsi="Courier New" w:eastAsia="仿宋_GB2312" w:cs="Courier New"/>
      <w:sz w:val="18"/>
    </w:rPr>
  </w:style>
  <w:style w:type="paragraph" w:customStyle="1" w:styleId="542">
    <w:name w:val="Char Char Char1 Char Char Char Char"/>
    <w:basedOn w:val="1"/>
    <w:next w:val="1"/>
    <w:semiHidden/>
    <w:qFormat/>
    <w:uiPriority w:val="0"/>
    <w:pPr>
      <w:spacing w:line="360" w:lineRule="auto"/>
      <w:ind w:firstLine="200" w:firstLineChars="200"/>
    </w:pPr>
    <w:rPr>
      <w:rFonts w:ascii="仿宋_GB2312" w:hAnsi="仿宋_GB2312" w:eastAsia="MingLiU" w:cs="仿宋_GB2312"/>
      <w:sz w:val="24"/>
    </w:rPr>
  </w:style>
  <w:style w:type="paragraph" w:customStyle="1" w:styleId="543">
    <w:name w:val="表、图名"/>
    <w:basedOn w:val="286"/>
    <w:link w:val="632"/>
    <w:semiHidden/>
    <w:qFormat/>
    <w:uiPriority w:val="0"/>
    <w:pPr>
      <w:spacing w:beforeLines="0" w:afterLines="0" w:line="240" w:lineRule="auto"/>
      <w:ind w:firstLine="240" w:firstLineChars="100"/>
      <w:jc w:val="both"/>
    </w:pPr>
    <w:rPr>
      <w:rFonts w:ascii="Courier New" w:hAnsi="Courier New" w:cs="Courier New"/>
      <w:b w:val="0"/>
      <w:kern w:val="0"/>
      <w:sz w:val="24"/>
      <w:szCs w:val="24"/>
    </w:rPr>
  </w:style>
  <w:style w:type="paragraph" w:customStyle="1" w:styleId="544">
    <w:name w:val="表名1"/>
    <w:basedOn w:val="251"/>
    <w:semiHidden/>
    <w:qFormat/>
    <w:uiPriority w:val="0"/>
    <w:pPr>
      <w:keepNext/>
      <w:topLinePunct w:val="0"/>
      <w:spacing w:line="240" w:lineRule="auto"/>
      <w:textAlignment w:val="baseline"/>
      <w:outlineLvl w:val="9"/>
    </w:pPr>
    <w:rPr>
      <w:rFonts w:eastAsia="Arial Unicode MS"/>
      <w:b w:val="0"/>
      <w:bCs w:val="0"/>
      <w:kern w:val="24"/>
      <w:sz w:val="21"/>
      <w:szCs w:val="21"/>
    </w:rPr>
  </w:style>
  <w:style w:type="paragraph" w:customStyle="1" w:styleId="545">
    <w:name w:val="表左"/>
    <w:basedOn w:val="1"/>
    <w:semiHidden/>
    <w:qFormat/>
    <w:uiPriority w:val="0"/>
    <w:pPr>
      <w:spacing w:line="280" w:lineRule="exact"/>
      <w:jc w:val="left"/>
    </w:pPr>
    <w:rPr>
      <w:rFonts w:ascii="仿宋_GB2312" w:hAnsi="Courier New" w:eastAsia="仿宋_GB2312" w:cs="Courier New"/>
      <w:color w:val="000000"/>
      <w:sz w:val="18"/>
    </w:rPr>
  </w:style>
  <w:style w:type="paragraph" w:customStyle="1" w:styleId="546">
    <w:name w:val="正文(首行缩进)宋旭峰"/>
    <w:basedOn w:val="2"/>
    <w:link w:val="642"/>
    <w:semiHidden/>
    <w:qFormat/>
    <w:uiPriority w:val="0"/>
    <w:pPr>
      <w:spacing w:beforeLines="50" w:afterLines="50"/>
      <w:ind w:firstLine="440" w:firstLineChars="200"/>
      <w:contextualSpacing/>
    </w:pPr>
    <w:rPr>
      <w:rFonts w:ascii="Courier New" w:hAnsi="Courier New" w:eastAsia="仿宋_GB2312" w:cs="Courier New"/>
      <w:snapToGrid w:val="0"/>
      <w:kern w:val="0"/>
      <w:szCs w:val="24"/>
    </w:rPr>
  </w:style>
  <w:style w:type="paragraph" w:customStyle="1" w:styleId="547">
    <w:name w:val="目录1"/>
    <w:basedOn w:val="60"/>
    <w:next w:val="60"/>
    <w:semiHidden/>
    <w:qFormat/>
    <w:uiPriority w:val="0"/>
    <w:pPr>
      <w:widowControl/>
      <w:tabs>
        <w:tab w:val="left" w:leader="dot" w:pos="8492"/>
        <w:tab w:val="right" w:leader="dot" w:pos="8525"/>
      </w:tabs>
      <w:adjustRightInd w:val="0"/>
      <w:spacing w:before="0" w:afterLines="50" w:line="360" w:lineRule="auto"/>
      <w:textAlignment w:val="baseline"/>
    </w:pPr>
    <w:rPr>
      <w:rFonts w:ascii="仿宋_GB2312" w:hAnsi="Courier New" w:eastAsia="仿宋_GB2312" w:cs="Courier New"/>
      <w:b w:val="0"/>
      <w:bCs w:val="0"/>
      <w:color w:val="000000"/>
      <w:kern w:val="0"/>
      <w:sz w:val="24"/>
      <w:szCs w:val="21"/>
      <w:u w:color="000000"/>
    </w:rPr>
  </w:style>
  <w:style w:type="paragraph" w:customStyle="1" w:styleId="548">
    <w:name w:val="目录2"/>
    <w:basedOn w:val="75"/>
    <w:next w:val="1"/>
    <w:semiHidden/>
    <w:qFormat/>
    <w:uiPriority w:val="0"/>
    <w:pPr>
      <w:widowControl/>
      <w:tabs>
        <w:tab w:val="left" w:leader="dot" w:pos="8492"/>
      </w:tabs>
      <w:adjustRightInd w:val="0"/>
      <w:spacing w:beforeLines="50"/>
      <w:ind w:left="0" w:firstLine="420"/>
      <w:jc w:val="both"/>
      <w:textAlignment w:val="baseline"/>
    </w:pPr>
    <w:rPr>
      <w:rFonts w:ascii="仿宋_GB2312" w:hAnsi="华文中宋" w:eastAsia="仿宋_GB2312" w:cs="Courier New"/>
      <w:color w:val="000000"/>
      <w:kern w:val="0"/>
      <w:sz w:val="21"/>
      <w:u w:color="000000"/>
    </w:rPr>
  </w:style>
  <w:style w:type="paragraph" w:customStyle="1" w:styleId="549">
    <w:name w:val="目录3"/>
    <w:basedOn w:val="1"/>
    <w:next w:val="1"/>
    <w:semiHidden/>
    <w:qFormat/>
    <w:uiPriority w:val="0"/>
    <w:pPr>
      <w:widowControl/>
      <w:tabs>
        <w:tab w:val="left" w:leader="dot" w:pos="8492"/>
      </w:tabs>
      <w:spacing w:line="748" w:lineRule="atLeast"/>
      <w:ind w:left="419" w:firstLine="419"/>
    </w:pPr>
    <w:rPr>
      <w:rFonts w:ascii="仿宋_GB2312" w:hAnsi="Courier New" w:eastAsia="仿宋_GB2312" w:cs="Courier New"/>
      <w:color w:val="000000"/>
      <w:kern w:val="0"/>
      <w:szCs w:val="20"/>
      <w:u w:color="000000"/>
    </w:rPr>
  </w:style>
  <w:style w:type="character" w:customStyle="1" w:styleId="550">
    <w:name w:val="标题 4 Char Char1"/>
    <w:qFormat/>
    <w:uiPriority w:val="0"/>
    <w:rPr>
      <w:rFonts w:eastAsia="仿宋_GB2312"/>
      <w:b/>
      <w:sz w:val="28"/>
      <w:lang w:val="en-US" w:eastAsia="zh-CN" w:bidi="ar-SA"/>
    </w:rPr>
  </w:style>
  <w:style w:type="paragraph" w:customStyle="1" w:styleId="551">
    <w:name w:val="文本匡小五号 Char"/>
    <w:semiHidden/>
    <w:qFormat/>
    <w:uiPriority w:val="0"/>
    <w:pPr>
      <w:snapToGrid w:val="0"/>
      <w:spacing w:line="100" w:lineRule="atLeast"/>
      <w:jc w:val="center"/>
    </w:pPr>
    <w:rPr>
      <w:rFonts w:ascii="Courier New" w:hAnsi="Courier New" w:eastAsia="宋体" w:cs="Courier New"/>
      <w:snapToGrid w:val="0"/>
      <w:sz w:val="21"/>
      <w:szCs w:val="21"/>
      <w:lang w:val="en-US" w:eastAsia="zh-CN" w:bidi="ar-SA"/>
    </w:rPr>
  </w:style>
  <w:style w:type="paragraph" w:customStyle="1" w:styleId="552">
    <w:name w:val="文本匡小五号 Char Char"/>
    <w:semiHidden/>
    <w:qFormat/>
    <w:uiPriority w:val="0"/>
    <w:pPr>
      <w:jc w:val="center"/>
    </w:pPr>
    <w:rPr>
      <w:rFonts w:ascii="Courier New" w:hAnsi="Courier New" w:eastAsia="宋体" w:cs="Courier New"/>
      <w:sz w:val="18"/>
      <w:szCs w:val="24"/>
      <w:lang w:val="en-US" w:eastAsia="zh-CN" w:bidi="ar-SA"/>
    </w:rPr>
  </w:style>
  <w:style w:type="character" w:customStyle="1" w:styleId="553">
    <w:name w:val="文本匡小五号 Char Char Char"/>
    <w:semiHidden/>
    <w:qFormat/>
    <w:uiPriority w:val="0"/>
    <w:rPr>
      <w:rFonts w:ascii="仿宋_GB2312" w:hAnsi="仿宋_GB2312" w:cs="ˎ̥"/>
      <w:kern w:val="2"/>
      <w:sz w:val="18"/>
      <w:szCs w:val="24"/>
      <w:lang w:val="en-US" w:eastAsia="zh-CN" w:bidi="ar-SA"/>
    </w:rPr>
  </w:style>
  <w:style w:type="paragraph" w:customStyle="1" w:styleId="554">
    <w:name w:val="文本框5号两端齐"/>
    <w:basedOn w:val="1"/>
    <w:semiHidden/>
    <w:qFormat/>
    <w:uiPriority w:val="0"/>
    <w:pPr>
      <w:widowControl/>
    </w:pPr>
    <w:rPr>
      <w:rFonts w:ascii="Courier New" w:hAnsi="Courier New" w:cs="Courier New"/>
      <w:szCs w:val="21"/>
    </w:rPr>
  </w:style>
  <w:style w:type="paragraph" w:customStyle="1" w:styleId="555">
    <w:name w:val="文本框文字"/>
    <w:basedOn w:val="1"/>
    <w:semiHidden/>
    <w:qFormat/>
    <w:uiPriority w:val="0"/>
    <w:pPr>
      <w:adjustRightInd w:val="0"/>
      <w:jc w:val="center"/>
      <w:textAlignment w:val="baseline"/>
    </w:pPr>
    <w:rPr>
      <w:rFonts w:ascii="Courier New" w:hAnsi="Courier New" w:eastAsia="仿宋_GB2312" w:cs="Courier New"/>
      <w:kern w:val="0"/>
      <w:szCs w:val="20"/>
    </w:rPr>
  </w:style>
  <w:style w:type="paragraph" w:customStyle="1" w:styleId="556">
    <w:name w:val="文本框五号"/>
    <w:semiHidden/>
    <w:qFormat/>
    <w:uiPriority w:val="0"/>
    <w:pPr>
      <w:adjustRightInd w:val="0"/>
      <w:spacing w:line="240" w:lineRule="atLeast"/>
      <w:jc w:val="center"/>
    </w:pPr>
    <w:rPr>
      <w:rFonts w:ascii="Courier New" w:hAnsi="Courier New" w:eastAsia="宋体" w:cs="Courier New"/>
      <w:snapToGrid w:val="0"/>
      <w:kern w:val="2"/>
      <w:sz w:val="21"/>
      <w:szCs w:val="21"/>
      <w:lang w:val="en-US" w:eastAsia="zh-CN" w:bidi="ar-SA"/>
    </w:rPr>
  </w:style>
  <w:style w:type="paragraph" w:customStyle="1" w:styleId="557">
    <w:name w:val="文本框五号 Char"/>
    <w:semiHidden/>
    <w:qFormat/>
    <w:uiPriority w:val="0"/>
    <w:pPr>
      <w:jc w:val="center"/>
    </w:pPr>
    <w:rPr>
      <w:rFonts w:ascii="Courier New" w:hAnsi="Courier New" w:eastAsia="宋体" w:cs="Courier New"/>
      <w:kern w:val="2"/>
      <w:sz w:val="21"/>
      <w:szCs w:val="21"/>
      <w:lang w:val="en-US" w:eastAsia="zh-CN" w:bidi="ar-SA"/>
    </w:rPr>
  </w:style>
  <w:style w:type="character" w:customStyle="1" w:styleId="558">
    <w:name w:val="文本框五号 Char Char Char"/>
    <w:semiHidden/>
    <w:qFormat/>
    <w:uiPriority w:val="0"/>
    <w:rPr>
      <w:rFonts w:ascii="仿宋_GB2312" w:hAnsi="仿宋_GB2312" w:cs="ˎ̥"/>
      <w:kern w:val="2"/>
      <w:sz w:val="21"/>
      <w:szCs w:val="21"/>
      <w:lang w:val="en-US" w:eastAsia="zh-CN" w:bidi="ar-SA"/>
    </w:rPr>
  </w:style>
  <w:style w:type="character" w:customStyle="1" w:styleId="559">
    <w:name w:val="文本框五号 Char Char Char Char"/>
    <w:semiHidden/>
    <w:qFormat/>
    <w:uiPriority w:val="0"/>
    <w:rPr>
      <w:rFonts w:ascii="仿宋_GB2312" w:hAnsi="仿宋_GB2312" w:cs="ˎ̥"/>
      <w:kern w:val="2"/>
      <w:sz w:val="21"/>
      <w:szCs w:val="21"/>
      <w:lang w:val="en-US" w:eastAsia="zh-CN" w:bidi="ar-SA"/>
    </w:rPr>
  </w:style>
  <w:style w:type="paragraph" w:customStyle="1" w:styleId="560">
    <w:name w:val="文本框五号1.5倍行距"/>
    <w:basedOn w:val="557"/>
    <w:semiHidden/>
    <w:qFormat/>
    <w:uiPriority w:val="0"/>
    <w:pPr>
      <w:spacing w:line="360" w:lineRule="auto"/>
    </w:pPr>
  </w:style>
  <w:style w:type="character" w:customStyle="1" w:styleId="561">
    <w:name w:val="文本框五号1.5倍行距 Char Char"/>
    <w:semiHidden/>
    <w:qFormat/>
    <w:uiPriority w:val="0"/>
    <w:rPr>
      <w:rFonts w:ascii="仿宋_GB2312" w:hAnsi="仿宋_GB2312" w:cs="ˎ̥"/>
      <w:kern w:val="2"/>
      <w:sz w:val="21"/>
      <w:szCs w:val="21"/>
      <w:lang w:val="en-US" w:eastAsia="zh-CN" w:bidi="ar-SA"/>
    </w:rPr>
  </w:style>
  <w:style w:type="character" w:customStyle="1" w:styleId="562">
    <w:name w:val="文本框小四 Char Char"/>
    <w:semiHidden/>
    <w:qFormat/>
    <w:uiPriority w:val="0"/>
    <w:rPr>
      <w:rFonts w:ascii="仿宋_GB2312" w:hAnsi="仿宋_GB2312" w:cs="ˎ̥"/>
      <w:kern w:val="2"/>
      <w:sz w:val="24"/>
      <w:szCs w:val="24"/>
      <w:lang w:val="en-US" w:eastAsia="zh-CN" w:bidi="ar-SA"/>
    </w:rPr>
  </w:style>
  <w:style w:type="character" w:customStyle="1" w:styleId="563">
    <w:name w:val="样式 (西文) 宋体 (中文) 仿宋_GB2312 黑色"/>
    <w:semiHidden/>
    <w:qFormat/>
    <w:uiPriority w:val="0"/>
    <w:rPr>
      <w:rFonts w:ascii="Courier New" w:hAnsi="Courier New" w:cs="ˎ̥"/>
      <w:color w:val="000000"/>
      <w:kern w:val="2"/>
      <w:sz w:val="32"/>
      <w:szCs w:val="32"/>
      <w:lang w:val="en-US" w:eastAsia="zh-CN" w:bidi="ar-SA"/>
    </w:rPr>
  </w:style>
  <w:style w:type="paragraph" w:customStyle="1" w:styleId="564">
    <w:name w:val="样式 标题 2 + 段后: 0.5 行"/>
    <w:basedOn w:val="6"/>
    <w:semiHidden/>
    <w:qFormat/>
    <w:uiPriority w:val="0"/>
    <w:pPr>
      <w:keepNext w:val="0"/>
      <w:keepLines w:val="0"/>
      <w:numPr>
        <w:ilvl w:val="0"/>
        <w:numId w:val="0"/>
      </w:numPr>
      <w:tabs>
        <w:tab w:val="left" w:pos="630"/>
        <w:tab w:val="left" w:pos="840"/>
        <w:tab w:val="left" w:pos="1287"/>
        <w:tab w:val="left" w:pos="3920"/>
        <w:tab w:val="left" w:pos="5670"/>
      </w:tabs>
      <w:snapToGrid w:val="0"/>
      <w:spacing w:before="60" w:after="0" w:line="240" w:lineRule="auto"/>
      <w:ind w:firstLine="567"/>
      <w:jc w:val="both"/>
      <w:textAlignment w:val="auto"/>
    </w:pPr>
    <w:rPr>
      <w:rFonts w:ascii="Courier New" w:hAnsi="Courier New" w:cs="Courier New"/>
      <w:color w:val="000000"/>
      <w:kern w:val="2"/>
      <w:sz w:val="30"/>
      <w:szCs w:val="32"/>
    </w:rPr>
  </w:style>
  <w:style w:type="character" w:customStyle="1" w:styleId="565">
    <w:name w:val="样式 仿宋_GB2312 小四 黑色"/>
    <w:semiHidden/>
    <w:qFormat/>
    <w:uiPriority w:val="0"/>
    <w:rPr>
      <w:rFonts w:ascii="Courier New" w:hAnsi="Courier New" w:cs="ˎ̥"/>
      <w:color w:val="000000"/>
      <w:kern w:val="2"/>
      <w:sz w:val="24"/>
      <w:szCs w:val="24"/>
      <w:lang w:val="en-US" w:eastAsia="zh-CN" w:bidi="ar-SA"/>
    </w:rPr>
  </w:style>
  <w:style w:type="paragraph" w:customStyle="1" w:styleId="566">
    <w:name w:val="样式 仿宋_GB2312 小四1"/>
    <w:basedOn w:val="1"/>
    <w:semiHidden/>
    <w:qFormat/>
    <w:uiPriority w:val="0"/>
    <w:pPr>
      <w:adjustRightInd w:val="0"/>
      <w:spacing w:line="360" w:lineRule="auto"/>
      <w:ind w:firstLine="480" w:firstLineChars="200"/>
      <w:textAlignment w:val="baseline"/>
    </w:pPr>
    <w:rPr>
      <w:rFonts w:ascii="Courier New" w:hAnsi="Courier New" w:cs="Courier New"/>
      <w:kern w:val="0"/>
      <w:sz w:val="24"/>
    </w:rPr>
  </w:style>
  <w:style w:type="character" w:customStyle="1" w:styleId="567">
    <w:name w:val="样式 仿宋_GB2312 小四2"/>
    <w:semiHidden/>
    <w:qFormat/>
    <w:uiPriority w:val="0"/>
    <w:rPr>
      <w:rFonts w:ascii="Courier New" w:hAnsi="Courier New" w:cs="ˎ̥"/>
      <w:kern w:val="2"/>
      <w:sz w:val="24"/>
      <w:szCs w:val="24"/>
      <w:lang w:val="en-US" w:eastAsia="zh-CN" w:bidi="ar-SA"/>
    </w:rPr>
  </w:style>
  <w:style w:type="paragraph" w:customStyle="1" w:styleId="568">
    <w:name w:val="样式 图表 + 首行缩进:  2 字符1"/>
    <w:basedOn w:val="1"/>
    <w:semiHidden/>
    <w:qFormat/>
    <w:uiPriority w:val="0"/>
    <w:pPr>
      <w:adjustRightInd w:val="0"/>
      <w:snapToGrid w:val="0"/>
      <w:spacing w:beforeLines="20" w:afterLines="20"/>
      <w:ind w:left="-102" w:leftChars="-50" w:right="-105" w:rightChars="-50" w:hanging="3"/>
      <w:jc w:val="center"/>
    </w:pPr>
    <w:rPr>
      <w:rFonts w:ascii="Courier New" w:hAnsi="Courier New" w:cs="Courier New"/>
      <w:color w:val="000000"/>
    </w:rPr>
  </w:style>
  <w:style w:type="paragraph" w:customStyle="1" w:styleId="569">
    <w:name w:val="样式 正文缩进正文（首行缩进两字）正文（首行缩进两字） Char Char Char Char Char Char Char..."/>
    <w:basedOn w:val="2"/>
    <w:semiHidden/>
    <w:qFormat/>
    <w:uiPriority w:val="0"/>
    <w:pPr>
      <w:tabs>
        <w:tab w:val="left" w:pos="3360"/>
      </w:tabs>
      <w:adjustRightInd w:val="0"/>
      <w:snapToGrid w:val="0"/>
      <w:ind w:firstLine="480" w:firstLineChars="200"/>
      <w:textAlignment w:val="baseline"/>
    </w:pPr>
    <w:rPr>
      <w:rFonts w:ascii="华文楷体" w:hAnsi="Courier New" w:eastAsia="华文楷体" w:cs="Courier New"/>
      <w:snapToGrid w:val="0"/>
      <w:kern w:val="0"/>
      <w:szCs w:val="24"/>
    </w:rPr>
  </w:style>
  <w:style w:type="paragraph" w:customStyle="1" w:styleId="570">
    <w:name w:val="样式19"/>
    <w:basedOn w:val="6"/>
    <w:semiHidden/>
    <w:qFormat/>
    <w:uiPriority w:val="0"/>
    <w:pPr>
      <w:keepNext w:val="0"/>
      <w:keepLines w:val="0"/>
      <w:numPr>
        <w:ilvl w:val="0"/>
        <w:numId w:val="0"/>
      </w:numPr>
      <w:tabs>
        <w:tab w:val="left" w:pos="630"/>
        <w:tab w:val="left" w:pos="840"/>
        <w:tab w:val="left" w:pos="1287"/>
        <w:tab w:val="left" w:pos="3920"/>
        <w:tab w:val="left" w:pos="5670"/>
      </w:tabs>
      <w:adjustRightInd/>
      <w:snapToGrid w:val="0"/>
      <w:spacing w:before="60" w:after="60" w:line="520" w:lineRule="exact"/>
      <w:ind w:firstLine="567"/>
      <w:jc w:val="both"/>
      <w:textAlignment w:val="auto"/>
    </w:pPr>
    <w:rPr>
      <w:rFonts w:ascii="Courier New" w:hAnsi="Courier New" w:eastAsia="Courier" w:cs="Courier New"/>
      <w:bCs/>
      <w:color w:val="000000"/>
      <w:sz w:val="30"/>
      <w:szCs w:val="30"/>
    </w:rPr>
  </w:style>
  <w:style w:type="paragraph" w:customStyle="1" w:styleId="571">
    <w:name w:val="依据文字"/>
    <w:basedOn w:val="88"/>
    <w:semiHidden/>
    <w:qFormat/>
    <w:uiPriority w:val="0"/>
    <w:pPr>
      <w:tabs>
        <w:tab w:val="left" w:pos="420"/>
        <w:tab w:val="left" w:pos="870"/>
        <w:tab w:val="left" w:pos="3150"/>
      </w:tabs>
      <w:autoSpaceDE w:val="0"/>
      <w:autoSpaceDN w:val="0"/>
      <w:adjustRightInd w:val="0"/>
      <w:snapToGrid w:val="0"/>
      <w:spacing w:before="60" w:after="0" w:line="336" w:lineRule="auto"/>
      <w:ind w:left="0" w:leftChars="0" w:firstLine="527" w:firstLineChars="0"/>
      <w:textAlignment w:val="baseline"/>
    </w:pPr>
    <w:rPr>
      <w:rFonts w:ascii="仿宋_GB2312"/>
      <w:sz w:val="24"/>
      <w:szCs w:val="20"/>
    </w:rPr>
  </w:style>
  <w:style w:type="paragraph" w:customStyle="1" w:styleId="572">
    <w:name w:val="右侧"/>
    <w:semiHidden/>
    <w:qFormat/>
    <w:uiPriority w:val="0"/>
    <w:pPr>
      <w:spacing w:line="280" w:lineRule="exact"/>
      <w:jc w:val="right"/>
    </w:pPr>
    <w:rPr>
      <w:rFonts w:ascii="Calibri" w:hAnsi="Calibri" w:eastAsia="仿宋_GB2312" w:cs="Courier New"/>
      <w:color w:val="000000"/>
      <w:sz w:val="18"/>
      <w:lang w:val="en-US" w:eastAsia="zh-CN" w:bidi="ar-SA"/>
    </w:rPr>
  </w:style>
  <w:style w:type="paragraph" w:customStyle="1" w:styleId="573">
    <w:name w:val="右五"/>
    <w:basedOn w:val="574"/>
    <w:next w:val="1"/>
    <w:semiHidden/>
    <w:qFormat/>
    <w:uiPriority w:val="0"/>
    <w:pPr>
      <w:jc w:val="right"/>
    </w:pPr>
  </w:style>
  <w:style w:type="paragraph" w:customStyle="1" w:styleId="574">
    <w:name w:val="左五"/>
    <w:basedOn w:val="1"/>
    <w:semiHidden/>
    <w:qFormat/>
    <w:uiPriority w:val="0"/>
    <w:pPr>
      <w:adjustRightInd w:val="0"/>
      <w:snapToGrid w:val="0"/>
      <w:spacing w:line="280" w:lineRule="exact"/>
      <w:jc w:val="left"/>
    </w:pPr>
    <w:rPr>
      <w:rFonts w:ascii="仿宋_GB2312" w:hAnsi="Cambria" w:eastAsia="仿宋_GB2312" w:cs="Courier New"/>
      <w:color w:val="000000"/>
      <w:sz w:val="18"/>
    </w:rPr>
  </w:style>
  <w:style w:type="paragraph" w:customStyle="1" w:styleId="575">
    <w:name w:val="湛江码头表"/>
    <w:basedOn w:val="1"/>
    <w:semiHidden/>
    <w:qFormat/>
    <w:uiPriority w:val="0"/>
    <w:pPr>
      <w:jc w:val="center"/>
    </w:pPr>
    <w:rPr>
      <w:rFonts w:ascii="Courier New" w:hAnsi="Courier New" w:cs="Courier New"/>
      <w:kern w:val="0"/>
      <w:lang w:eastAsia="zh-TW"/>
    </w:rPr>
  </w:style>
  <w:style w:type="paragraph" w:customStyle="1" w:styleId="576">
    <w:name w:val="正文2"/>
    <w:link w:val="814"/>
    <w:semiHidden/>
    <w:qFormat/>
    <w:uiPriority w:val="0"/>
    <w:pPr>
      <w:tabs>
        <w:tab w:val="right" w:pos="1474"/>
      </w:tabs>
      <w:spacing w:line="360" w:lineRule="auto"/>
    </w:pPr>
    <w:rPr>
      <w:rFonts w:ascii="Courier New" w:hAnsi="Courier New" w:eastAsia="仿宋_GB2312" w:cs="Courier New"/>
      <w:sz w:val="24"/>
      <w:lang w:val="en-US" w:eastAsia="zh-CN" w:bidi="ar-SA"/>
    </w:rPr>
  </w:style>
  <w:style w:type="paragraph" w:customStyle="1" w:styleId="577">
    <w:name w:val="正文单倍行距"/>
    <w:basedOn w:val="1"/>
    <w:semiHidden/>
    <w:qFormat/>
    <w:uiPriority w:val="0"/>
    <w:pPr>
      <w:tabs>
        <w:tab w:val="left" w:pos="8640"/>
      </w:tabs>
      <w:snapToGrid w:val="0"/>
      <w:ind w:firstLine="200" w:firstLineChars="200"/>
    </w:pPr>
    <w:rPr>
      <w:rFonts w:ascii="Courier New" w:hAnsi="Courier New" w:cs="Courier New"/>
      <w:sz w:val="24"/>
    </w:rPr>
  </w:style>
  <w:style w:type="paragraph" w:customStyle="1" w:styleId="578">
    <w:name w:val="正文仿宋"/>
    <w:basedOn w:val="1"/>
    <w:semiHidden/>
    <w:qFormat/>
    <w:uiPriority w:val="0"/>
    <w:pPr>
      <w:adjustRightInd w:val="0"/>
      <w:snapToGrid w:val="0"/>
      <w:spacing w:line="360" w:lineRule="auto"/>
      <w:ind w:firstLine="567"/>
    </w:pPr>
    <w:rPr>
      <w:rFonts w:ascii="Courier New" w:hAnsi="Courier New" w:cs="Courier New"/>
      <w:snapToGrid w:val="0"/>
      <w:kern w:val="0"/>
      <w:sz w:val="24"/>
      <w:szCs w:val="20"/>
    </w:rPr>
  </w:style>
  <w:style w:type="paragraph" w:customStyle="1" w:styleId="579">
    <w:name w:val="正文仿宋小四"/>
    <w:basedOn w:val="1"/>
    <w:semiHidden/>
    <w:qFormat/>
    <w:uiPriority w:val="0"/>
    <w:pPr>
      <w:adjustRightInd w:val="0"/>
      <w:snapToGrid w:val="0"/>
      <w:spacing w:line="360" w:lineRule="auto"/>
      <w:ind w:firstLine="480" w:firstLineChars="200"/>
    </w:pPr>
    <w:rPr>
      <w:rFonts w:ascii="Courier New" w:hAnsi="Courier New" w:cs="Courier New"/>
      <w:sz w:val="24"/>
    </w:rPr>
  </w:style>
  <w:style w:type="paragraph" w:customStyle="1" w:styleId="580">
    <w:name w:val="正文居中"/>
    <w:basedOn w:val="87"/>
    <w:semiHidden/>
    <w:qFormat/>
    <w:uiPriority w:val="0"/>
    <w:pPr>
      <w:adjustRightInd w:val="0"/>
      <w:spacing w:before="48" w:after="0" w:line="360" w:lineRule="auto"/>
      <w:ind w:firstLine="480" w:firstLineChars="200"/>
      <w:textAlignment w:val="baseline"/>
    </w:pPr>
    <w:rPr>
      <w:kern w:val="0"/>
      <w:sz w:val="24"/>
      <w:szCs w:val="24"/>
      <w:lang w:val="zh-CN"/>
    </w:rPr>
  </w:style>
  <w:style w:type="paragraph" w:customStyle="1" w:styleId="581">
    <w:name w:val="正文首行缩进 2 + Times New Roman"/>
    <w:basedOn w:val="1"/>
    <w:qFormat/>
    <w:uiPriority w:val="0"/>
    <w:pPr>
      <w:tabs>
        <w:tab w:val="left" w:pos="0"/>
        <w:tab w:val="left" w:pos="870"/>
        <w:tab w:val="left" w:pos="3150"/>
      </w:tabs>
      <w:autoSpaceDE w:val="0"/>
      <w:autoSpaceDN w:val="0"/>
      <w:spacing w:line="312" w:lineRule="auto"/>
      <w:ind w:firstLine="480" w:firstLineChars="200"/>
    </w:pPr>
    <w:rPr>
      <w:rFonts w:ascii="Courier New" w:hAnsi="Courier New" w:eastAsia="仿宋_GB2312" w:cs="Courier New"/>
      <w:kern w:val="0"/>
      <w:sz w:val="24"/>
    </w:rPr>
  </w:style>
  <w:style w:type="character" w:customStyle="1" w:styleId="582">
    <w:name w:val="正文首行缩进 2 Char"/>
    <w:semiHidden/>
    <w:qFormat/>
    <w:uiPriority w:val="0"/>
    <w:rPr>
      <w:rFonts w:ascii="华文中宋" w:hAnsi="华文中宋" w:eastAsia="仿宋_GB2312" w:cs="ˎ̥"/>
      <w:snapToGrid w:val="0"/>
      <w:kern w:val="2"/>
      <w:sz w:val="28"/>
      <w:szCs w:val="32"/>
      <w:lang w:val="en-US" w:eastAsia="zh-CN" w:bidi="ar-SA"/>
    </w:rPr>
  </w:style>
  <w:style w:type="paragraph" w:customStyle="1" w:styleId="583">
    <w:name w:val="正文图"/>
    <w:basedOn w:val="1"/>
    <w:semiHidden/>
    <w:qFormat/>
    <w:uiPriority w:val="0"/>
    <w:pPr>
      <w:adjustRightInd w:val="0"/>
      <w:snapToGrid w:val="0"/>
      <w:spacing w:before="40"/>
      <w:jc w:val="center"/>
      <w:textAlignment w:val="baseline"/>
    </w:pPr>
    <w:rPr>
      <w:rFonts w:ascii="仿宋_GB2312" w:hAnsi="Courier New" w:eastAsia="仿宋_GB2312" w:cs="Courier New"/>
      <w:kern w:val="0"/>
      <w:sz w:val="24"/>
      <w:szCs w:val="20"/>
    </w:rPr>
  </w:style>
  <w:style w:type="paragraph" w:customStyle="1" w:styleId="584">
    <w:name w:val="正文图竖五"/>
    <w:basedOn w:val="1"/>
    <w:semiHidden/>
    <w:qFormat/>
    <w:uiPriority w:val="0"/>
    <w:pPr>
      <w:jc w:val="center"/>
    </w:pPr>
    <w:rPr>
      <w:rFonts w:ascii="Courier New" w:hAnsi="Courier New" w:cs="Courier New"/>
      <w:color w:val="000000"/>
      <w:kern w:val="0"/>
      <w:szCs w:val="21"/>
    </w:rPr>
  </w:style>
  <w:style w:type="paragraph" w:customStyle="1" w:styleId="585">
    <w:name w:val="正文图五"/>
    <w:basedOn w:val="1"/>
    <w:semiHidden/>
    <w:qFormat/>
    <w:uiPriority w:val="0"/>
    <w:pPr>
      <w:adjustRightInd w:val="0"/>
      <w:snapToGrid w:val="0"/>
      <w:jc w:val="center"/>
    </w:pPr>
    <w:rPr>
      <w:rFonts w:ascii="Courier New" w:hAnsi="Courier New" w:cs="Courier New"/>
      <w:snapToGrid w:val="0"/>
      <w:spacing w:val="6"/>
      <w:szCs w:val="20"/>
    </w:rPr>
  </w:style>
  <w:style w:type="paragraph" w:customStyle="1" w:styleId="586">
    <w:name w:val="正文图小四"/>
    <w:basedOn w:val="1"/>
    <w:semiHidden/>
    <w:qFormat/>
    <w:uiPriority w:val="0"/>
    <w:pPr>
      <w:adjustRightInd w:val="0"/>
      <w:snapToGrid w:val="0"/>
      <w:jc w:val="center"/>
      <w:textAlignment w:val="baseline"/>
    </w:pPr>
    <w:rPr>
      <w:rFonts w:ascii="仿宋_GB2312" w:hAnsi="Courier New" w:eastAsia="仿宋_GB2312" w:cs="Courier New"/>
      <w:kern w:val="0"/>
      <w:sz w:val="24"/>
    </w:rPr>
  </w:style>
  <w:style w:type="character" w:customStyle="1" w:styleId="587">
    <w:name w:val="正文文本缩进 Char"/>
    <w:qFormat/>
    <w:uiPriority w:val="0"/>
    <w:rPr>
      <w:rFonts w:ascii="仿宋_GB2312" w:hAnsi="仿宋_GB2312" w:eastAsia="仿宋_GB2312" w:cs="ˎ̥"/>
      <w:kern w:val="2"/>
      <w:sz w:val="28"/>
      <w:szCs w:val="32"/>
      <w:lang w:val="en-US" w:eastAsia="zh-CN" w:bidi="ar-SA"/>
    </w:rPr>
  </w:style>
  <w:style w:type="paragraph" w:customStyle="1" w:styleId="588">
    <w:name w:val="注："/>
    <w:next w:val="1"/>
    <w:semiHidden/>
    <w:qFormat/>
    <w:uiPriority w:val="0"/>
    <w:pPr>
      <w:widowControl w:val="0"/>
      <w:tabs>
        <w:tab w:val="left" w:pos="895"/>
      </w:tabs>
      <w:autoSpaceDE w:val="0"/>
      <w:autoSpaceDN w:val="0"/>
      <w:ind w:left="895" w:hanging="420"/>
      <w:jc w:val="both"/>
    </w:pPr>
    <w:rPr>
      <w:rFonts w:ascii="仿宋_GB2312" w:hAnsi="Courier New" w:eastAsia="仿宋_GB2312" w:cs="Courier New"/>
      <w:sz w:val="18"/>
      <w:lang w:val="en-US" w:eastAsia="zh-CN" w:bidi="ar-SA"/>
    </w:rPr>
  </w:style>
  <w:style w:type="paragraph" w:customStyle="1" w:styleId="589">
    <w:name w:val="左侧"/>
    <w:semiHidden/>
    <w:qFormat/>
    <w:uiPriority w:val="0"/>
    <w:pPr>
      <w:spacing w:line="280" w:lineRule="exact"/>
      <w:jc w:val="center"/>
    </w:pPr>
    <w:rPr>
      <w:rFonts w:ascii="Calibri" w:hAnsi="Calibri" w:eastAsia="仿宋_GB2312" w:cs="Courier New"/>
      <w:color w:val="000000"/>
      <w:sz w:val="21"/>
      <w:lang w:val="en-US" w:eastAsia="zh-CN" w:bidi="ar-SA"/>
    </w:rPr>
  </w:style>
  <w:style w:type="paragraph" w:customStyle="1" w:styleId="590">
    <w:name w:val="表、图名宋旭峰"/>
    <w:basedOn w:val="286"/>
    <w:semiHidden/>
    <w:qFormat/>
    <w:uiPriority w:val="0"/>
    <w:pPr>
      <w:adjustRightInd/>
      <w:snapToGrid/>
      <w:spacing w:beforeLines="0" w:afterLines="0" w:line="360" w:lineRule="auto"/>
    </w:pPr>
    <w:rPr>
      <w:rFonts w:ascii="Arial Unicode MS" w:eastAsia="Arial Unicode MS" w:cs="Courier New"/>
      <w:b w:val="0"/>
      <w:kern w:val="0"/>
    </w:rPr>
  </w:style>
  <w:style w:type="paragraph" w:customStyle="1" w:styleId="591">
    <w:name w:val="表体宋旭峰"/>
    <w:basedOn w:val="46"/>
    <w:semiHidden/>
    <w:qFormat/>
    <w:uiPriority w:val="0"/>
    <w:pPr>
      <w:overflowPunct w:val="0"/>
      <w:spacing w:line="280" w:lineRule="atLeast"/>
      <w:jc w:val="center"/>
      <w:textAlignment w:val="baseline"/>
    </w:pPr>
    <w:rPr>
      <w:rFonts w:ascii="仿宋_GB2312" w:hAnsi="ˎ̥" w:eastAsia="仿宋_GB2312" w:cs="ˎ̥"/>
      <w:snapToGrid w:val="0"/>
      <w:kern w:val="24"/>
      <w:sz w:val="18"/>
    </w:rPr>
  </w:style>
  <w:style w:type="character" w:customStyle="1" w:styleId="592">
    <w:name w:val="样式4 Char"/>
    <w:link w:val="225"/>
    <w:qFormat/>
    <w:uiPriority w:val="0"/>
    <w:rPr>
      <w:rFonts w:ascii="Courier New" w:hAnsi="Courier New" w:eastAsia="仿宋_GB2312" w:cs="Courier New"/>
      <w:b/>
      <w:kern w:val="2"/>
      <w:sz w:val="21"/>
      <w:lang w:val="en-US" w:eastAsia="zh-CN" w:bidi="ar-SA"/>
    </w:rPr>
  </w:style>
  <w:style w:type="paragraph" w:customStyle="1" w:styleId="593">
    <w:name w:val="样式 标题 1标题 1宋旭峰标题1章节H1h11headingHeader 1st Pageh1 chapte..."/>
    <w:basedOn w:val="5"/>
    <w:semiHidden/>
    <w:qFormat/>
    <w:uiPriority w:val="0"/>
    <w:pPr>
      <w:pageBreakBefore w:val="0"/>
      <w:numPr>
        <w:numId w:val="0"/>
      </w:numPr>
      <w:snapToGrid w:val="0"/>
      <w:spacing w:before="0" w:after="156" w:line="360" w:lineRule="auto"/>
      <w:jc w:val="left"/>
      <w:textAlignment w:val="auto"/>
    </w:pPr>
    <w:rPr>
      <w:rFonts w:ascii="Courier New" w:hAnsi="Courier New" w:eastAsia="Arial Unicode MS" w:cs="Courier New"/>
      <w:b/>
      <w:bCs/>
      <w:kern w:val="2"/>
      <w:sz w:val="32"/>
      <w:szCs w:val="30"/>
    </w:rPr>
  </w:style>
  <w:style w:type="character" w:customStyle="1" w:styleId="594">
    <w:name w:val="style81"/>
    <w:qFormat/>
    <w:uiPriority w:val="0"/>
    <w:rPr>
      <w:rFonts w:ascii="仿宋_GB2312" w:hAnsi="仿宋_GB2312" w:eastAsia="Arial Unicode MS" w:cs="仿宋_GB2312"/>
      <w:kern w:val="2"/>
      <w:sz w:val="24"/>
      <w:szCs w:val="24"/>
      <w:lang w:val="en-US" w:eastAsia="zh-CN" w:bidi="ar-SA"/>
    </w:rPr>
  </w:style>
  <w:style w:type="paragraph" w:customStyle="1" w:styleId="595">
    <w:name w:val="puce"/>
    <w:basedOn w:val="1"/>
    <w:qFormat/>
    <w:uiPriority w:val="0"/>
    <w:pPr>
      <w:widowControl/>
      <w:tabs>
        <w:tab w:val="left" w:pos="0"/>
        <w:tab w:val="left" w:pos="1200"/>
      </w:tabs>
      <w:adjustRightInd w:val="0"/>
      <w:snapToGrid w:val="0"/>
      <w:spacing w:line="360" w:lineRule="auto"/>
      <w:ind w:firstLine="480" w:firstLineChars="200"/>
    </w:pPr>
    <w:rPr>
      <w:rFonts w:ascii="华文中宋" w:hAnsi="华文中宋" w:eastAsia="仿宋_GB2312" w:cs="Courier New"/>
      <w:snapToGrid w:val="0"/>
      <w:color w:val="FF00FF"/>
      <w:kern w:val="0"/>
      <w:sz w:val="24"/>
    </w:rPr>
  </w:style>
  <w:style w:type="paragraph" w:customStyle="1" w:styleId="596">
    <w:name w:val="Content"/>
    <w:basedOn w:val="1"/>
    <w:semiHidden/>
    <w:qFormat/>
    <w:uiPriority w:val="0"/>
    <w:pPr>
      <w:widowControl/>
      <w:tabs>
        <w:tab w:val="left" w:pos="9480"/>
        <w:tab w:val="left" w:pos="9600"/>
      </w:tabs>
      <w:spacing w:before="120" w:after="120" w:line="240" w:lineRule="atLeast"/>
      <w:jc w:val="center"/>
    </w:pPr>
    <w:rPr>
      <w:rFonts w:ascii="华文中宋" w:hAnsi="华文中宋" w:eastAsia="仿宋_GB2312" w:cs="Courier New"/>
      <w:b/>
      <w:kern w:val="0"/>
      <w:sz w:val="28"/>
      <w:szCs w:val="20"/>
      <w:lang w:val="fr-FR"/>
    </w:rPr>
  </w:style>
  <w:style w:type="paragraph" w:customStyle="1" w:styleId="597">
    <w:name w:val="couv"/>
    <w:basedOn w:val="1"/>
    <w:semiHidden/>
    <w:qFormat/>
    <w:uiPriority w:val="0"/>
    <w:pPr>
      <w:widowControl/>
      <w:spacing w:before="120" w:after="120"/>
      <w:ind w:firstLine="200" w:firstLineChars="200"/>
      <w:jc w:val="center"/>
    </w:pPr>
    <w:rPr>
      <w:rFonts w:ascii="Courier New" w:hAnsi="Courier New" w:eastAsia="仿宋_GB2312" w:cs="Courier New"/>
      <w:b/>
      <w:kern w:val="0"/>
      <w:sz w:val="40"/>
      <w:szCs w:val="20"/>
      <w:lang w:val="en-GB"/>
    </w:rPr>
  </w:style>
  <w:style w:type="paragraph" w:customStyle="1" w:styleId="598">
    <w:name w:val="MG"/>
    <w:basedOn w:val="5"/>
    <w:semiHidden/>
    <w:qFormat/>
    <w:uiPriority w:val="0"/>
    <w:pPr>
      <w:keepLines w:val="0"/>
      <w:pageBreakBefore w:val="0"/>
      <w:widowControl/>
      <w:numPr>
        <w:numId w:val="0"/>
      </w:numPr>
      <w:tabs>
        <w:tab w:val="left" w:pos="2260"/>
        <w:tab w:val="left" w:pos="2820"/>
        <w:tab w:val="left" w:pos="3420"/>
      </w:tabs>
      <w:snapToGrid w:val="0"/>
      <w:spacing w:before="440" w:after="0" w:line="240" w:lineRule="auto"/>
      <w:ind w:left="851" w:right="-28" w:hanging="851"/>
      <w:jc w:val="both"/>
      <w:textAlignment w:val="auto"/>
    </w:pPr>
    <w:rPr>
      <w:rFonts w:ascii="华文中宋" w:hAnsi="华文中宋" w:eastAsia="仿宋_GB2312" w:cs="Courier New"/>
      <w:b/>
      <w:kern w:val="0"/>
      <w:sz w:val="22"/>
      <w:lang w:val="en-GB"/>
    </w:rPr>
  </w:style>
  <w:style w:type="paragraph" w:customStyle="1" w:styleId="599">
    <w:name w:val="M"/>
    <w:basedOn w:val="5"/>
    <w:semiHidden/>
    <w:qFormat/>
    <w:uiPriority w:val="0"/>
    <w:pPr>
      <w:keepLines w:val="0"/>
      <w:pageBreakBefore w:val="0"/>
      <w:widowControl/>
      <w:numPr>
        <w:numId w:val="0"/>
      </w:numPr>
      <w:tabs>
        <w:tab w:val="left" w:pos="2260"/>
        <w:tab w:val="left" w:pos="2820"/>
        <w:tab w:val="left" w:pos="3420"/>
      </w:tabs>
      <w:snapToGrid w:val="0"/>
      <w:spacing w:before="440" w:after="0" w:line="240" w:lineRule="auto"/>
      <w:ind w:left="851" w:right="-28" w:hanging="851"/>
      <w:jc w:val="both"/>
      <w:textAlignment w:val="auto"/>
    </w:pPr>
    <w:rPr>
      <w:rFonts w:ascii="华文中宋" w:hAnsi="华文中宋" w:eastAsia="仿宋_GB2312" w:cs="Courier New"/>
      <w:kern w:val="0"/>
      <w:sz w:val="22"/>
      <w:lang w:val="en-GB"/>
    </w:rPr>
  </w:style>
  <w:style w:type="paragraph" w:customStyle="1" w:styleId="600">
    <w:name w:val="GM"/>
    <w:basedOn w:val="5"/>
    <w:semiHidden/>
    <w:qFormat/>
    <w:uiPriority w:val="0"/>
    <w:pPr>
      <w:keepLines w:val="0"/>
      <w:pageBreakBefore w:val="0"/>
      <w:widowControl/>
      <w:numPr>
        <w:numId w:val="0"/>
      </w:numPr>
      <w:tabs>
        <w:tab w:val="left" w:pos="2260"/>
        <w:tab w:val="left" w:pos="2820"/>
        <w:tab w:val="left" w:pos="3420"/>
      </w:tabs>
      <w:snapToGrid w:val="0"/>
      <w:spacing w:before="240" w:after="0" w:line="240" w:lineRule="auto"/>
      <w:ind w:left="851" w:right="-28" w:hanging="851"/>
      <w:jc w:val="both"/>
      <w:textAlignment w:val="auto"/>
    </w:pPr>
    <w:rPr>
      <w:rFonts w:ascii="华文中宋" w:hAnsi="华文中宋" w:eastAsia="仿宋_GB2312" w:cs="Courier New"/>
      <w:b/>
      <w:kern w:val="0"/>
      <w:sz w:val="22"/>
      <w:lang w:val="en-GB"/>
    </w:rPr>
  </w:style>
  <w:style w:type="paragraph" w:customStyle="1" w:styleId="601">
    <w:name w:val="Texte"/>
    <w:basedOn w:val="1"/>
    <w:semiHidden/>
    <w:qFormat/>
    <w:uiPriority w:val="0"/>
    <w:pPr>
      <w:widowControl/>
      <w:spacing w:before="120" w:after="120"/>
      <w:ind w:left="851" w:firstLine="200" w:firstLineChars="200"/>
    </w:pPr>
    <w:rPr>
      <w:rFonts w:ascii="华文中宋" w:hAnsi="华文中宋" w:eastAsia="仿宋_GB2312" w:cs="Courier New"/>
      <w:kern w:val="0"/>
      <w:sz w:val="22"/>
      <w:szCs w:val="20"/>
      <w:lang w:val="en-GB"/>
    </w:rPr>
  </w:style>
  <w:style w:type="paragraph" w:customStyle="1" w:styleId="602">
    <w:name w:val="ENUM"/>
    <w:basedOn w:val="1"/>
    <w:semiHidden/>
    <w:qFormat/>
    <w:uiPriority w:val="0"/>
    <w:pPr>
      <w:widowControl/>
      <w:tabs>
        <w:tab w:val="left" w:pos="840"/>
        <w:tab w:val="left" w:pos="1418"/>
      </w:tabs>
      <w:spacing w:before="60" w:after="60"/>
      <w:ind w:left="1418" w:hanging="284" w:firstLineChars="200"/>
    </w:pPr>
    <w:rPr>
      <w:rFonts w:ascii="华文中宋" w:hAnsi="华文中宋" w:eastAsia="仿宋_GB2312" w:cs="Courier New"/>
      <w:kern w:val="0"/>
      <w:sz w:val="22"/>
      <w:szCs w:val="20"/>
      <w:lang w:val="en-GB"/>
    </w:rPr>
  </w:style>
  <w:style w:type="paragraph" w:customStyle="1" w:styleId="603">
    <w:name w:val="標準インデント　2"/>
    <w:basedOn w:val="2"/>
    <w:semiHidden/>
    <w:qFormat/>
    <w:uiPriority w:val="0"/>
    <w:pPr>
      <w:overflowPunct w:val="0"/>
      <w:autoSpaceDE w:val="0"/>
      <w:autoSpaceDN w:val="0"/>
      <w:adjustRightInd w:val="0"/>
      <w:spacing w:line="240" w:lineRule="auto"/>
      <w:ind w:left="2900" w:hanging="2038"/>
      <w:jc w:val="left"/>
      <w:textAlignment w:val="baseline"/>
    </w:pPr>
    <w:rPr>
      <w:rFonts w:ascii="Courier New" w:hAnsi="Courier New" w:eastAsia="宋体-18030" w:cs="Courier New"/>
      <w:kern w:val="0"/>
      <w:sz w:val="20"/>
      <w:lang w:eastAsia="ja-JP"/>
    </w:rPr>
  </w:style>
  <w:style w:type="paragraph" w:customStyle="1" w:styleId="604">
    <w:name w:val="——"/>
    <w:basedOn w:val="601"/>
    <w:semiHidden/>
    <w:qFormat/>
    <w:uiPriority w:val="0"/>
    <w:pPr>
      <w:ind w:left="0" w:firstLine="660" w:firstLineChars="300"/>
    </w:pPr>
  </w:style>
  <w:style w:type="paragraph" w:customStyle="1" w:styleId="605">
    <w:name w:val="标-4"/>
    <w:basedOn w:val="1"/>
    <w:qFormat/>
    <w:uiPriority w:val="0"/>
    <w:pPr>
      <w:spacing w:before="120"/>
      <w:ind w:left="851" w:hanging="851"/>
    </w:pPr>
    <w:rPr>
      <w:rFonts w:ascii="Courier New" w:hAnsi="Courier New" w:eastAsia="仿宋_GB2312" w:cs="Courier New"/>
      <w:sz w:val="24"/>
      <w:szCs w:val="20"/>
    </w:rPr>
  </w:style>
  <w:style w:type="paragraph" w:customStyle="1" w:styleId="606">
    <w:name w:val="日期1"/>
    <w:basedOn w:val="1"/>
    <w:next w:val="1"/>
    <w:qFormat/>
    <w:uiPriority w:val="0"/>
    <w:pPr>
      <w:adjustRightInd w:val="0"/>
      <w:jc w:val="left"/>
      <w:textAlignment w:val="baseline"/>
    </w:pPr>
    <w:rPr>
      <w:rFonts w:ascii="仿宋_GB2312" w:hAnsi="Courier New" w:eastAsia="仿宋_GB2312" w:cs="Courier New"/>
      <w:spacing w:val="24"/>
      <w:kern w:val="24"/>
      <w:sz w:val="24"/>
      <w:szCs w:val="20"/>
    </w:rPr>
  </w:style>
  <w:style w:type="paragraph" w:customStyle="1" w:styleId="607">
    <w:name w:val="文-1"/>
    <w:basedOn w:val="1"/>
    <w:semiHidden/>
    <w:qFormat/>
    <w:uiPriority w:val="0"/>
    <w:pPr>
      <w:spacing w:before="120"/>
      <w:ind w:left="851" w:firstLine="482"/>
    </w:pPr>
    <w:rPr>
      <w:rFonts w:ascii="Courier New" w:hAnsi="Courier New" w:eastAsia="仿宋_GB2312" w:cs="Courier New"/>
      <w:sz w:val="24"/>
      <w:szCs w:val="20"/>
    </w:rPr>
  </w:style>
  <w:style w:type="paragraph" w:customStyle="1" w:styleId="608">
    <w:name w:val="文-5"/>
    <w:basedOn w:val="1"/>
    <w:qFormat/>
    <w:uiPriority w:val="0"/>
    <w:pPr>
      <w:tabs>
        <w:tab w:val="right" w:leader="dot" w:pos="8789"/>
      </w:tabs>
      <w:spacing w:before="120"/>
      <w:ind w:left="1276" w:firstLine="482"/>
    </w:pPr>
    <w:rPr>
      <w:rFonts w:ascii="Courier New" w:hAnsi="Courier New" w:eastAsia="仿宋_GB2312" w:cs="Courier New"/>
      <w:sz w:val="24"/>
      <w:szCs w:val="20"/>
    </w:rPr>
  </w:style>
  <w:style w:type="paragraph" w:customStyle="1" w:styleId="609">
    <w:name w:val="表"/>
    <w:basedOn w:val="1"/>
    <w:semiHidden/>
    <w:qFormat/>
    <w:uiPriority w:val="0"/>
    <w:pPr>
      <w:keepLines/>
      <w:jc w:val="center"/>
    </w:pPr>
    <w:rPr>
      <w:rFonts w:ascii="Courier New" w:hAnsi="Courier New" w:eastAsia="仿宋_GB2312" w:cs="Courier New"/>
      <w:kern w:val="0"/>
      <w:szCs w:val="21"/>
    </w:rPr>
  </w:style>
  <w:style w:type="paragraph" w:customStyle="1" w:styleId="610">
    <w:name w:val="MTDisplayEquation"/>
    <w:basedOn w:val="540"/>
    <w:next w:val="1"/>
    <w:qFormat/>
    <w:uiPriority w:val="0"/>
    <w:pPr>
      <w:tabs>
        <w:tab w:val="center" w:pos="4160"/>
        <w:tab w:val="right" w:pos="8300"/>
      </w:tabs>
    </w:pPr>
  </w:style>
  <w:style w:type="paragraph" w:customStyle="1" w:styleId="611">
    <w:name w:val="样式 小四 加粗 行距: 1.5 倍行距"/>
    <w:basedOn w:val="1"/>
    <w:semiHidden/>
    <w:qFormat/>
    <w:uiPriority w:val="0"/>
    <w:pPr>
      <w:spacing w:line="360" w:lineRule="auto"/>
    </w:pPr>
    <w:rPr>
      <w:rFonts w:ascii="Courier New" w:hAnsi="Courier New" w:eastAsia="仿宋_GB2312" w:cs="仿宋_GB2312"/>
      <w:b/>
      <w:bCs/>
      <w:sz w:val="24"/>
      <w:szCs w:val="20"/>
    </w:rPr>
  </w:style>
  <w:style w:type="paragraph" w:customStyle="1" w:styleId="612">
    <w:name w:val="样式 正文(首行缩进) + 8 磅 加粗 首行缩进:  2 字符"/>
    <w:basedOn w:val="1"/>
    <w:semiHidden/>
    <w:qFormat/>
    <w:uiPriority w:val="0"/>
    <w:pPr>
      <w:adjustRightInd w:val="0"/>
      <w:snapToGrid w:val="0"/>
      <w:ind w:firstLine="200" w:firstLineChars="200"/>
    </w:pPr>
    <w:rPr>
      <w:rFonts w:ascii="Courier New" w:hAnsi="Courier New" w:eastAsia="仿宋_GB2312" w:cs="仿宋_GB2312"/>
      <w:b/>
      <w:bCs/>
      <w:snapToGrid w:val="0"/>
      <w:kern w:val="0"/>
      <w:sz w:val="16"/>
      <w:szCs w:val="20"/>
    </w:rPr>
  </w:style>
  <w:style w:type="paragraph" w:customStyle="1" w:styleId="613">
    <w:name w:val="样式 标题 2标题21.1H2h2第一层条2Header 2nd PageA.B.C.h2 main head..."/>
    <w:basedOn w:val="6"/>
    <w:semiHidden/>
    <w:qFormat/>
    <w:uiPriority w:val="0"/>
    <w:pPr>
      <w:numPr>
        <w:ilvl w:val="0"/>
        <w:numId w:val="0"/>
      </w:numPr>
      <w:adjustRightInd/>
      <w:snapToGrid w:val="0"/>
      <w:spacing w:before="0" w:after="0"/>
      <w:jc w:val="both"/>
      <w:textAlignment w:val="auto"/>
    </w:pPr>
    <w:rPr>
      <w:rFonts w:ascii="Courier New" w:hAnsi="Courier New" w:eastAsia="Arial Unicode MS" w:cs="Courier New"/>
      <w:kern w:val="2"/>
      <w:sz w:val="30"/>
      <w:szCs w:val="30"/>
    </w:rPr>
  </w:style>
  <w:style w:type="paragraph" w:customStyle="1" w:styleId="614">
    <w:name w:val="样式 正文(首行缩进) + 8 磅 加粗 首行缩进:  2 字符1"/>
    <w:basedOn w:val="1"/>
    <w:semiHidden/>
    <w:qFormat/>
    <w:uiPriority w:val="0"/>
    <w:pPr>
      <w:adjustRightInd w:val="0"/>
      <w:snapToGrid w:val="0"/>
      <w:ind w:firstLine="200" w:firstLineChars="200"/>
    </w:pPr>
    <w:rPr>
      <w:rFonts w:ascii="Courier New" w:hAnsi="Courier New" w:eastAsia="仿宋_GB2312" w:cs="仿宋_GB2312"/>
      <w:b/>
      <w:bCs/>
      <w:snapToGrid w:val="0"/>
      <w:kern w:val="0"/>
      <w:sz w:val="16"/>
      <w:szCs w:val="20"/>
    </w:rPr>
  </w:style>
  <w:style w:type="paragraph" w:customStyle="1" w:styleId="615">
    <w:name w:val="正文样式1"/>
    <w:basedOn w:val="1"/>
    <w:semiHidden/>
    <w:qFormat/>
    <w:uiPriority w:val="0"/>
    <w:pPr>
      <w:adjustRightInd w:val="0"/>
      <w:spacing w:line="400" w:lineRule="atLeast"/>
      <w:ind w:firstLine="454"/>
      <w:textAlignment w:val="baseline"/>
    </w:pPr>
    <w:rPr>
      <w:rFonts w:ascii="Courier New" w:hAnsi="Courier New" w:eastAsia="仿宋_GB2312" w:cs="Courier New"/>
      <w:b/>
      <w:kern w:val="24"/>
      <w:sz w:val="24"/>
      <w:szCs w:val="20"/>
    </w:rPr>
  </w:style>
  <w:style w:type="paragraph" w:customStyle="1" w:styleId="616">
    <w:name w:val="标题样式2"/>
    <w:basedOn w:val="1"/>
    <w:semiHidden/>
    <w:qFormat/>
    <w:uiPriority w:val="0"/>
    <w:pPr>
      <w:adjustRightInd w:val="0"/>
      <w:spacing w:line="480" w:lineRule="atLeast"/>
      <w:textAlignment w:val="baseline"/>
    </w:pPr>
    <w:rPr>
      <w:rFonts w:ascii="New Gulim" w:hAnsi="New Gulim" w:cs="Courier New"/>
      <w:kern w:val="0"/>
      <w:sz w:val="28"/>
      <w:szCs w:val="20"/>
    </w:rPr>
  </w:style>
  <w:style w:type="character" w:customStyle="1" w:styleId="617">
    <w:name w:val="一、 Char"/>
    <w:semiHidden/>
    <w:qFormat/>
    <w:uiPriority w:val="0"/>
    <w:rPr>
      <w:rFonts w:ascii="Arial Unicode MS" w:hAnsi="仿宋_GB2312" w:eastAsia="Arial Unicode MS" w:cs="仿宋_GB2312"/>
      <w:kern w:val="2"/>
      <w:sz w:val="32"/>
      <w:szCs w:val="24"/>
      <w:lang w:val="en-US" w:eastAsia="zh-CN" w:bidi="ar-SA"/>
    </w:rPr>
  </w:style>
  <w:style w:type="character" w:customStyle="1" w:styleId="618">
    <w:name w:val="正文（首行缩进两字） Char"/>
    <w:semiHidden/>
    <w:qFormat/>
    <w:uiPriority w:val="0"/>
    <w:rPr>
      <w:rFonts w:ascii="仿宋_GB2312" w:hAnsi="仿宋_GB2312" w:eastAsia="仿宋_GB2312" w:cs="仿宋_GB2312"/>
      <w:kern w:val="2"/>
      <w:sz w:val="30"/>
      <w:szCs w:val="24"/>
      <w:lang w:val="en-US" w:eastAsia="zh-CN" w:bidi="ar-SA"/>
    </w:rPr>
  </w:style>
  <w:style w:type="character" w:customStyle="1" w:styleId="619">
    <w:name w:val="mainfirst1"/>
    <w:semiHidden/>
    <w:qFormat/>
    <w:uiPriority w:val="0"/>
    <w:rPr>
      <w:rFonts w:ascii="仿宋_GB2312" w:hAnsi="仿宋_GB2312" w:eastAsia="Arial Unicode MS" w:cs="仿宋_GB2312"/>
      <w:b/>
      <w:bCs/>
      <w:color w:val="FF0000"/>
      <w:kern w:val="2"/>
      <w:sz w:val="36"/>
      <w:szCs w:val="36"/>
      <w:lang w:val="en-US" w:eastAsia="zh-CN" w:bidi="ar-SA"/>
    </w:rPr>
  </w:style>
  <w:style w:type="character" w:customStyle="1" w:styleId="620">
    <w:name w:val="章节标题 Char"/>
    <w:semiHidden/>
    <w:qFormat/>
    <w:uiPriority w:val="0"/>
    <w:rPr>
      <w:rFonts w:ascii="Arial Unicode MS" w:hAnsi="仿宋_GB2312" w:eastAsia="Arial Unicode MS" w:cs="仿宋_GB2312"/>
      <w:kern w:val="2"/>
      <w:sz w:val="32"/>
      <w:szCs w:val="24"/>
      <w:lang w:val="en-US" w:eastAsia="zh-CN" w:bidi="ar-SA"/>
    </w:rPr>
  </w:style>
  <w:style w:type="character" w:customStyle="1" w:styleId="621">
    <w:name w:val="普通文字 Char Char Char Char Char C Char Char Char Char Char Char Char"/>
    <w:semiHidden/>
    <w:qFormat/>
    <w:uiPriority w:val="0"/>
    <w:rPr>
      <w:rFonts w:ascii="仿宋_GB2312" w:hAnsi="ˎ̥" w:eastAsia="仿宋_GB2312" w:cs="仿宋_GB2312"/>
      <w:kern w:val="2"/>
      <w:sz w:val="28"/>
      <w:szCs w:val="24"/>
      <w:lang w:val="en-US" w:eastAsia="zh-CN" w:bidi="ar-SA"/>
    </w:rPr>
  </w:style>
  <w:style w:type="paragraph" w:customStyle="1" w:styleId="622">
    <w:name w:val="表格样式1"/>
    <w:basedOn w:val="1"/>
    <w:semiHidden/>
    <w:qFormat/>
    <w:uiPriority w:val="0"/>
    <w:pPr>
      <w:adjustRightInd w:val="0"/>
      <w:spacing w:line="20" w:lineRule="atLeast"/>
      <w:jc w:val="center"/>
      <w:textAlignment w:val="baseline"/>
    </w:pPr>
    <w:rPr>
      <w:rFonts w:ascii="仿宋_GB2312" w:hAnsi="Courier New" w:eastAsia="仿宋_GB2312" w:cs="Courier New"/>
      <w:kern w:val="0"/>
      <w:szCs w:val="20"/>
    </w:rPr>
  </w:style>
  <w:style w:type="character" w:customStyle="1" w:styleId="623">
    <w:name w:val="redfont"/>
    <w:semiHidden/>
    <w:qFormat/>
    <w:uiPriority w:val="0"/>
    <w:rPr>
      <w:rFonts w:ascii="仿宋_GB2312" w:hAnsi="仿宋_GB2312" w:eastAsia="Arial Unicode MS" w:cs="仿宋_GB2312"/>
      <w:kern w:val="2"/>
      <w:sz w:val="28"/>
      <w:szCs w:val="24"/>
      <w:lang w:val="en-US" w:eastAsia="zh-CN" w:bidi="ar-SA"/>
    </w:rPr>
  </w:style>
  <w:style w:type="paragraph" w:customStyle="1" w:styleId="624">
    <w:name w:val="正文样式一"/>
    <w:basedOn w:val="1"/>
    <w:semiHidden/>
    <w:qFormat/>
    <w:uiPriority w:val="0"/>
    <w:pPr>
      <w:adjustRightInd w:val="0"/>
      <w:spacing w:line="400" w:lineRule="atLeast"/>
      <w:ind w:firstLine="510"/>
      <w:textAlignment w:val="baseline"/>
    </w:pPr>
    <w:rPr>
      <w:rFonts w:ascii="Courier New" w:hAnsi="Courier New" w:eastAsia="仿宋_GB2312" w:cs="Courier New"/>
      <w:kern w:val="0"/>
      <w:sz w:val="24"/>
      <w:szCs w:val="20"/>
    </w:rPr>
  </w:style>
  <w:style w:type="paragraph" w:customStyle="1" w:styleId="625">
    <w:name w:val="表格内文字"/>
    <w:semiHidden/>
    <w:qFormat/>
    <w:uiPriority w:val="0"/>
    <w:pPr>
      <w:keepNext/>
      <w:widowControl w:val="0"/>
      <w:spacing w:line="240" w:lineRule="atLeast"/>
      <w:jc w:val="center"/>
    </w:pPr>
    <w:rPr>
      <w:rFonts w:ascii="仿宋_GB2312" w:hAnsi="仿宋_GB2312" w:eastAsia="仿宋_GB2312" w:cs="Courier New"/>
      <w:w w:val="90"/>
      <w:lang w:val="en-US" w:eastAsia="zh-CN" w:bidi="ar-SA"/>
    </w:rPr>
  </w:style>
  <w:style w:type="paragraph" w:customStyle="1" w:styleId="626">
    <w:name w:val="图表名"/>
    <w:basedOn w:val="1"/>
    <w:semiHidden/>
    <w:qFormat/>
    <w:uiPriority w:val="0"/>
    <w:pPr>
      <w:adjustRightInd w:val="0"/>
      <w:snapToGrid w:val="0"/>
      <w:spacing w:line="360" w:lineRule="auto"/>
      <w:jc w:val="center"/>
    </w:pPr>
    <w:rPr>
      <w:rFonts w:ascii="Courier New" w:hAnsi="Courier New" w:eastAsia="Arial Unicode MS" w:cs="Courier New"/>
      <w:snapToGrid w:val="0"/>
      <w:color w:val="000000"/>
      <w:kern w:val="0"/>
      <w:sz w:val="28"/>
      <w:szCs w:val="28"/>
    </w:rPr>
  </w:style>
  <w:style w:type="paragraph" w:customStyle="1" w:styleId="627">
    <w:name w:val="样式 样式 表格 + (符号) 宋体 五号 居中 + 小五"/>
    <w:basedOn w:val="1"/>
    <w:semiHidden/>
    <w:qFormat/>
    <w:uiPriority w:val="0"/>
    <w:pPr>
      <w:kinsoku w:val="0"/>
      <w:overflowPunct w:val="0"/>
      <w:adjustRightInd w:val="0"/>
      <w:snapToGrid w:val="0"/>
      <w:jc w:val="center"/>
    </w:pPr>
    <w:rPr>
      <w:rFonts w:ascii="Courier New" w:hAnsi="Courier New" w:eastAsia="仿宋_GB2312" w:cs="Courier New"/>
      <w:snapToGrid w:val="0"/>
      <w:kern w:val="0"/>
      <w:sz w:val="18"/>
      <w:szCs w:val="21"/>
    </w:rPr>
  </w:style>
  <w:style w:type="paragraph" w:customStyle="1" w:styleId="628">
    <w:name w:val="样式 表格 + 居中"/>
    <w:basedOn w:val="1"/>
    <w:semiHidden/>
    <w:qFormat/>
    <w:uiPriority w:val="0"/>
    <w:pPr>
      <w:kinsoku w:val="0"/>
      <w:overflowPunct w:val="0"/>
      <w:adjustRightInd w:val="0"/>
      <w:snapToGrid w:val="0"/>
      <w:jc w:val="center"/>
    </w:pPr>
    <w:rPr>
      <w:rFonts w:ascii="Courier New" w:hAnsi="Courier New" w:eastAsia="仿宋_GB2312" w:cs="Courier New"/>
      <w:snapToGrid w:val="0"/>
      <w:color w:val="000000"/>
      <w:kern w:val="0"/>
      <w:sz w:val="24"/>
    </w:rPr>
  </w:style>
  <w:style w:type="paragraph" w:customStyle="1" w:styleId="629">
    <w:name w:val="注×："/>
    <w:semiHidden/>
    <w:qFormat/>
    <w:uiPriority w:val="0"/>
    <w:pPr>
      <w:widowControl w:val="0"/>
      <w:tabs>
        <w:tab w:val="left" w:pos="630"/>
        <w:tab w:val="left" w:pos="1080"/>
      </w:tabs>
      <w:autoSpaceDE w:val="0"/>
      <w:autoSpaceDN w:val="0"/>
      <w:ind w:left="1080" w:hanging="600"/>
      <w:jc w:val="both"/>
    </w:pPr>
    <w:rPr>
      <w:rFonts w:ascii="仿宋_GB2312" w:hAnsi="Courier New" w:eastAsia="仿宋_GB2312" w:cs="Courier New"/>
      <w:sz w:val="18"/>
      <w:lang w:val="en-US" w:eastAsia="zh-CN" w:bidi="ar-SA"/>
    </w:rPr>
  </w:style>
  <w:style w:type="paragraph" w:customStyle="1" w:styleId="630">
    <w:name w:val="表格1"/>
    <w:basedOn w:val="1"/>
    <w:semiHidden/>
    <w:qFormat/>
    <w:uiPriority w:val="0"/>
    <w:pPr>
      <w:adjustRightInd w:val="0"/>
      <w:spacing w:line="400" w:lineRule="atLeast"/>
      <w:jc w:val="center"/>
      <w:textAlignment w:val="baseline"/>
    </w:pPr>
    <w:rPr>
      <w:rFonts w:ascii="Courier New" w:hAnsi="Courier New" w:eastAsia="仿宋_GB2312" w:cs="Courier New"/>
      <w:kern w:val="0"/>
      <w:sz w:val="24"/>
      <w:szCs w:val="20"/>
    </w:rPr>
  </w:style>
  <w:style w:type="character" w:customStyle="1" w:styleId="631">
    <w:name w:val="页脚 字符"/>
    <w:link w:val="55"/>
    <w:qFormat/>
    <w:uiPriority w:val="99"/>
    <w:rPr>
      <w:rFonts w:eastAsia="宋体"/>
      <w:sz w:val="18"/>
      <w:lang w:val="en-US" w:eastAsia="zh-CN" w:bidi="ar-SA"/>
    </w:rPr>
  </w:style>
  <w:style w:type="character" w:customStyle="1" w:styleId="632">
    <w:name w:val="表、图名 Char"/>
    <w:link w:val="543"/>
    <w:qFormat/>
    <w:uiPriority w:val="0"/>
    <w:rPr>
      <w:rFonts w:ascii="Courier New" w:hAnsi="Courier New" w:eastAsia="仿宋_GB2312" w:cs="Courier New"/>
      <w:sz w:val="24"/>
      <w:szCs w:val="24"/>
      <w:lang w:val="en-US" w:eastAsia="zh-CN" w:bidi="ar-SA"/>
    </w:rPr>
  </w:style>
  <w:style w:type="paragraph" w:customStyle="1" w:styleId="633">
    <w:name w:val="Char 正文"/>
    <w:basedOn w:val="5"/>
    <w:semiHidden/>
    <w:qFormat/>
    <w:uiPriority w:val="0"/>
    <w:pPr>
      <w:pageBreakBefore w:val="0"/>
      <w:numPr>
        <w:numId w:val="0"/>
      </w:numPr>
      <w:snapToGrid w:val="0"/>
      <w:spacing w:before="240" w:after="240" w:line="348" w:lineRule="auto"/>
      <w:jc w:val="both"/>
      <w:textAlignment w:val="auto"/>
    </w:pPr>
    <w:rPr>
      <w:rFonts w:ascii="Symusic" w:hAnsi="Symusic" w:eastAsia="仿宋_GB2312" w:cs="Courier New"/>
      <w:b/>
      <w:sz w:val="24"/>
    </w:rPr>
  </w:style>
  <w:style w:type="paragraph" w:customStyle="1" w:styleId="634">
    <w:name w:val="报告书正文"/>
    <w:basedOn w:val="1"/>
    <w:link w:val="635"/>
    <w:semiHidden/>
    <w:qFormat/>
    <w:uiPriority w:val="0"/>
    <w:pPr>
      <w:spacing w:line="360" w:lineRule="auto"/>
      <w:ind w:firstLine="480" w:firstLineChars="200"/>
    </w:pPr>
    <w:rPr>
      <w:rFonts w:ascii="Courier New" w:hAnsi="Courier New" w:eastAsia="仿宋_GB2312" w:cs="Courier New"/>
      <w:sz w:val="24"/>
    </w:rPr>
  </w:style>
  <w:style w:type="character" w:customStyle="1" w:styleId="635">
    <w:name w:val="报告书正文 Char"/>
    <w:link w:val="634"/>
    <w:qFormat/>
    <w:uiPriority w:val="0"/>
    <w:rPr>
      <w:rFonts w:ascii="Courier New" w:hAnsi="Courier New" w:eastAsia="仿宋_GB2312" w:cs="Courier New"/>
      <w:kern w:val="2"/>
      <w:sz w:val="24"/>
      <w:szCs w:val="24"/>
      <w:lang w:val="en-US" w:eastAsia="zh-CN" w:bidi="ar-SA"/>
    </w:rPr>
  </w:style>
  <w:style w:type="character" w:customStyle="1" w:styleId="636">
    <w:name w:val="样式 黑体 小四"/>
    <w:semiHidden/>
    <w:qFormat/>
    <w:uiPriority w:val="0"/>
    <w:rPr>
      <w:rFonts w:ascii="Arial Unicode MS" w:hAnsi="Arial Unicode MS" w:eastAsia="Arial Unicode MS"/>
      <w:sz w:val="24"/>
    </w:rPr>
  </w:style>
  <w:style w:type="character" w:customStyle="1" w:styleId="637">
    <w:name w:val="表格 Char"/>
    <w:link w:val="332"/>
    <w:qFormat/>
    <w:uiPriority w:val="0"/>
    <w:rPr>
      <w:rFonts w:ascii="Courier New" w:hAnsi="Courier New" w:eastAsia="Arial Unicode MS" w:cs="Courier New"/>
      <w:kern w:val="2"/>
      <w:sz w:val="28"/>
      <w:szCs w:val="21"/>
      <w:lang w:val="en-US" w:eastAsia="zh-CN" w:bidi="ar-SA"/>
    </w:rPr>
  </w:style>
  <w:style w:type="paragraph" w:customStyle="1" w:styleId="638">
    <w:name w:val="正文王"/>
    <w:basedOn w:val="46"/>
    <w:semiHidden/>
    <w:qFormat/>
    <w:uiPriority w:val="0"/>
    <w:pPr>
      <w:numPr>
        <w:ilvl w:val="0"/>
        <w:numId w:val="12"/>
      </w:numPr>
      <w:tabs>
        <w:tab w:val="clear" w:pos="1280"/>
      </w:tabs>
      <w:spacing w:line="440" w:lineRule="exact"/>
      <w:ind w:left="0" w:firstLine="0"/>
    </w:pPr>
    <w:rPr>
      <w:rFonts w:ascii="华文中宋" w:hAnsi="华文中宋" w:eastAsia="仿宋_GB2312" w:cs="Courier New"/>
      <w:snapToGrid w:val="0"/>
      <w:kern w:val="0"/>
      <w:sz w:val="24"/>
    </w:rPr>
  </w:style>
  <w:style w:type="paragraph" w:customStyle="1" w:styleId="639">
    <w:name w:val="正文样式"/>
    <w:basedOn w:val="1"/>
    <w:link w:val="640"/>
    <w:semiHidden/>
    <w:qFormat/>
    <w:uiPriority w:val="0"/>
    <w:pPr>
      <w:spacing w:line="360" w:lineRule="auto"/>
      <w:ind w:firstLine="480" w:firstLineChars="200"/>
    </w:pPr>
    <w:rPr>
      <w:rFonts w:ascii="仿宋_GB2312" w:hAnsi="仿宋_GB2312" w:eastAsia="仿宋_GB2312" w:cs="Courier New"/>
      <w:color w:val="000000"/>
      <w:sz w:val="24"/>
    </w:rPr>
  </w:style>
  <w:style w:type="character" w:customStyle="1" w:styleId="640">
    <w:name w:val="正文样式 Char"/>
    <w:link w:val="639"/>
    <w:qFormat/>
    <w:uiPriority w:val="0"/>
    <w:rPr>
      <w:rFonts w:ascii="仿宋_GB2312" w:hAnsi="仿宋_GB2312" w:eastAsia="仿宋_GB2312" w:cs="Courier New"/>
      <w:color w:val="000000"/>
      <w:kern w:val="2"/>
      <w:sz w:val="24"/>
      <w:szCs w:val="24"/>
      <w:lang w:val="en-US" w:eastAsia="zh-CN" w:bidi="ar-SA"/>
    </w:rPr>
  </w:style>
  <w:style w:type="character" w:customStyle="1" w:styleId="641">
    <w:name w:val="正文(首行缩进) Char1"/>
    <w:semiHidden/>
    <w:qFormat/>
    <w:uiPriority w:val="0"/>
    <w:rPr>
      <w:rFonts w:eastAsia="仿宋_GB2312"/>
      <w:snapToGrid w:val="0"/>
      <w:color w:val="000000"/>
      <w:sz w:val="24"/>
      <w:szCs w:val="24"/>
      <w:lang w:val="en-US" w:eastAsia="zh-CN" w:bidi="ar-SA"/>
    </w:rPr>
  </w:style>
  <w:style w:type="character" w:customStyle="1" w:styleId="642">
    <w:name w:val="正文(首行缩进)宋旭峰 Char Char"/>
    <w:link w:val="546"/>
    <w:qFormat/>
    <w:uiPriority w:val="0"/>
    <w:rPr>
      <w:rFonts w:ascii="Courier New" w:hAnsi="Courier New" w:eastAsia="仿宋_GB2312" w:cs="Courier New"/>
      <w:snapToGrid w:val="0"/>
      <w:sz w:val="24"/>
      <w:szCs w:val="24"/>
      <w:lang w:val="en-US" w:eastAsia="zh-CN" w:bidi="ar-SA"/>
    </w:rPr>
  </w:style>
  <w:style w:type="character" w:customStyle="1" w:styleId="643">
    <w:name w:val="正文(首行缩进) Char2"/>
    <w:semiHidden/>
    <w:qFormat/>
    <w:uiPriority w:val="0"/>
    <w:rPr>
      <w:rFonts w:eastAsia="Arial Unicode MS"/>
      <w:bCs/>
      <w:snapToGrid w:val="0"/>
      <w:color w:val="000000"/>
      <w:kern w:val="2"/>
      <w:sz w:val="24"/>
      <w:lang w:val="en-US" w:eastAsia="zh-CN" w:bidi="ar-SA"/>
    </w:rPr>
  </w:style>
  <w:style w:type="paragraph" w:customStyle="1" w:styleId="644">
    <w:name w:val="zxz5"/>
    <w:next w:val="540"/>
    <w:semiHidden/>
    <w:qFormat/>
    <w:uiPriority w:val="0"/>
    <w:pPr>
      <w:tabs>
        <w:tab w:val="left" w:pos="0"/>
      </w:tabs>
      <w:jc w:val="center"/>
    </w:pPr>
    <w:rPr>
      <w:rFonts w:ascii="仿宋_GB2312" w:hAnsi="仿宋_GB2312" w:eastAsia="Courier New" w:cs="仿宋_GB2312"/>
      <w:bCs/>
      <w:kern w:val="2"/>
      <w:sz w:val="18"/>
      <w:szCs w:val="18"/>
      <w:lang w:val="en-US" w:eastAsia="zh-CN" w:bidi="ar-SA"/>
    </w:rPr>
  </w:style>
  <w:style w:type="paragraph" w:customStyle="1" w:styleId="645">
    <w:name w:val="Char Char Char Char Char Char Char Char Char Char Char Char Char Char Char Char Char Char Char Char Char Char Char Char Char Char Char Char Char Char Char Char Char Char Char Char Char Char Char Char Char Char"/>
    <w:basedOn w:val="1"/>
    <w:semiHidden/>
    <w:qFormat/>
    <w:uiPriority w:val="0"/>
    <w:rPr>
      <w:rFonts w:ascii="Courier New" w:hAnsi="Courier New" w:eastAsia="仿宋_GB2312" w:cs="Courier New"/>
    </w:rPr>
  </w:style>
  <w:style w:type="paragraph" w:customStyle="1" w:styleId="646">
    <w:name w:val="正文（缩进）"/>
    <w:basedOn w:val="1"/>
    <w:semiHidden/>
    <w:qFormat/>
    <w:uiPriority w:val="0"/>
    <w:pPr>
      <w:adjustRightInd w:val="0"/>
      <w:snapToGrid w:val="0"/>
      <w:spacing w:line="360" w:lineRule="auto"/>
      <w:ind w:firstLine="200" w:firstLineChars="200"/>
    </w:pPr>
    <w:rPr>
      <w:rFonts w:ascii="Courier New" w:hAnsi="Courier New" w:eastAsia="仿宋_GB2312" w:cs="Courier New"/>
      <w:snapToGrid w:val="0"/>
      <w:kern w:val="0"/>
      <w:sz w:val="24"/>
    </w:rPr>
  </w:style>
  <w:style w:type="paragraph" w:customStyle="1" w:styleId="647">
    <w:name w:val="样式 表格 + 左  25 字符1"/>
    <w:basedOn w:val="332"/>
    <w:semiHidden/>
    <w:qFormat/>
    <w:uiPriority w:val="0"/>
    <w:pPr>
      <w:widowControl/>
    </w:pPr>
    <w:rPr>
      <w:rFonts w:hAnsi="仿宋_GB2312" w:eastAsia="仿宋_GB2312" w:cs="仿宋_GB2312"/>
      <w:kern w:val="0"/>
      <w:sz w:val="18"/>
      <w:szCs w:val="20"/>
    </w:rPr>
  </w:style>
  <w:style w:type="character" w:customStyle="1" w:styleId="648">
    <w:name w:val="1正文段落 Char"/>
    <w:link w:val="540"/>
    <w:qFormat/>
    <w:uiPriority w:val="0"/>
    <w:rPr>
      <w:rFonts w:ascii="Courier New" w:hAnsi="Courier New" w:eastAsia="仿宋_GB2312" w:cs="Courier New"/>
      <w:snapToGrid w:val="0"/>
      <w:sz w:val="24"/>
      <w:szCs w:val="24"/>
      <w:lang w:val="en-US" w:eastAsia="zh-CN" w:bidi="ar-SA"/>
    </w:rPr>
  </w:style>
  <w:style w:type="character" w:customStyle="1" w:styleId="649">
    <w:name w:val="apple-converted-space"/>
    <w:basedOn w:val="134"/>
    <w:qFormat/>
    <w:uiPriority w:val="0"/>
  </w:style>
  <w:style w:type="paragraph" w:customStyle="1" w:styleId="650">
    <w:name w:val="2 Char Char Char Char Char Char Char Char Char Char"/>
    <w:basedOn w:val="1"/>
    <w:semiHidden/>
    <w:qFormat/>
    <w:uiPriority w:val="0"/>
    <w:rPr>
      <w:rFonts w:ascii="Courier New" w:hAnsi="Courier New" w:eastAsia="仿宋_GB2312" w:cs="Courier New"/>
    </w:rPr>
  </w:style>
  <w:style w:type="paragraph" w:customStyle="1" w:styleId="651">
    <w:name w:val="BG1"/>
    <w:basedOn w:val="1"/>
    <w:semiHidden/>
    <w:qFormat/>
    <w:uiPriority w:val="0"/>
    <w:pPr>
      <w:autoSpaceDE w:val="0"/>
      <w:autoSpaceDN w:val="0"/>
      <w:jc w:val="center"/>
    </w:pPr>
    <w:rPr>
      <w:rFonts w:ascii="Courier New" w:hAnsi="Courier New" w:eastAsia="仿宋_GB2312" w:cs="Courier New"/>
      <w:color w:val="000000"/>
      <w:kern w:val="0"/>
    </w:rPr>
  </w:style>
  <w:style w:type="paragraph" w:customStyle="1" w:styleId="652">
    <w:name w:val="样式 标题 2二级标题标题 lxb2标题21.1H2h2第一层条二级标题 Char单位名4.1SeHea..."/>
    <w:basedOn w:val="634"/>
    <w:next w:val="634"/>
    <w:semiHidden/>
    <w:qFormat/>
    <w:uiPriority w:val="0"/>
    <w:pPr>
      <w:ind w:firstLine="0" w:firstLineChars="0"/>
    </w:pPr>
    <w:rPr>
      <w:rFonts w:eastAsia="Arial Unicode MS" w:cs="仿宋_GB2312"/>
      <w:b/>
    </w:rPr>
  </w:style>
  <w:style w:type="character" w:customStyle="1" w:styleId="653">
    <w:name w:val="even Char1"/>
    <w:qFormat/>
    <w:uiPriority w:val="0"/>
    <w:rPr>
      <w:rFonts w:eastAsia="仿宋_GB2312"/>
      <w:sz w:val="18"/>
      <w:lang w:val="en-US" w:eastAsia="zh-CN" w:bidi="ar-SA"/>
    </w:rPr>
  </w:style>
  <w:style w:type="character" w:customStyle="1" w:styleId="654">
    <w:name w:val="h4 Char"/>
    <w:qFormat/>
    <w:uiPriority w:val="0"/>
    <w:rPr>
      <w:rFonts w:eastAsia="仿宋_GB2312"/>
      <w:b/>
      <w:sz w:val="28"/>
      <w:lang w:val="en-US" w:eastAsia="zh-CN" w:bidi="ar-SA"/>
    </w:rPr>
  </w:style>
  <w:style w:type="character" w:customStyle="1" w:styleId="655">
    <w:name w:val="Footer-Even Char"/>
    <w:qFormat/>
    <w:uiPriority w:val="0"/>
    <w:rPr>
      <w:rFonts w:eastAsia="仿宋_GB2312"/>
      <w:sz w:val="18"/>
      <w:lang w:val="en-US" w:eastAsia="zh-CN" w:bidi="ar-SA"/>
    </w:rPr>
  </w:style>
  <w:style w:type="paragraph" w:customStyle="1" w:styleId="656">
    <w:name w:val="文本"/>
    <w:basedOn w:val="1"/>
    <w:next w:val="52"/>
    <w:link w:val="657"/>
    <w:qFormat/>
    <w:uiPriority w:val="0"/>
    <w:pPr>
      <w:spacing w:line="360" w:lineRule="auto"/>
      <w:ind w:firstLine="495"/>
    </w:pPr>
    <w:rPr>
      <w:rFonts w:ascii="Courier New" w:hAnsi="Courier New" w:eastAsia="仿宋_GB2312" w:cs="Courier New"/>
      <w:sz w:val="24"/>
    </w:rPr>
  </w:style>
  <w:style w:type="character" w:customStyle="1" w:styleId="657">
    <w:name w:val="文本 Char"/>
    <w:link w:val="656"/>
    <w:qFormat/>
    <w:uiPriority w:val="0"/>
    <w:rPr>
      <w:rFonts w:ascii="Courier New" w:hAnsi="Courier New" w:eastAsia="仿宋_GB2312" w:cs="Courier New"/>
      <w:kern w:val="2"/>
      <w:sz w:val="24"/>
      <w:szCs w:val="24"/>
      <w:lang w:val="en-US" w:eastAsia="zh-CN" w:bidi="ar-SA"/>
    </w:rPr>
  </w:style>
  <w:style w:type="paragraph" w:styleId="658">
    <w:name w:val="List Paragraph"/>
    <w:basedOn w:val="1"/>
    <w:qFormat/>
    <w:uiPriority w:val="0"/>
    <w:pPr>
      <w:ind w:firstLine="420" w:firstLineChars="200"/>
    </w:pPr>
    <w:rPr>
      <w:rFonts w:ascii="Courier New" w:hAnsi="Courier New" w:eastAsia="仿宋_GB2312" w:cs="Courier New"/>
    </w:rPr>
  </w:style>
  <w:style w:type="paragraph" w:customStyle="1" w:styleId="659">
    <w:name w:val="正文01"/>
    <w:basedOn w:val="1"/>
    <w:link w:val="1242"/>
    <w:qFormat/>
    <w:uiPriority w:val="0"/>
    <w:pPr>
      <w:spacing w:before="60" w:line="460" w:lineRule="exact"/>
      <w:ind w:firstLine="200" w:firstLineChars="200"/>
    </w:pPr>
    <w:rPr>
      <w:rFonts w:ascii="Courier New" w:hAnsi="Courier New" w:eastAsia="仿宋_GB2312" w:cs="Courier New"/>
      <w:snapToGrid w:val="0"/>
      <w:kern w:val="0"/>
      <w:sz w:val="24"/>
    </w:rPr>
  </w:style>
  <w:style w:type="paragraph" w:customStyle="1" w:styleId="660">
    <w:name w:val="表格下方正文"/>
    <w:basedOn w:val="1"/>
    <w:qFormat/>
    <w:uiPriority w:val="0"/>
    <w:pPr>
      <w:spacing w:before="300" w:line="460" w:lineRule="exact"/>
      <w:ind w:firstLine="200" w:firstLineChars="200"/>
    </w:pPr>
    <w:rPr>
      <w:rFonts w:ascii="Courier New" w:hAnsi="Courier New" w:eastAsia="仿宋_GB2312" w:cs="Courier New"/>
      <w:sz w:val="24"/>
      <w:szCs w:val="20"/>
    </w:rPr>
  </w:style>
  <w:style w:type="paragraph" w:customStyle="1" w:styleId="661">
    <w:name w:val="hhcwt表头"/>
    <w:basedOn w:val="1"/>
    <w:link w:val="662"/>
    <w:qFormat/>
    <w:uiPriority w:val="0"/>
    <w:pPr>
      <w:spacing w:after="120"/>
      <w:ind w:left="100" w:leftChars="100" w:right="100" w:rightChars="100"/>
      <w:jc w:val="center"/>
    </w:pPr>
    <w:rPr>
      <w:rFonts w:ascii="华文楷体" w:hAnsi="Courier New" w:eastAsia="华文楷体" w:cs="仿宋_GB2312"/>
      <w:b/>
      <w:bCs/>
      <w:kern w:val="0"/>
      <w:sz w:val="24"/>
      <w:szCs w:val="20"/>
    </w:rPr>
  </w:style>
  <w:style w:type="character" w:customStyle="1" w:styleId="662">
    <w:name w:val="hhcwt表头 Char Char"/>
    <w:link w:val="661"/>
    <w:qFormat/>
    <w:uiPriority w:val="0"/>
    <w:rPr>
      <w:rFonts w:ascii="华文楷体" w:hAnsi="Courier New" w:eastAsia="华文楷体" w:cs="仿宋_GB2312"/>
      <w:b/>
      <w:bCs/>
      <w:sz w:val="24"/>
      <w:lang w:val="en-US" w:eastAsia="zh-CN" w:bidi="ar-SA"/>
    </w:rPr>
  </w:style>
  <w:style w:type="paragraph" w:customStyle="1" w:styleId="663">
    <w:name w:val="1级标题"/>
    <w:basedOn w:val="5"/>
    <w:semiHidden/>
    <w:qFormat/>
    <w:uiPriority w:val="0"/>
    <w:pPr>
      <w:keepNext w:val="0"/>
      <w:keepLines w:val="0"/>
      <w:pageBreakBefore w:val="0"/>
      <w:numPr>
        <w:numId w:val="0"/>
      </w:numPr>
      <w:snapToGrid w:val="0"/>
      <w:spacing w:before="0" w:after="0" w:line="360" w:lineRule="auto"/>
      <w:jc w:val="both"/>
      <w:textAlignment w:val="auto"/>
    </w:pPr>
    <w:rPr>
      <w:rFonts w:ascii="Arial Unicode MS" w:hAnsi="Courier New" w:eastAsia="Arial Unicode MS" w:cs="Courier New"/>
      <w:bCs/>
      <w:sz w:val="32"/>
      <w:szCs w:val="30"/>
    </w:rPr>
  </w:style>
  <w:style w:type="paragraph" w:customStyle="1" w:styleId="664">
    <w:name w:val="2级标题"/>
    <w:basedOn w:val="6"/>
    <w:semiHidden/>
    <w:qFormat/>
    <w:uiPriority w:val="0"/>
    <w:pPr>
      <w:keepNext w:val="0"/>
      <w:keepLines w:val="0"/>
      <w:numPr>
        <w:ilvl w:val="0"/>
        <w:numId w:val="0"/>
      </w:numPr>
      <w:tabs>
        <w:tab w:val="left" w:pos="3564"/>
      </w:tabs>
      <w:snapToGrid w:val="0"/>
      <w:spacing w:before="50" w:after="0"/>
      <w:jc w:val="both"/>
      <w:textAlignment w:val="auto"/>
    </w:pPr>
    <w:rPr>
      <w:rFonts w:ascii="Arial Unicode MS" w:hAnsi="华文中宋" w:eastAsia="Arial Unicode MS" w:cs="Courier New"/>
      <w:b w:val="0"/>
      <w:snapToGrid w:val="0"/>
      <w:sz w:val="30"/>
      <w:szCs w:val="28"/>
    </w:rPr>
  </w:style>
  <w:style w:type="paragraph" w:customStyle="1" w:styleId="665">
    <w:name w:val="Body Single"/>
    <w:qFormat/>
    <w:uiPriority w:val="0"/>
    <w:pPr>
      <w:widowControl w:val="0"/>
      <w:autoSpaceDE w:val="0"/>
      <w:autoSpaceDN w:val="0"/>
      <w:adjustRightInd w:val="0"/>
      <w:textAlignment w:val="baseline"/>
    </w:pPr>
    <w:rPr>
      <w:rFonts w:ascii="仿宋_GB2312" w:hAnsi="Courier New" w:eastAsia="仿宋_GB2312" w:cs="Courier New"/>
      <w:color w:val="000000"/>
      <w:sz w:val="24"/>
      <w:lang w:val="en-US" w:eastAsia="zh-CN" w:bidi="ar-SA"/>
    </w:rPr>
  </w:style>
  <w:style w:type="paragraph" w:customStyle="1" w:styleId="666">
    <w:name w:val="Number List"/>
    <w:qFormat/>
    <w:uiPriority w:val="0"/>
    <w:pPr>
      <w:widowControl w:val="0"/>
      <w:autoSpaceDE w:val="0"/>
      <w:autoSpaceDN w:val="0"/>
      <w:adjustRightInd w:val="0"/>
      <w:ind w:left="720"/>
      <w:textAlignment w:val="baseline"/>
    </w:pPr>
    <w:rPr>
      <w:rFonts w:ascii="仿宋_GB2312" w:hAnsi="Courier New" w:eastAsia="仿宋_GB2312" w:cs="Courier New"/>
      <w:color w:val="000000"/>
      <w:sz w:val="24"/>
      <w:lang w:val="en-US" w:eastAsia="zh-CN" w:bidi="ar-SA"/>
    </w:rPr>
  </w:style>
  <w:style w:type="paragraph" w:customStyle="1" w:styleId="667">
    <w:name w:val="Subhead"/>
    <w:qFormat/>
    <w:uiPriority w:val="0"/>
    <w:pPr>
      <w:widowControl w:val="0"/>
      <w:autoSpaceDE w:val="0"/>
      <w:autoSpaceDN w:val="0"/>
      <w:adjustRightInd w:val="0"/>
      <w:spacing w:before="72" w:after="72"/>
      <w:textAlignment w:val="baseline"/>
    </w:pPr>
    <w:rPr>
      <w:rFonts w:ascii="仿宋_GB2312" w:hAnsi="Courier New" w:eastAsia="仿宋_GB2312" w:cs="Courier New"/>
      <w:b/>
      <w:i/>
      <w:color w:val="000000"/>
      <w:sz w:val="24"/>
      <w:lang w:val="en-US" w:eastAsia="zh-CN" w:bidi="ar-SA"/>
    </w:rPr>
  </w:style>
  <w:style w:type="paragraph" w:customStyle="1" w:styleId="668">
    <w:name w:val="Bullet 1"/>
    <w:qFormat/>
    <w:uiPriority w:val="0"/>
    <w:pPr>
      <w:widowControl w:val="0"/>
      <w:autoSpaceDE w:val="0"/>
      <w:autoSpaceDN w:val="0"/>
      <w:adjustRightInd w:val="0"/>
      <w:ind w:left="576"/>
      <w:textAlignment w:val="baseline"/>
    </w:pPr>
    <w:rPr>
      <w:rFonts w:ascii="仿宋_GB2312" w:hAnsi="Courier New" w:eastAsia="仿宋_GB2312" w:cs="Courier New"/>
      <w:color w:val="000000"/>
      <w:sz w:val="24"/>
      <w:lang w:val="en-US" w:eastAsia="zh-CN" w:bidi="ar-SA"/>
    </w:rPr>
  </w:style>
  <w:style w:type="paragraph" w:customStyle="1" w:styleId="669">
    <w:name w:val="Bullet"/>
    <w:qFormat/>
    <w:uiPriority w:val="0"/>
    <w:pPr>
      <w:widowControl w:val="0"/>
      <w:autoSpaceDE w:val="0"/>
      <w:autoSpaceDN w:val="0"/>
      <w:adjustRightInd w:val="0"/>
      <w:ind w:left="288"/>
      <w:textAlignment w:val="baseline"/>
    </w:pPr>
    <w:rPr>
      <w:rFonts w:ascii="仿宋_GB2312" w:hAnsi="Courier New" w:eastAsia="仿宋_GB2312" w:cs="Courier New"/>
      <w:color w:val="000000"/>
      <w:sz w:val="24"/>
      <w:lang w:val="en-US" w:eastAsia="zh-CN" w:bidi="ar-SA"/>
    </w:rPr>
  </w:style>
  <w:style w:type="paragraph" w:customStyle="1" w:styleId="670">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仿宋_GB2312" w:hAnsi="仿宋_GB2312" w:eastAsia="仿宋_GB2312" w:cs="Courier New"/>
      <w:kern w:val="0"/>
      <w:sz w:val="24"/>
      <w:szCs w:val="20"/>
    </w:rPr>
  </w:style>
  <w:style w:type="character" w:customStyle="1" w:styleId="671">
    <w:name w:val="note1"/>
    <w:qFormat/>
    <w:uiPriority w:val="0"/>
    <w:rPr>
      <w:color w:val="000000"/>
      <w:sz w:val="22"/>
      <w:szCs w:val="22"/>
    </w:rPr>
  </w:style>
  <w:style w:type="paragraph" w:customStyle="1" w:styleId="672">
    <w:name w:val="dbchf15cgrid snext0 Norm"/>
    <w:qFormat/>
    <w:uiPriority w:val="0"/>
    <w:pPr>
      <w:widowControl w:val="0"/>
      <w:autoSpaceDE w:val="0"/>
      <w:autoSpaceDN w:val="0"/>
      <w:adjustRightInd w:val="0"/>
      <w:spacing w:line="360" w:lineRule="atLeast"/>
    </w:pPr>
    <w:rPr>
      <w:rFonts w:ascii="仿宋_GB2312" w:hAnsi="Courier New" w:eastAsia="仿宋_GB2312" w:cs="Courier New"/>
      <w:color w:val="000000"/>
      <w:lang w:val="en-US" w:eastAsia="zh-CN" w:bidi="ar-SA"/>
    </w:rPr>
  </w:style>
  <w:style w:type="character" w:customStyle="1" w:styleId="673">
    <w:name w:val="HTML Markup"/>
    <w:qFormat/>
    <w:uiPriority w:val="0"/>
    <w:rPr>
      <w:vanish/>
      <w:color w:val="FF0000"/>
    </w:rPr>
  </w:style>
  <w:style w:type="paragraph" w:customStyle="1" w:styleId="674">
    <w:name w:val="章节_2"/>
    <w:qFormat/>
    <w:uiPriority w:val="0"/>
    <w:pPr>
      <w:widowControl w:val="0"/>
      <w:autoSpaceDE w:val="0"/>
      <w:autoSpaceDN w:val="0"/>
      <w:adjustRightInd w:val="0"/>
      <w:spacing w:before="72" w:line="360" w:lineRule="atLeast"/>
      <w:ind w:firstLine="504"/>
      <w:textAlignment w:val="baseline"/>
    </w:pPr>
    <w:rPr>
      <w:rFonts w:ascii="Arial Unicode MS" w:hAnsi="Courier New" w:eastAsia="Arial Unicode MS" w:cs="Courier New"/>
      <w:color w:val="0000FF"/>
      <w:sz w:val="24"/>
      <w:lang w:val="en-US" w:eastAsia="zh-CN" w:bidi="ar-SA"/>
    </w:rPr>
  </w:style>
  <w:style w:type="character" w:customStyle="1" w:styleId="675">
    <w:name w:val="列表 字符"/>
    <w:link w:val="67"/>
    <w:semiHidden/>
    <w:qFormat/>
    <w:uiPriority w:val="0"/>
    <w:rPr>
      <w:rFonts w:ascii="Courier New" w:hAnsi="Courier New" w:eastAsia="仿宋_GB2312" w:cs="Courier New"/>
      <w:kern w:val="2"/>
      <w:sz w:val="21"/>
      <w:szCs w:val="24"/>
      <w:lang w:val="en-US" w:eastAsia="zh-CN" w:bidi="ar-SA"/>
    </w:rPr>
  </w:style>
  <w:style w:type="paragraph" w:customStyle="1" w:styleId="676">
    <w:name w:val="样式 小四1"/>
    <w:basedOn w:val="1"/>
    <w:link w:val="677"/>
    <w:qFormat/>
    <w:uiPriority w:val="0"/>
    <w:pPr>
      <w:ind w:firstLine="200" w:firstLineChars="200"/>
    </w:pPr>
    <w:rPr>
      <w:rFonts w:ascii="Courier New" w:hAnsi="Courier New" w:eastAsia="仿宋_GB2312" w:cs="仿宋_GB2312"/>
      <w:sz w:val="24"/>
      <w:szCs w:val="20"/>
    </w:rPr>
  </w:style>
  <w:style w:type="character" w:customStyle="1" w:styleId="677">
    <w:name w:val="样式 小四1 Char"/>
    <w:link w:val="676"/>
    <w:qFormat/>
    <w:uiPriority w:val="0"/>
    <w:rPr>
      <w:rFonts w:ascii="Courier New" w:hAnsi="Courier New" w:eastAsia="仿宋_GB2312" w:cs="仿宋_GB2312"/>
      <w:kern w:val="2"/>
      <w:sz w:val="24"/>
      <w:lang w:val="en-US" w:eastAsia="zh-CN" w:bidi="ar-SA"/>
    </w:rPr>
  </w:style>
  <w:style w:type="paragraph" w:customStyle="1" w:styleId="678">
    <w:name w:val="我的表格"/>
    <w:basedOn w:val="1"/>
    <w:link w:val="680"/>
    <w:qFormat/>
    <w:uiPriority w:val="0"/>
    <w:pPr>
      <w:adjustRightInd w:val="0"/>
      <w:jc w:val="center"/>
      <w:textAlignment w:val="baseline"/>
    </w:pPr>
    <w:rPr>
      <w:rFonts w:ascii="Courier New" w:hAnsi="Courier New" w:eastAsia="仿宋_GB2312" w:cs="Courier New"/>
      <w:kern w:val="0"/>
      <w:szCs w:val="20"/>
    </w:rPr>
  </w:style>
  <w:style w:type="character" w:customStyle="1" w:styleId="679">
    <w:name w:val="题注 字符"/>
    <w:link w:val="23"/>
    <w:qFormat/>
    <w:uiPriority w:val="0"/>
    <w:rPr>
      <w:rFonts w:ascii="Arial" w:hAnsi="Arial" w:eastAsia="黑体" w:cs="Arial"/>
      <w:kern w:val="2"/>
      <w:lang w:val="en-US" w:eastAsia="zh-CN" w:bidi="ar-SA"/>
    </w:rPr>
  </w:style>
  <w:style w:type="character" w:customStyle="1" w:styleId="680">
    <w:name w:val="我的表格 Char"/>
    <w:link w:val="678"/>
    <w:qFormat/>
    <w:uiPriority w:val="0"/>
    <w:rPr>
      <w:rFonts w:ascii="Courier New" w:hAnsi="Courier New" w:eastAsia="仿宋_GB2312" w:cs="Courier New"/>
      <w:sz w:val="21"/>
      <w:lang w:val="en-US" w:eastAsia="zh-CN" w:bidi="ar-SA"/>
    </w:rPr>
  </w:style>
  <w:style w:type="paragraph" w:customStyle="1" w:styleId="681">
    <w:name w:val="标准正文"/>
    <w:basedOn w:val="1"/>
    <w:link w:val="682"/>
    <w:qFormat/>
    <w:uiPriority w:val="0"/>
    <w:pPr>
      <w:autoSpaceDE w:val="0"/>
      <w:autoSpaceDN w:val="0"/>
      <w:adjustRightInd w:val="0"/>
      <w:snapToGrid w:val="0"/>
      <w:spacing w:line="360" w:lineRule="auto"/>
      <w:ind w:firstLine="510"/>
    </w:pPr>
    <w:rPr>
      <w:rFonts w:ascii="Courier New" w:hAnsi="Courier New" w:eastAsia="仿宋_GB2312" w:cs="Courier New"/>
      <w:color w:val="0000FF"/>
      <w:kern w:val="0"/>
      <w:sz w:val="28"/>
      <w:szCs w:val="20"/>
    </w:rPr>
  </w:style>
  <w:style w:type="character" w:customStyle="1" w:styleId="682">
    <w:name w:val="标准正文 Char"/>
    <w:link w:val="681"/>
    <w:qFormat/>
    <w:uiPriority w:val="0"/>
    <w:rPr>
      <w:rFonts w:ascii="Courier New" w:hAnsi="Courier New" w:eastAsia="仿宋_GB2312" w:cs="Courier New"/>
      <w:color w:val="0000FF"/>
      <w:sz w:val="28"/>
      <w:lang w:val="en-US" w:eastAsia="zh-CN" w:bidi="ar-SA"/>
    </w:rPr>
  </w:style>
  <w:style w:type="paragraph" w:customStyle="1" w:styleId="683">
    <w:name w:val="Unindent"/>
    <w:basedOn w:val="1"/>
    <w:qFormat/>
    <w:uiPriority w:val="0"/>
    <w:pPr>
      <w:widowControl/>
      <w:tabs>
        <w:tab w:val="left" w:pos="851"/>
      </w:tabs>
    </w:pPr>
    <w:rPr>
      <w:rFonts w:ascii="Courier New" w:hAnsi="Courier New" w:eastAsia="仿宋_GB2312" w:cs="Courier New"/>
      <w:kern w:val="0"/>
      <w:sz w:val="22"/>
      <w:szCs w:val="20"/>
    </w:rPr>
  </w:style>
  <w:style w:type="paragraph" w:customStyle="1" w:styleId="684">
    <w:name w:val="正文段落"/>
    <w:basedOn w:val="1"/>
    <w:qFormat/>
    <w:uiPriority w:val="0"/>
    <w:pPr>
      <w:spacing w:line="360" w:lineRule="exact"/>
      <w:ind w:firstLine="476"/>
    </w:pPr>
    <w:rPr>
      <w:rFonts w:ascii="仿宋_GB2312" w:hAnsi="仿宋_GB2312" w:eastAsia="仿宋_GB2312" w:cs="Courier New"/>
      <w:sz w:val="24"/>
    </w:rPr>
  </w:style>
  <w:style w:type="paragraph" w:customStyle="1" w:styleId="685">
    <w:name w:val="a3"/>
    <w:basedOn w:val="1"/>
    <w:qFormat/>
    <w:uiPriority w:val="0"/>
    <w:pPr>
      <w:widowControl/>
      <w:spacing w:before="100" w:beforeAutospacing="1" w:after="100" w:afterAutospacing="1"/>
      <w:jc w:val="left"/>
    </w:pPr>
    <w:rPr>
      <w:rFonts w:ascii="仿宋_GB2312" w:hAnsi="仿宋_GB2312" w:eastAsia="仿宋_GB2312" w:cs="仿宋_GB2312"/>
      <w:color w:val="000000"/>
      <w:kern w:val="0"/>
      <w:sz w:val="24"/>
    </w:rPr>
  </w:style>
  <w:style w:type="paragraph" w:customStyle="1" w:styleId="686">
    <w:name w:val="Date1"/>
    <w:basedOn w:val="1"/>
    <w:next w:val="1"/>
    <w:qFormat/>
    <w:uiPriority w:val="0"/>
    <w:pPr>
      <w:adjustRightInd w:val="0"/>
      <w:textAlignment w:val="baseline"/>
    </w:pPr>
    <w:rPr>
      <w:rFonts w:ascii="Courier New" w:hAnsi="Courier New" w:eastAsia="仿宋_GB2312" w:cs="Courier New"/>
      <w:szCs w:val="20"/>
    </w:rPr>
  </w:style>
  <w:style w:type="paragraph" w:customStyle="1" w:styleId="687">
    <w:name w:val="1标题3级"/>
    <w:basedOn w:val="1"/>
    <w:qFormat/>
    <w:uiPriority w:val="0"/>
    <w:pPr>
      <w:snapToGrid w:val="0"/>
      <w:spacing w:line="360" w:lineRule="auto"/>
    </w:pPr>
    <w:rPr>
      <w:rFonts w:ascii="Courier New" w:hAnsi="Courier New" w:cs="Courier New"/>
      <w:sz w:val="28"/>
      <w:szCs w:val="20"/>
    </w:rPr>
  </w:style>
  <w:style w:type="paragraph" w:customStyle="1" w:styleId="688">
    <w:name w:val="1表格头"/>
    <w:basedOn w:val="1"/>
    <w:qFormat/>
    <w:uiPriority w:val="0"/>
    <w:pPr>
      <w:snapToGrid w:val="0"/>
      <w:spacing w:line="160" w:lineRule="atLeast"/>
      <w:jc w:val="center"/>
    </w:pPr>
    <w:rPr>
      <w:rFonts w:ascii="Courier New" w:hAnsi="Courier New" w:cs="Courier New"/>
      <w:sz w:val="24"/>
      <w:szCs w:val="20"/>
    </w:rPr>
  </w:style>
  <w:style w:type="paragraph" w:customStyle="1" w:styleId="689">
    <w:name w:val="1标题2级"/>
    <w:basedOn w:val="1"/>
    <w:qFormat/>
    <w:uiPriority w:val="0"/>
    <w:pPr>
      <w:snapToGrid w:val="0"/>
      <w:spacing w:line="360" w:lineRule="auto"/>
    </w:pPr>
    <w:rPr>
      <w:rFonts w:ascii="Courier New" w:hAnsi="Courier New" w:cs="Courier New"/>
      <w:b/>
      <w:sz w:val="30"/>
      <w:szCs w:val="20"/>
    </w:rPr>
  </w:style>
  <w:style w:type="paragraph" w:customStyle="1" w:styleId="690">
    <w:name w:val="1文章"/>
    <w:basedOn w:val="1"/>
    <w:qFormat/>
    <w:uiPriority w:val="0"/>
    <w:pPr>
      <w:snapToGrid w:val="0"/>
      <w:spacing w:line="360" w:lineRule="auto"/>
      <w:ind w:firstLine="573"/>
    </w:pPr>
    <w:rPr>
      <w:rFonts w:ascii="Courier New" w:hAnsi="Courier New" w:cs="Courier New"/>
      <w:sz w:val="28"/>
      <w:szCs w:val="20"/>
    </w:rPr>
  </w:style>
  <w:style w:type="paragraph" w:customStyle="1" w:styleId="691">
    <w:name w:val="1表格"/>
    <w:basedOn w:val="690"/>
    <w:next w:val="4"/>
    <w:qFormat/>
    <w:uiPriority w:val="0"/>
    <w:pPr>
      <w:spacing w:line="160" w:lineRule="atLeast"/>
      <w:ind w:firstLine="0"/>
      <w:jc w:val="center"/>
    </w:pPr>
    <w:rPr>
      <w:sz w:val="21"/>
    </w:rPr>
  </w:style>
  <w:style w:type="character" w:customStyle="1" w:styleId="692">
    <w:name w:val="p121"/>
    <w:qFormat/>
    <w:uiPriority w:val="0"/>
    <w:rPr>
      <w:rFonts w:hint="eastAsia" w:ascii="仿宋_GB2312" w:hAnsi="仿宋_GB2312" w:eastAsia="仿宋_GB2312"/>
      <w:sz w:val="18"/>
      <w:szCs w:val="18"/>
    </w:rPr>
  </w:style>
  <w:style w:type="character" w:customStyle="1" w:styleId="693">
    <w:name w:val="11"/>
    <w:qFormat/>
    <w:uiPriority w:val="0"/>
    <w:rPr>
      <w:sz w:val="21"/>
      <w:szCs w:val="21"/>
    </w:rPr>
  </w:style>
  <w:style w:type="character" w:customStyle="1" w:styleId="694">
    <w:name w:val="text-content1"/>
    <w:qFormat/>
    <w:uiPriority w:val="0"/>
    <w:rPr>
      <w:sz w:val="18"/>
      <w:szCs w:val="18"/>
    </w:rPr>
  </w:style>
  <w:style w:type="character" w:customStyle="1" w:styleId="695">
    <w:name w:val="12pixblack1"/>
    <w:qFormat/>
    <w:uiPriority w:val="0"/>
    <w:rPr>
      <w:sz w:val="18"/>
      <w:szCs w:val="18"/>
    </w:rPr>
  </w:style>
  <w:style w:type="paragraph" w:customStyle="1" w:styleId="696">
    <w:name w:val="表格内格式"/>
    <w:basedOn w:val="1"/>
    <w:qFormat/>
    <w:uiPriority w:val="0"/>
    <w:pPr>
      <w:spacing w:line="240" w:lineRule="exact"/>
      <w:jc w:val="center"/>
    </w:pPr>
    <w:rPr>
      <w:rFonts w:ascii="仿宋_GB2312" w:hAnsi="Courier New" w:eastAsia="仿宋_GB2312" w:cs="Courier New"/>
    </w:rPr>
  </w:style>
  <w:style w:type="character" w:customStyle="1" w:styleId="697">
    <w:name w:val="postbody1"/>
    <w:qFormat/>
    <w:uiPriority w:val="0"/>
    <w:rPr>
      <w:sz w:val="21"/>
      <w:szCs w:val="21"/>
    </w:rPr>
  </w:style>
  <w:style w:type="paragraph" w:customStyle="1" w:styleId="698">
    <w:name w:val="表格-内容"/>
    <w:basedOn w:val="1"/>
    <w:qFormat/>
    <w:uiPriority w:val="0"/>
    <w:pPr>
      <w:jc w:val="center"/>
    </w:pPr>
    <w:rPr>
      <w:rFonts w:ascii="仿宋_GB2312" w:hAnsi="仿宋_GB2312" w:eastAsia="仿宋_GB2312" w:cs="Courier New"/>
      <w:szCs w:val="21"/>
    </w:rPr>
  </w:style>
  <w:style w:type="paragraph" w:customStyle="1" w:styleId="699">
    <w:name w:val="表6"/>
    <w:basedOn w:val="4"/>
    <w:qFormat/>
    <w:uiPriority w:val="0"/>
    <w:pPr>
      <w:autoSpaceDE/>
      <w:autoSpaceDN/>
      <w:adjustRightInd/>
      <w:spacing w:line="360" w:lineRule="auto"/>
      <w:jc w:val="center"/>
      <w:textAlignment w:val="auto"/>
    </w:pPr>
    <w:rPr>
      <w:rFonts w:ascii="仿宋_GB2312" w:hAnsi="仿宋_GB2312" w:eastAsia="Arial Unicode MS" w:cs="Courier New"/>
      <w:color w:val="auto"/>
      <w:sz w:val="21"/>
      <w:szCs w:val="24"/>
    </w:rPr>
  </w:style>
  <w:style w:type="paragraph" w:customStyle="1" w:styleId="700">
    <w:name w:val="表格后-段落"/>
    <w:basedOn w:val="698"/>
    <w:qFormat/>
    <w:uiPriority w:val="0"/>
    <w:pPr>
      <w:spacing w:beforeLines="150" w:line="360" w:lineRule="auto"/>
      <w:ind w:firstLine="200" w:firstLineChars="200"/>
      <w:jc w:val="left"/>
    </w:pPr>
    <w:rPr>
      <w:sz w:val="24"/>
      <w:szCs w:val="24"/>
    </w:rPr>
  </w:style>
  <w:style w:type="character" w:customStyle="1" w:styleId="701">
    <w:name w:val="f_heading1"/>
    <w:basedOn w:val="134"/>
    <w:qFormat/>
    <w:uiPriority w:val="0"/>
  </w:style>
  <w:style w:type="paragraph" w:customStyle="1" w:styleId="702">
    <w:name w:val="报告表格"/>
    <w:basedOn w:val="1"/>
    <w:link w:val="1206"/>
    <w:qFormat/>
    <w:uiPriority w:val="0"/>
    <w:pPr>
      <w:autoSpaceDE w:val="0"/>
      <w:autoSpaceDN w:val="0"/>
      <w:adjustRightInd w:val="0"/>
      <w:spacing w:before="40" w:after="40"/>
      <w:jc w:val="center"/>
      <w:textAlignment w:val="bottom"/>
    </w:pPr>
    <w:rPr>
      <w:rFonts w:ascii="Courier New" w:hAnsi="Courier New" w:eastAsia="仿宋_GB2312"/>
      <w:kern w:val="0"/>
      <w:szCs w:val="20"/>
    </w:rPr>
  </w:style>
  <w:style w:type="paragraph" w:customStyle="1" w:styleId="703">
    <w:name w:val="二级无标题条"/>
    <w:basedOn w:val="1"/>
    <w:qFormat/>
    <w:uiPriority w:val="0"/>
    <w:rPr>
      <w:rFonts w:ascii="Courier New" w:hAnsi="Courier New" w:eastAsia="仿宋_GB2312" w:cs="Courier New"/>
    </w:rPr>
  </w:style>
  <w:style w:type="character" w:customStyle="1" w:styleId="704">
    <w:name w:val="t_tag"/>
    <w:basedOn w:val="134"/>
    <w:qFormat/>
    <w:uiPriority w:val="0"/>
  </w:style>
  <w:style w:type="paragraph" w:customStyle="1" w:styleId="705">
    <w:name w:val="附录标识"/>
    <w:basedOn w:val="203"/>
    <w:qFormat/>
    <w:uiPriority w:val="0"/>
    <w:pPr>
      <w:numPr>
        <w:numId w:val="0"/>
      </w:numPr>
      <w:tabs>
        <w:tab w:val="left" w:pos="6405"/>
      </w:tabs>
      <w:spacing w:after="200"/>
    </w:pPr>
    <w:rPr>
      <w:sz w:val="21"/>
    </w:rPr>
  </w:style>
  <w:style w:type="paragraph" w:customStyle="1" w:styleId="706">
    <w:name w:val="附录章标题"/>
    <w:next w:val="1"/>
    <w:qFormat/>
    <w:uiPriority w:val="0"/>
    <w:pPr>
      <w:wordWrap w:val="0"/>
      <w:overflowPunct w:val="0"/>
      <w:autoSpaceDE w:val="0"/>
      <w:spacing w:beforeLines="50" w:afterLines="50"/>
      <w:jc w:val="both"/>
      <w:textAlignment w:val="baseline"/>
      <w:outlineLvl w:val="1"/>
    </w:pPr>
    <w:rPr>
      <w:rFonts w:ascii="Arial Unicode MS" w:hAnsi="Courier New" w:eastAsia="Arial Unicode MS" w:cs="Courier New"/>
      <w:kern w:val="21"/>
      <w:sz w:val="21"/>
      <w:lang w:val="en-US" w:eastAsia="zh-CN" w:bidi="ar-SA"/>
    </w:rPr>
  </w:style>
  <w:style w:type="paragraph" w:customStyle="1" w:styleId="707">
    <w:name w:val="附录一级条标题"/>
    <w:basedOn w:val="706"/>
    <w:next w:val="1"/>
    <w:qFormat/>
    <w:uiPriority w:val="0"/>
    <w:pPr>
      <w:tabs>
        <w:tab w:val="left" w:pos="828"/>
      </w:tabs>
      <w:autoSpaceDN w:val="0"/>
      <w:spacing w:beforeLines="0" w:afterLines="0"/>
      <w:ind w:left="828" w:hanging="240"/>
      <w:outlineLvl w:val="2"/>
    </w:pPr>
  </w:style>
  <w:style w:type="paragraph" w:customStyle="1" w:styleId="708">
    <w:name w:val="附录二级条标题"/>
    <w:basedOn w:val="707"/>
    <w:next w:val="1"/>
    <w:qFormat/>
    <w:uiPriority w:val="0"/>
    <w:pPr>
      <w:tabs>
        <w:tab w:val="left" w:pos="360"/>
        <w:tab w:val="clear" w:pos="828"/>
      </w:tabs>
      <w:ind w:left="360" w:hanging="360"/>
      <w:outlineLvl w:val="3"/>
    </w:pPr>
  </w:style>
  <w:style w:type="paragraph" w:customStyle="1" w:styleId="709">
    <w:name w:val="附录三级条标题"/>
    <w:basedOn w:val="708"/>
    <w:next w:val="1"/>
    <w:qFormat/>
    <w:uiPriority w:val="0"/>
    <w:pPr>
      <w:tabs>
        <w:tab w:val="left" w:pos="1068"/>
        <w:tab w:val="clear" w:pos="360"/>
      </w:tabs>
      <w:ind w:left="1068"/>
      <w:outlineLvl w:val="4"/>
    </w:pPr>
  </w:style>
  <w:style w:type="paragraph" w:customStyle="1" w:styleId="710">
    <w:name w:val="附录四级条标题"/>
    <w:basedOn w:val="709"/>
    <w:next w:val="1"/>
    <w:qFormat/>
    <w:uiPriority w:val="0"/>
    <w:pPr>
      <w:tabs>
        <w:tab w:val="left" w:pos="960"/>
        <w:tab w:val="clear" w:pos="1068"/>
      </w:tabs>
      <w:ind w:left="960"/>
      <w:outlineLvl w:val="5"/>
    </w:pPr>
  </w:style>
  <w:style w:type="paragraph" w:customStyle="1" w:styleId="711">
    <w:name w:val="表格正文"/>
    <w:basedOn w:val="2"/>
    <w:qFormat/>
    <w:uiPriority w:val="0"/>
    <w:pPr>
      <w:autoSpaceDE w:val="0"/>
      <w:autoSpaceDN w:val="0"/>
      <w:adjustRightInd w:val="0"/>
      <w:spacing w:before="40" w:after="40" w:line="240" w:lineRule="auto"/>
      <w:ind w:firstLine="0"/>
      <w:jc w:val="center"/>
      <w:textAlignment w:val="bottom"/>
    </w:pPr>
    <w:rPr>
      <w:rFonts w:ascii="华文楷体" w:hAnsi="Courier New" w:eastAsia="华文楷体" w:cs="Courier New"/>
      <w:kern w:val="0"/>
    </w:rPr>
  </w:style>
  <w:style w:type="paragraph" w:customStyle="1" w:styleId="712">
    <w:name w:val="表格中对齐"/>
    <w:basedOn w:val="1"/>
    <w:qFormat/>
    <w:uiPriority w:val="0"/>
    <w:pPr>
      <w:widowControl/>
      <w:snapToGrid w:val="0"/>
      <w:spacing w:before="20" w:after="20" w:line="240" w:lineRule="atLeast"/>
      <w:jc w:val="center"/>
    </w:pPr>
    <w:rPr>
      <w:rFonts w:ascii="Courier New" w:hAnsi="Courier New" w:eastAsia="仿宋_GB2312" w:cs="Courier New"/>
      <w:sz w:val="24"/>
      <w:szCs w:val="20"/>
    </w:rPr>
  </w:style>
  <w:style w:type="paragraph" w:customStyle="1" w:styleId="713">
    <w:name w:val="正文文本 21"/>
    <w:basedOn w:val="1"/>
    <w:qFormat/>
    <w:uiPriority w:val="0"/>
    <w:pPr>
      <w:adjustRightInd w:val="0"/>
      <w:spacing w:line="360" w:lineRule="atLeast"/>
      <w:ind w:left="900"/>
      <w:jc w:val="left"/>
      <w:textAlignment w:val="baseline"/>
    </w:pPr>
    <w:rPr>
      <w:rFonts w:ascii="Courier New" w:hAnsi="Courier New" w:eastAsia="仿宋_GB2312" w:cs="Courier New"/>
      <w:kern w:val="0"/>
      <w:sz w:val="28"/>
      <w:szCs w:val="20"/>
    </w:rPr>
  </w:style>
  <w:style w:type="paragraph" w:customStyle="1" w:styleId="714">
    <w:name w:val="奉读大示，心折殊深。"/>
    <w:qFormat/>
    <w:uiPriority w:val="0"/>
    <w:pPr>
      <w:widowControl w:val="0"/>
      <w:jc w:val="both"/>
    </w:pPr>
    <w:rPr>
      <w:rFonts w:ascii="Courier New" w:hAnsi="Courier New" w:eastAsia="仿宋_GB2312" w:cs="Courier New"/>
      <w:kern w:val="2"/>
      <w:sz w:val="21"/>
      <w:lang w:val="en-US" w:eastAsia="zh-CN" w:bidi="ar-SA"/>
    </w:rPr>
  </w:style>
  <w:style w:type="paragraph" w:customStyle="1" w:styleId="715">
    <w:name w:val="表1"/>
    <w:next w:val="1"/>
    <w:qFormat/>
    <w:uiPriority w:val="0"/>
    <w:pPr>
      <w:adjustRightInd w:val="0"/>
      <w:snapToGrid w:val="0"/>
      <w:jc w:val="center"/>
    </w:pPr>
    <w:rPr>
      <w:rFonts w:ascii="仿宋_GB2312" w:hAnsi="Courier New" w:eastAsia="仿宋_GB2312" w:cs="Courier New"/>
      <w:sz w:val="21"/>
      <w:lang w:val="en-US" w:eastAsia="zh-CN" w:bidi="ar-SA"/>
    </w:rPr>
  </w:style>
  <w:style w:type="paragraph" w:customStyle="1" w:styleId="716">
    <w:name w:val="表内字"/>
    <w:qFormat/>
    <w:uiPriority w:val="0"/>
    <w:pPr>
      <w:spacing w:line="312" w:lineRule="auto"/>
      <w:jc w:val="center"/>
    </w:pPr>
    <w:rPr>
      <w:rFonts w:ascii="Courier New" w:hAnsi="Courier New" w:eastAsia="仿宋_GB2312" w:cs="Courier New"/>
      <w:color w:val="000000"/>
      <w:sz w:val="21"/>
      <w:lang w:val="en-US" w:eastAsia="zh-CN" w:bidi="ar-SA"/>
    </w:rPr>
  </w:style>
  <w:style w:type="paragraph" w:customStyle="1" w:styleId="717">
    <w:name w:val="表格内容1"/>
    <w:basedOn w:val="1"/>
    <w:qFormat/>
    <w:uiPriority w:val="0"/>
    <w:pPr>
      <w:adjustRightInd w:val="0"/>
      <w:snapToGrid w:val="0"/>
      <w:spacing w:line="240" w:lineRule="atLeast"/>
      <w:jc w:val="center"/>
    </w:pPr>
    <w:rPr>
      <w:rFonts w:ascii="Courier New" w:hAnsi="Courier New" w:eastAsia="仿宋_GB2312" w:cs="Courier New"/>
      <w:snapToGrid w:val="0"/>
      <w:kern w:val="0"/>
    </w:rPr>
  </w:style>
  <w:style w:type="character" w:customStyle="1" w:styleId="718">
    <w:name w:val="z1"/>
    <w:qFormat/>
    <w:uiPriority w:val="0"/>
    <w:rPr>
      <w:sz w:val="18"/>
      <w:szCs w:val="18"/>
    </w:rPr>
  </w:style>
  <w:style w:type="paragraph" w:customStyle="1" w:styleId="719">
    <w:name w:val="正文条目a"/>
    <w:basedOn w:val="1"/>
    <w:qFormat/>
    <w:uiPriority w:val="0"/>
    <w:pPr>
      <w:ind w:left="400" w:leftChars="300" w:hanging="100" w:hangingChars="100"/>
    </w:pPr>
    <w:rPr>
      <w:rFonts w:ascii="仿宋_GB2312" w:hAnsi="Courier New" w:eastAsia="仿宋_GB2312" w:cs="Courier New"/>
      <w:sz w:val="24"/>
    </w:rPr>
  </w:style>
  <w:style w:type="paragraph" w:customStyle="1" w:styleId="720">
    <w:name w:val="样式 正文文本 + (中文) 宋体 五号 居中 行距: 固定值 16 磅"/>
    <w:basedOn w:val="4"/>
    <w:qFormat/>
    <w:uiPriority w:val="0"/>
    <w:pPr>
      <w:autoSpaceDE/>
      <w:autoSpaceDN/>
      <w:adjustRightInd/>
      <w:spacing w:beforeLines="50" w:afterLines="50" w:line="320" w:lineRule="exact"/>
      <w:jc w:val="center"/>
      <w:textAlignment w:val="auto"/>
    </w:pPr>
    <w:rPr>
      <w:rFonts w:ascii="Courier New" w:hAnsi="仿宋_GB2312" w:eastAsia="仿宋_GB2312" w:cs="仿宋_GB2312"/>
      <w:color w:val="auto"/>
      <w:kern w:val="2"/>
      <w:sz w:val="21"/>
    </w:rPr>
  </w:style>
  <w:style w:type="paragraph" w:customStyle="1" w:styleId="721">
    <w:name w:val="封面标准文稿编辑信息"/>
    <w:qFormat/>
    <w:uiPriority w:val="0"/>
    <w:pPr>
      <w:spacing w:before="180" w:line="180" w:lineRule="exact"/>
      <w:jc w:val="center"/>
    </w:pPr>
    <w:rPr>
      <w:rFonts w:ascii="仿宋_GB2312" w:hAnsi="Courier New" w:eastAsia="仿宋_GB2312" w:cs="Courier New"/>
      <w:sz w:val="21"/>
      <w:lang w:val="en-US" w:eastAsia="zh-CN" w:bidi="ar-SA"/>
    </w:rPr>
  </w:style>
  <w:style w:type="paragraph" w:customStyle="1" w:styleId="722">
    <w:name w:val="报告书"/>
    <w:basedOn w:val="1"/>
    <w:qFormat/>
    <w:uiPriority w:val="0"/>
    <w:pPr>
      <w:autoSpaceDE w:val="0"/>
      <w:autoSpaceDN w:val="0"/>
      <w:adjustRightInd w:val="0"/>
      <w:spacing w:line="360" w:lineRule="auto"/>
      <w:ind w:firstLine="505"/>
      <w:jc w:val="left"/>
      <w:textAlignment w:val="bottom"/>
    </w:pPr>
    <w:rPr>
      <w:rFonts w:ascii="Courier New" w:hAnsi="Courier New" w:eastAsia="仿宋_GB2312" w:cs="Courier New"/>
      <w:kern w:val="0"/>
      <w:sz w:val="24"/>
      <w:szCs w:val="20"/>
    </w:rPr>
  </w:style>
  <w:style w:type="paragraph" w:customStyle="1" w:styleId="723">
    <w:name w:val="报告"/>
    <w:basedOn w:val="1"/>
    <w:link w:val="1009"/>
    <w:qFormat/>
    <w:uiPriority w:val="0"/>
    <w:pPr>
      <w:autoSpaceDE w:val="0"/>
      <w:autoSpaceDN w:val="0"/>
      <w:adjustRightInd w:val="0"/>
      <w:spacing w:line="360" w:lineRule="auto"/>
      <w:ind w:firstLine="505"/>
      <w:jc w:val="left"/>
      <w:textAlignment w:val="baseline"/>
    </w:pPr>
    <w:rPr>
      <w:rFonts w:ascii="Courier New" w:hAnsi="Courier New" w:eastAsia="仿宋_GB2312" w:cs="Courier New"/>
      <w:kern w:val="0"/>
      <w:sz w:val="24"/>
      <w:szCs w:val="20"/>
    </w:rPr>
  </w:style>
  <w:style w:type="paragraph" w:customStyle="1" w:styleId="724">
    <w:name w:val="yz"/>
    <w:basedOn w:val="4"/>
    <w:qFormat/>
    <w:uiPriority w:val="0"/>
    <w:pPr>
      <w:tabs>
        <w:tab w:val="left" w:pos="900"/>
      </w:tabs>
      <w:autoSpaceDE/>
      <w:autoSpaceDN/>
      <w:spacing w:line="240" w:lineRule="auto"/>
      <w:ind w:firstLine="200" w:firstLineChars="200"/>
      <w:jc w:val="both"/>
    </w:pPr>
    <w:rPr>
      <w:rFonts w:hint="eastAsia" w:ascii="仿宋_GB2312" w:hAnsi="仿宋_GB2312" w:eastAsia="仿宋_GB2312" w:cs="Courier New"/>
      <w:color w:val="auto"/>
      <w:kern w:val="2"/>
    </w:rPr>
  </w:style>
  <w:style w:type="paragraph" w:customStyle="1" w:styleId="725">
    <w:name w:val="表格编号"/>
    <w:basedOn w:val="1"/>
    <w:qFormat/>
    <w:uiPriority w:val="0"/>
    <w:pPr>
      <w:spacing w:beforeLines="50" w:line="560" w:lineRule="exact"/>
      <w:ind w:firstLine="560" w:firstLineChars="200"/>
    </w:pPr>
    <w:rPr>
      <w:rFonts w:ascii="仿宋_GB2312" w:hAnsi="仿宋_GB2312" w:eastAsia="仿宋_GB2312" w:cs="仿宋_GB2312"/>
      <w:kern w:val="0"/>
      <w:sz w:val="28"/>
      <w:szCs w:val="28"/>
    </w:rPr>
  </w:style>
  <w:style w:type="paragraph" w:customStyle="1" w:styleId="726">
    <w:name w:val="Char Char Char Char Char Char Char Char2 Char Char Char Char Char Char Char Char Char Char Char Char Char"/>
    <w:basedOn w:val="1"/>
    <w:next w:val="1"/>
    <w:semiHidden/>
    <w:qFormat/>
    <w:uiPriority w:val="0"/>
    <w:pPr>
      <w:spacing w:line="336" w:lineRule="auto"/>
      <w:ind w:firstLine="200" w:firstLineChars="200"/>
    </w:pPr>
    <w:rPr>
      <w:rFonts w:ascii="仿宋_GB2312" w:hAnsi="仿宋_GB2312" w:eastAsia="MingLiU" w:cs="仿宋_GB2312"/>
      <w:spacing w:val="4"/>
      <w:sz w:val="24"/>
    </w:rPr>
  </w:style>
  <w:style w:type="paragraph" w:customStyle="1" w:styleId="727">
    <w:name w:val="Char Char Char Char Char Char Char Char Char Char Char1 Char Char Char Char2 Char"/>
    <w:basedOn w:val="1"/>
    <w:next w:val="1"/>
    <w:semiHidden/>
    <w:qFormat/>
    <w:uiPriority w:val="0"/>
    <w:pPr>
      <w:spacing w:line="336" w:lineRule="auto"/>
      <w:ind w:firstLine="200" w:firstLineChars="200"/>
    </w:pPr>
    <w:rPr>
      <w:rFonts w:ascii="仿宋_GB2312" w:hAnsi="仿宋_GB2312" w:eastAsia="MingLiU" w:cs="仿宋_GB2312"/>
      <w:spacing w:val="4"/>
      <w:sz w:val="24"/>
    </w:rPr>
  </w:style>
  <w:style w:type="paragraph" w:customStyle="1" w:styleId="728">
    <w:name w:val="正文加粗"/>
    <w:basedOn w:val="1"/>
    <w:qFormat/>
    <w:uiPriority w:val="0"/>
    <w:pPr>
      <w:spacing w:line="360" w:lineRule="auto"/>
      <w:ind w:firstLine="562" w:firstLineChars="200"/>
      <w:jc w:val="left"/>
    </w:pPr>
    <w:rPr>
      <w:rFonts w:ascii="仿宋_GB2312" w:hAnsi="仿宋_GB2312" w:eastAsia="仿宋_GB2312" w:cs="Courier New"/>
      <w:b/>
      <w:sz w:val="28"/>
      <w:szCs w:val="20"/>
    </w:rPr>
  </w:style>
  <w:style w:type="paragraph" w:customStyle="1" w:styleId="729">
    <w:name w:val="图表内容"/>
    <w:basedOn w:val="87"/>
    <w:qFormat/>
    <w:uiPriority w:val="0"/>
    <w:pPr>
      <w:spacing w:after="0" w:line="300" w:lineRule="auto"/>
      <w:ind w:firstLine="0" w:firstLineChars="0"/>
      <w:jc w:val="center"/>
    </w:pPr>
    <w:rPr>
      <w:sz w:val="21"/>
    </w:rPr>
  </w:style>
  <w:style w:type="character" w:customStyle="1" w:styleId="730">
    <w:name w:val="标题 4 Char Char"/>
    <w:qFormat/>
    <w:uiPriority w:val="0"/>
    <w:rPr>
      <w:rFonts w:ascii="华文中宋" w:hAnsi="华文中宋" w:eastAsia="仿宋_GB2312"/>
      <w:sz w:val="24"/>
      <w:lang w:val="en-US" w:eastAsia="zh-CN" w:bidi="ar-SA"/>
    </w:rPr>
  </w:style>
  <w:style w:type="paragraph" w:customStyle="1" w:styleId="731">
    <w:name w:val="图表目录1"/>
    <w:basedOn w:val="254"/>
    <w:next w:val="254"/>
    <w:qFormat/>
    <w:uiPriority w:val="0"/>
    <w:pPr>
      <w:tabs>
        <w:tab w:val="right" w:leader="dot" w:pos="8051"/>
      </w:tabs>
      <w:spacing w:line="360" w:lineRule="atLeast"/>
      <w:ind w:left="840" w:hanging="840"/>
    </w:pPr>
  </w:style>
  <w:style w:type="paragraph" w:customStyle="1" w:styleId="732">
    <w:name w:val="正文表格"/>
    <w:basedOn w:val="1"/>
    <w:qFormat/>
    <w:uiPriority w:val="0"/>
    <w:pPr>
      <w:keepNext/>
      <w:keepLines/>
      <w:tabs>
        <w:tab w:val="center" w:pos="6804"/>
      </w:tabs>
      <w:overflowPunct w:val="0"/>
      <w:adjustRightInd w:val="0"/>
      <w:spacing w:before="80"/>
      <w:jc w:val="center"/>
      <w:textAlignment w:val="bottom"/>
    </w:pPr>
    <w:rPr>
      <w:rFonts w:ascii="Courier New" w:hAnsi="Courier New" w:eastAsia="仿宋_GB2312" w:cs="Courier New"/>
      <w:kern w:val="0"/>
      <w:sz w:val="28"/>
      <w:szCs w:val="20"/>
    </w:rPr>
  </w:style>
  <w:style w:type="paragraph" w:customStyle="1" w:styleId="733">
    <w:name w:val="悬挂式正文"/>
    <w:basedOn w:val="1"/>
    <w:qFormat/>
    <w:uiPriority w:val="0"/>
    <w:pPr>
      <w:tabs>
        <w:tab w:val="center" w:pos="6804"/>
        <w:tab w:val="right" w:pos="7371"/>
      </w:tabs>
      <w:overflowPunct w:val="0"/>
      <w:adjustRightInd w:val="0"/>
      <w:spacing w:line="360" w:lineRule="auto"/>
      <w:ind w:left="1701" w:hanging="1134"/>
      <w:textAlignment w:val="baseline"/>
    </w:pPr>
    <w:rPr>
      <w:rFonts w:ascii="Courier New" w:hAnsi="Courier New" w:eastAsia="仿宋_GB2312" w:cs="Courier New"/>
      <w:kern w:val="0"/>
      <w:sz w:val="28"/>
      <w:szCs w:val="20"/>
    </w:rPr>
  </w:style>
  <w:style w:type="paragraph" w:customStyle="1" w:styleId="734">
    <w:name w:val="样式1－表头"/>
    <w:basedOn w:val="1"/>
    <w:qFormat/>
    <w:uiPriority w:val="0"/>
    <w:pPr>
      <w:adjustRightInd w:val="0"/>
      <w:snapToGrid w:val="0"/>
      <w:spacing w:beforeLines="50" w:afterLines="50" w:line="336" w:lineRule="auto"/>
      <w:jc w:val="center"/>
    </w:pPr>
    <w:rPr>
      <w:rFonts w:ascii="Courier New" w:hAnsi="Courier New" w:eastAsia="Arial Unicode MS" w:cs="Courier New"/>
      <w:spacing w:val="6"/>
      <w:sz w:val="24"/>
      <w:szCs w:val="20"/>
    </w:rPr>
  </w:style>
  <w:style w:type="paragraph" w:customStyle="1" w:styleId="735">
    <w:name w:val="样式3wf"/>
    <w:basedOn w:val="167"/>
    <w:qFormat/>
    <w:uiPriority w:val="0"/>
    <w:pPr>
      <w:widowControl w:val="0"/>
      <w:autoSpaceDE w:val="0"/>
      <w:autoSpaceDN w:val="0"/>
      <w:snapToGrid w:val="0"/>
      <w:spacing w:line="240" w:lineRule="auto"/>
      <w:ind w:firstLine="0"/>
      <w:jc w:val="center"/>
    </w:pPr>
    <w:rPr>
      <w:rFonts w:ascii="Courier New" w:hAnsi="Courier New" w:eastAsia="仿宋_GB2312" w:cs="Courier New"/>
      <w:kern w:val="2"/>
      <w:szCs w:val="21"/>
    </w:rPr>
  </w:style>
  <w:style w:type="paragraph" w:customStyle="1" w:styleId="736">
    <w:name w:val="项目点符号"/>
    <w:basedOn w:val="1"/>
    <w:qFormat/>
    <w:uiPriority w:val="0"/>
    <w:pPr>
      <w:spacing w:line="360" w:lineRule="auto"/>
      <w:ind w:firstLine="539" w:firstLineChars="214"/>
    </w:pPr>
    <w:rPr>
      <w:rFonts w:ascii="Courier New" w:hAnsi="Courier New" w:eastAsia="仿宋_GB2312" w:cs="Courier New"/>
      <w:color w:val="000000"/>
      <w:spacing w:val="6"/>
      <w:sz w:val="24"/>
    </w:rPr>
  </w:style>
  <w:style w:type="paragraph" w:customStyle="1" w:styleId="737">
    <w:name w:val="样式 样式2 + 段前: 6 磅 行距: 单倍行距2"/>
    <w:basedOn w:val="167"/>
    <w:qFormat/>
    <w:uiPriority w:val="0"/>
    <w:pPr>
      <w:widowControl w:val="0"/>
      <w:autoSpaceDE w:val="0"/>
      <w:autoSpaceDN w:val="0"/>
      <w:snapToGrid w:val="0"/>
      <w:spacing w:line="240" w:lineRule="auto"/>
      <w:ind w:firstLine="0"/>
      <w:jc w:val="center"/>
    </w:pPr>
    <w:rPr>
      <w:rFonts w:ascii="Courier New" w:hAnsi="Courier New" w:eastAsia="仿宋_GB2312" w:cs="Courier New"/>
      <w:spacing w:val="-16"/>
      <w:kern w:val="2"/>
      <w:szCs w:val="21"/>
    </w:rPr>
  </w:style>
  <w:style w:type="paragraph" w:customStyle="1" w:styleId="738">
    <w:name w:val="样式 样式 首行缩进:  2 字符 + 首行缩进:  2 字符"/>
    <w:basedOn w:val="1"/>
    <w:qFormat/>
    <w:uiPriority w:val="0"/>
    <w:pPr>
      <w:ind w:firstLine="587" w:firstLineChars="200"/>
    </w:pPr>
    <w:rPr>
      <w:rFonts w:ascii="仿宋_GB2312" w:hAnsi="Courier New" w:eastAsia="仿宋_GB2312" w:cs="Courier New"/>
      <w:sz w:val="27"/>
      <w:szCs w:val="27"/>
    </w:rPr>
  </w:style>
  <w:style w:type="paragraph" w:customStyle="1" w:styleId="739">
    <w:name w:val="S表格"/>
    <w:basedOn w:val="1"/>
    <w:qFormat/>
    <w:uiPriority w:val="0"/>
    <w:pPr>
      <w:spacing w:before="240" w:line="360" w:lineRule="auto"/>
      <w:outlineLvl w:val="2"/>
    </w:pPr>
    <w:rPr>
      <w:rFonts w:ascii="Courier New" w:hAnsi="Courier New" w:eastAsia="仿宋_GB2312" w:cs="Courier New"/>
      <w:bCs/>
      <w:sz w:val="24"/>
    </w:rPr>
  </w:style>
  <w:style w:type="paragraph" w:customStyle="1" w:styleId="740">
    <w:name w:val="尾注文本1"/>
    <w:basedOn w:val="254"/>
    <w:qFormat/>
    <w:uiPriority w:val="0"/>
    <w:pPr>
      <w:spacing w:line="360" w:lineRule="atLeast"/>
    </w:pPr>
    <w:rPr>
      <w:sz w:val="21"/>
    </w:rPr>
  </w:style>
  <w:style w:type="character" w:customStyle="1" w:styleId="741">
    <w:name w:val="副标题 字符"/>
    <w:link w:val="65"/>
    <w:qFormat/>
    <w:uiPriority w:val="0"/>
    <w:rPr>
      <w:rFonts w:ascii="华文中宋" w:hAnsi="华文中宋" w:eastAsia="仿宋_GB2312" w:cs="华文中宋"/>
      <w:b/>
      <w:bCs/>
      <w:kern w:val="28"/>
      <w:sz w:val="28"/>
      <w:szCs w:val="28"/>
      <w:lang w:val="en-US" w:eastAsia="zh-CN" w:bidi="ar-SA"/>
    </w:rPr>
  </w:style>
  <w:style w:type="character" w:customStyle="1" w:styleId="742">
    <w:name w:val="样式 (符号) 宋体 13 磅"/>
    <w:qFormat/>
    <w:uiPriority w:val="0"/>
    <w:rPr>
      <w:rFonts w:ascii="仿宋_GB2312" w:eastAsia="仿宋_GB2312"/>
      <w:sz w:val="27"/>
      <w:szCs w:val="27"/>
    </w:rPr>
  </w:style>
  <w:style w:type="character" w:customStyle="1" w:styleId="743">
    <w:name w:val="样式 首行缩进:  2 字符 Char"/>
    <w:qFormat/>
    <w:uiPriority w:val="0"/>
    <w:rPr>
      <w:rFonts w:ascii="仿宋_GB2312" w:eastAsia="仿宋_GB2312" w:cs="仿宋_GB2312"/>
      <w:kern w:val="2"/>
      <w:sz w:val="28"/>
      <w:szCs w:val="28"/>
      <w:lang w:val="en-US" w:eastAsia="zh-CN" w:bidi="ar-SA"/>
    </w:rPr>
  </w:style>
  <w:style w:type="character" w:customStyle="1" w:styleId="744">
    <w:name w:val="正文部分 Char"/>
    <w:link w:val="745"/>
    <w:qFormat/>
    <w:uiPriority w:val="0"/>
    <w:rPr>
      <w:rFonts w:ascii="仿宋_GB2312" w:hAnsi="仿宋_GB2312"/>
      <w:bCs/>
      <w:sz w:val="28"/>
      <w:szCs w:val="32"/>
      <w:lang w:bidi="ar-SA"/>
    </w:rPr>
  </w:style>
  <w:style w:type="paragraph" w:customStyle="1" w:styleId="745">
    <w:name w:val="正文部分"/>
    <w:basedOn w:val="1"/>
    <w:link w:val="744"/>
    <w:qFormat/>
    <w:uiPriority w:val="0"/>
    <w:pPr>
      <w:spacing w:line="500" w:lineRule="exact"/>
      <w:ind w:firstLine="200" w:firstLineChars="200"/>
      <w:jc w:val="left"/>
    </w:pPr>
    <w:rPr>
      <w:rFonts w:ascii="仿宋_GB2312" w:hAnsi="仿宋_GB2312" w:eastAsia="Times New Roman"/>
      <w:bCs/>
      <w:kern w:val="0"/>
      <w:sz w:val="28"/>
      <w:szCs w:val="32"/>
    </w:rPr>
  </w:style>
  <w:style w:type="paragraph" w:customStyle="1" w:styleId="746">
    <w:name w:val="正文 + 首行缩进:  2 字符"/>
    <w:basedOn w:val="1"/>
    <w:qFormat/>
    <w:uiPriority w:val="0"/>
    <w:pPr>
      <w:spacing w:line="460" w:lineRule="atLeast"/>
      <w:ind w:firstLine="528" w:firstLineChars="200"/>
    </w:pPr>
    <w:rPr>
      <w:rFonts w:ascii="Courier New" w:hAnsi="Courier New" w:eastAsia="仿宋_GB2312" w:cs="Courier New"/>
      <w:spacing w:val="12"/>
      <w:sz w:val="24"/>
      <w:szCs w:val="20"/>
    </w:rPr>
  </w:style>
  <w:style w:type="character" w:customStyle="1" w:styleId="747">
    <w:name w:val="正文 + 首行缩进:  2 字符 Char"/>
    <w:qFormat/>
    <w:uiPriority w:val="0"/>
    <w:rPr>
      <w:rFonts w:eastAsia="仿宋_GB2312"/>
      <w:spacing w:val="12"/>
      <w:kern w:val="2"/>
      <w:sz w:val="24"/>
      <w:lang w:val="en-US" w:eastAsia="zh-CN" w:bidi="ar-SA"/>
    </w:rPr>
  </w:style>
  <w:style w:type="character" w:customStyle="1" w:styleId="748">
    <w:name w:val="表题 Char"/>
    <w:qFormat/>
    <w:uiPriority w:val="0"/>
    <w:rPr>
      <w:rFonts w:eastAsia="仿宋_GB2312"/>
      <w:b/>
      <w:spacing w:val="12"/>
      <w:w w:val="90"/>
      <w:kern w:val="2"/>
      <w:sz w:val="24"/>
      <w:szCs w:val="24"/>
      <w:lang w:val="en-US" w:eastAsia="zh-CN" w:bidi="ar-SA"/>
    </w:rPr>
  </w:style>
  <w:style w:type="paragraph" w:customStyle="1" w:styleId="749">
    <w:name w:val="样式 样式 样式 首行缩进:  2 字符 + 首行缩进:  2 字符 + 首行缩进:  2 字符"/>
    <w:basedOn w:val="738"/>
    <w:qFormat/>
    <w:uiPriority w:val="0"/>
    <w:pPr>
      <w:ind w:firstLine="567"/>
    </w:pPr>
    <w:rPr>
      <w:szCs w:val="20"/>
    </w:rPr>
  </w:style>
  <w:style w:type="paragraph" w:customStyle="1" w:styleId="750">
    <w:name w:val="样式 标题 1 + 自动设置"/>
    <w:basedOn w:val="5"/>
    <w:qFormat/>
    <w:uiPriority w:val="0"/>
    <w:pPr>
      <w:pageBreakBefore w:val="0"/>
      <w:numPr>
        <w:numId w:val="0"/>
      </w:numPr>
      <w:tabs>
        <w:tab w:val="left" w:pos="360"/>
        <w:tab w:val="left" w:pos="700"/>
      </w:tabs>
      <w:autoSpaceDE w:val="0"/>
      <w:autoSpaceDN w:val="0"/>
      <w:spacing w:before="0" w:after="0" w:line="360" w:lineRule="auto"/>
      <w:ind w:left="431" w:hanging="431"/>
      <w:textAlignment w:val="auto"/>
    </w:pPr>
    <w:rPr>
      <w:rFonts w:ascii="Courier New" w:hAnsi="Courier New" w:eastAsia="仿宋_GB2312" w:cs="Courier New"/>
      <w:b/>
      <w:bCs/>
      <w:sz w:val="28"/>
    </w:rPr>
  </w:style>
  <w:style w:type="character" w:customStyle="1" w:styleId="751">
    <w:name w:val="3zw1"/>
    <w:qFormat/>
    <w:uiPriority w:val="0"/>
    <w:rPr>
      <w:color w:val="000000"/>
      <w:sz w:val="21"/>
      <w:szCs w:val="21"/>
    </w:rPr>
  </w:style>
  <w:style w:type="paragraph" w:customStyle="1" w:styleId="752">
    <w:name w:val="表标"/>
    <w:next w:val="1"/>
    <w:qFormat/>
    <w:uiPriority w:val="0"/>
    <w:pPr>
      <w:tabs>
        <w:tab w:val="left" w:pos="8207"/>
      </w:tabs>
      <w:adjustRightInd w:val="0"/>
      <w:snapToGrid w:val="0"/>
      <w:spacing w:before="120" w:line="312" w:lineRule="auto"/>
      <w:jc w:val="center"/>
      <w:textAlignment w:val="baseline"/>
    </w:pPr>
    <w:rPr>
      <w:rFonts w:ascii="Courier New" w:hAnsi="Courier New" w:eastAsia="Arial Unicode MS" w:cs="Courier New"/>
      <w:kern w:val="2"/>
      <w:sz w:val="24"/>
      <w:lang w:val="en-US" w:eastAsia="zh-CN" w:bidi="ar-SA"/>
    </w:rPr>
  </w:style>
  <w:style w:type="paragraph" w:customStyle="1" w:styleId="753">
    <w:name w:val="表字"/>
    <w:basedOn w:val="1"/>
    <w:qFormat/>
    <w:uiPriority w:val="0"/>
    <w:pPr>
      <w:jc w:val="center"/>
    </w:pPr>
    <w:rPr>
      <w:rFonts w:ascii="仿宋_GB2312" w:hAnsi="Courier New" w:eastAsia="仿宋_GB2312" w:cs="Courier New"/>
      <w:szCs w:val="20"/>
    </w:rPr>
  </w:style>
  <w:style w:type="paragraph" w:customStyle="1" w:styleId="754">
    <w:name w:val="图文框"/>
    <w:basedOn w:val="1"/>
    <w:qFormat/>
    <w:uiPriority w:val="0"/>
    <w:pPr>
      <w:snapToGrid w:val="0"/>
      <w:spacing w:line="360" w:lineRule="auto"/>
      <w:jc w:val="center"/>
    </w:pPr>
    <w:rPr>
      <w:rFonts w:ascii="仿宋_GB2312" w:hAnsi="仿宋_GB2312" w:eastAsia="仿宋_GB2312" w:cs="Courier New"/>
      <w:b/>
      <w:snapToGrid w:val="0"/>
      <w:kern w:val="0"/>
      <w:sz w:val="24"/>
    </w:rPr>
  </w:style>
  <w:style w:type="paragraph" w:customStyle="1" w:styleId="755">
    <w:name w:val="样式 宋体 小四 左 行距: 固定值 24 磅"/>
    <w:basedOn w:val="1"/>
    <w:qFormat/>
    <w:uiPriority w:val="0"/>
    <w:pPr>
      <w:spacing w:line="480" w:lineRule="exact"/>
      <w:ind w:firstLine="200" w:firstLineChars="200"/>
      <w:jc w:val="left"/>
    </w:pPr>
    <w:rPr>
      <w:rFonts w:ascii="仿宋_GB2312" w:hAnsi="Courier New" w:eastAsia="仿宋_GB2312" w:cs="仿宋_GB2312"/>
      <w:kern w:val="0"/>
      <w:sz w:val="24"/>
      <w:szCs w:val="20"/>
    </w:rPr>
  </w:style>
  <w:style w:type="paragraph" w:customStyle="1" w:styleId="756">
    <w:name w:val="燕山正文"/>
    <w:basedOn w:val="1"/>
    <w:qFormat/>
    <w:uiPriority w:val="0"/>
    <w:pPr>
      <w:tabs>
        <w:tab w:val="left" w:pos="4680"/>
      </w:tabs>
      <w:adjustRightInd w:val="0"/>
      <w:snapToGrid w:val="0"/>
      <w:spacing w:line="360" w:lineRule="auto"/>
      <w:ind w:firstLine="520" w:firstLineChars="200"/>
      <w:jc w:val="left"/>
    </w:pPr>
    <w:rPr>
      <w:rFonts w:ascii="Courier New" w:hAnsi="华文中宋" w:eastAsia="仿宋_GB2312" w:cs="Courier New"/>
      <w:snapToGrid w:val="0"/>
      <w:spacing w:val="10"/>
      <w:kern w:val="0"/>
      <w:sz w:val="24"/>
    </w:rPr>
  </w:style>
  <w:style w:type="character" w:customStyle="1" w:styleId="757">
    <w:name w:val="燕山正文 Char"/>
    <w:qFormat/>
    <w:uiPriority w:val="0"/>
    <w:rPr>
      <w:rFonts w:hAnsi="华文中宋" w:eastAsia="仿宋_GB2312"/>
      <w:snapToGrid w:val="0"/>
      <w:spacing w:val="10"/>
      <w:sz w:val="24"/>
      <w:szCs w:val="24"/>
      <w:lang w:val="en-US" w:eastAsia="zh-CN" w:bidi="ar-SA"/>
    </w:rPr>
  </w:style>
  <w:style w:type="paragraph" w:customStyle="1" w:styleId="758">
    <w:name w:val="121111111111"/>
    <w:basedOn w:val="1"/>
    <w:qFormat/>
    <w:uiPriority w:val="0"/>
    <w:pPr>
      <w:spacing w:line="460" w:lineRule="exact"/>
      <w:jc w:val="center"/>
    </w:pPr>
    <w:rPr>
      <w:rFonts w:ascii="Courier New" w:hAnsi="Courier New" w:eastAsia="Arial Unicode MS" w:cs="Courier New"/>
      <w:color w:val="000000"/>
      <w:spacing w:val="16"/>
      <w:sz w:val="24"/>
    </w:rPr>
  </w:style>
  <w:style w:type="paragraph" w:customStyle="1" w:styleId="759">
    <w:name w:val="t12"/>
    <w:basedOn w:val="1"/>
    <w:qFormat/>
    <w:uiPriority w:val="0"/>
    <w:pPr>
      <w:widowControl/>
      <w:spacing w:before="100" w:beforeAutospacing="1" w:after="100" w:afterAutospacing="1"/>
      <w:jc w:val="left"/>
    </w:pPr>
    <w:rPr>
      <w:rFonts w:ascii="仿宋_GB2312" w:hAnsi="仿宋_GB2312" w:eastAsia="仿宋_GB2312" w:cs="仿宋_GB2312"/>
      <w:kern w:val="0"/>
      <w:sz w:val="24"/>
    </w:rPr>
  </w:style>
  <w:style w:type="paragraph" w:customStyle="1" w:styleId="760">
    <w:name w:val="排序（1）（2）"/>
    <w:basedOn w:val="1"/>
    <w:qFormat/>
    <w:uiPriority w:val="0"/>
    <w:pPr>
      <w:spacing w:line="460" w:lineRule="atLeast"/>
    </w:pPr>
    <w:rPr>
      <w:rFonts w:ascii="Courier New" w:hAnsi="Courier New" w:eastAsia="仿宋_GB2312" w:cs="Courier New"/>
      <w:spacing w:val="12"/>
      <w:sz w:val="24"/>
    </w:rPr>
  </w:style>
  <w:style w:type="paragraph" w:customStyle="1" w:styleId="761">
    <w:name w:val="图1-1"/>
    <w:basedOn w:val="9"/>
    <w:qFormat/>
    <w:uiPriority w:val="0"/>
    <w:pPr>
      <w:keepNext w:val="0"/>
      <w:numPr>
        <w:ilvl w:val="0"/>
        <w:numId w:val="0"/>
      </w:numPr>
      <w:adjustRightInd/>
      <w:spacing w:before="0" w:line="240" w:lineRule="auto"/>
      <w:jc w:val="center"/>
      <w:textAlignment w:val="auto"/>
      <w:outlineLvl w:val="9"/>
    </w:pPr>
    <w:rPr>
      <w:rFonts w:ascii="Courier New" w:hAnsi="Courier New" w:eastAsia="仿宋_GB2312" w:cs="Courier New"/>
      <w:kern w:val="2"/>
      <w:sz w:val="21"/>
      <w:szCs w:val="24"/>
    </w:rPr>
  </w:style>
  <w:style w:type="character" w:customStyle="1" w:styleId="762">
    <w:name w:val="图1-1 Char"/>
    <w:qFormat/>
    <w:uiPriority w:val="0"/>
    <w:rPr>
      <w:rFonts w:eastAsia="仿宋_GB2312"/>
      <w:b/>
      <w:spacing w:val="12"/>
      <w:w w:val="90"/>
      <w:kern w:val="2"/>
      <w:sz w:val="21"/>
      <w:szCs w:val="24"/>
      <w:lang w:val="en-US" w:eastAsia="zh-CN" w:bidi="ar-SA"/>
    </w:rPr>
  </w:style>
  <w:style w:type="paragraph" w:customStyle="1" w:styleId="763">
    <w:name w:val="Qzy样式1"/>
    <w:basedOn w:val="5"/>
    <w:qFormat/>
    <w:uiPriority w:val="0"/>
    <w:pPr>
      <w:keepNext w:val="0"/>
      <w:pageBreakBefore w:val="0"/>
      <w:widowControl/>
      <w:numPr>
        <w:numId w:val="0"/>
      </w:numPr>
      <w:adjustRightInd/>
      <w:spacing w:before="0" w:after="0"/>
      <w:jc w:val="both"/>
      <w:textAlignment w:val="auto"/>
    </w:pPr>
    <w:rPr>
      <w:rFonts w:ascii="Courier New" w:hAnsi="Courier New" w:eastAsia="仿宋_GB2312" w:cs="Courier New"/>
      <w:b/>
    </w:rPr>
  </w:style>
  <w:style w:type="paragraph" w:customStyle="1" w:styleId="764">
    <w:name w:val="表文字"/>
    <w:basedOn w:val="1"/>
    <w:qFormat/>
    <w:uiPriority w:val="0"/>
    <w:pPr>
      <w:overflowPunct w:val="0"/>
      <w:autoSpaceDE w:val="0"/>
      <w:autoSpaceDN w:val="0"/>
      <w:adjustRightInd w:val="0"/>
      <w:spacing w:line="240" w:lineRule="atLeast"/>
      <w:jc w:val="center"/>
      <w:textAlignment w:val="baseline"/>
    </w:pPr>
    <w:rPr>
      <w:rFonts w:ascii="Courier New" w:hAnsi="Courier New" w:eastAsia="仿宋_GB2312" w:cs="Courier New"/>
      <w:kern w:val="0"/>
      <w:sz w:val="24"/>
      <w:szCs w:val="20"/>
    </w:rPr>
  </w:style>
  <w:style w:type="paragraph" w:customStyle="1" w:styleId="765">
    <w:name w:val="标题样式3"/>
    <w:basedOn w:val="7"/>
    <w:qFormat/>
    <w:uiPriority w:val="0"/>
    <w:pPr>
      <w:keepNext w:val="0"/>
      <w:numPr>
        <w:ilvl w:val="0"/>
        <w:numId w:val="0"/>
      </w:numPr>
      <w:adjustRightInd/>
      <w:spacing w:before="0"/>
      <w:jc w:val="both"/>
      <w:textAlignment w:val="auto"/>
    </w:pPr>
    <w:rPr>
      <w:rFonts w:ascii="Arial Unicode MS" w:hAnsi="Courier New" w:eastAsia="Arial Unicode MS" w:cs="Arial Unicode MS"/>
      <w:bCs/>
      <w:color w:val="000000"/>
      <w:sz w:val="28"/>
      <w:szCs w:val="28"/>
      <w:lang w:val="zh-CN"/>
    </w:rPr>
  </w:style>
  <w:style w:type="character" w:customStyle="1" w:styleId="766">
    <w:name w:val="style16 style57"/>
    <w:basedOn w:val="134"/>
    <w:qFormat/>
    <w:uiPriority w:val="0"/>
  </w:style>
  <w:style w:type="character" w:customStyle="1" w:styleId="767">
    <w:name w:val="style12"/>
    <w:basedOn w:val="134"/>
    <w:qFormat/>
    <w:uiPriority w:val="0"/>
  </w:style>
  <w:style w:type="character" w:customStyle="1" w:styleId="768">
    <w:name w:val="style9 style60"/>
    <w:basedOn w:val="134"/>
    <w:qFormat/>
    <w:uiPriority w:val="0"/>
  </w:style>
  <w:style w:type="character" w:customStyle="1" w:styleId="769">
    <w:name w:val="style621"/>
    <w:qFormat/>
    <w:uiPriority w:val="0"/>
    <w:rPr>
      <w:color w:val="335150"/>
    </w:rPr>
  </w:style>
  <w:style w:type="paragraph" w:customStyle="1" w:styleId="770">
    <w:name w:val="标题样式4"/>
    <w:basedOn w:val="8"/>
    <w:qFormat/>
    <w:uiPriority w:val="0"/>
    <w:pPr>
      <w:keepNext w:val="0"/>
      <w:keepLines w:val="0"/>
      <w:numPr>
        <w:ilvl w:val="0"/>
        <w:numId w:val="0"/>
      </w:numPr>
      <w:adjustRightInd/>
      <w:jc w:val="both"/>
      <w:textAlignment w:val="auto"/>
    </w:pPr>
    <w:rPr>
      <w:rFonts w:ascii="Arial Unicode MS" w:hAnsi="Courier New" w:eastAsia="Arial Unicode MS" w:cs="Courier New"/>
      <w:bCs/>
      <w:kern w:val="2"/>
      <w:szCs w:val="24"/>
      <w:lang w:val="zh-CN"/>
    </w:rPr>
  </w:style>
  <w:style w:type="paragraph" w:customStyle="1" w:styleId="771">
    <w:name w:val="样式 行距: 1.5 倍行距"/>
    <w:basedOn w:val="1"/>
    <w:qFormat/>
    <w:uiPriority w:val="0"/>
    <w:pPr>
      <w:spacing w:line="360" w:lineRule="auto"/>
      <w:ind w:firstLine="200" w:firstLineChars="200"/>
    </w:pPr>
    <w:rPr>
      <w:rFonts w:ascii="Courier New" w:hAnsi="Courier New" w:eastAsia="仿宋_GB2312" w:cs="仿宋_GB2312"/>
      <w:sz w:val="24"/>
    </w:rPr>
  </w:style>
  <w:style w:type="paragraph" w:customStyle="1" w:styleId="772">
    <w:name w:val="样式 样式 宋体 小四 左 行距: 固定值 24 磅 + 黑色 居中 首行缩进:  2 字符 段前: 5 磅 段后: 5..."/>
    <w:basedOn w:val="755"/>
    <w:qFormat/>
    <w:uiPriority w:val="0"/>
    <w:pPr>
      <w:spacing w:before="100" w:after="100"/>
      <w:ind w:firstLine="0" w:firstLineChars="0"/>
      <w:jc w:val="center"/>
    </w:pPr>
    <w:rPr>
      <w:color w:val="000000"/>
    </w:rPr>
  </w:style>
  <w:style w:type="character" w:customStyle="1" w:styleId="773">
    <w:name w:val="脚注文本 字符"/>
    <w:link w:val="68"/>
    <w:qFormat/>
    <w:uiPriority w:val="0"/>
    <w:rPr>
      <w:rFonts w:ascii="仿宋_GB2312" w:hAnsi="Courier New" w:eastAsia="仿宋_GB2312" w:cs="Courier New"/>
      <w:kern w:val="2"/>
      <w:sz w:val="18"/>
      <w:lang w:val="en-US" w:eastAsia="zh-CN" w:bidi="ar-SA"/>
    </w:rPr>
  </w:style>
  <w:style w:type="paragraph" w:customStyle="1" w:styleId="774">
    <w:name w:val="正文样式3"/>
    <w:basedOn w:val="1"/>
    <w:qFormat/>
    <w:uiPriority w:val="0"/>
    <w:pPr>
      <w:keepLines/>
      <w:adjustRightInd w:val="0"/>
      <w:spacing w:line="20" w:lineRule="atLeast"/>
      <w:jc w:val="center"/>
      <w:textAlignment w:val="baseline"/>
    </w:pPr>
    <w:rPr>
      <w:rFonts w:ascii="Courier New" w:hAnsi="Courier New" w:eastAsia="仿宋_GB2312" w:cs="Courier New"/>
      <w:kern w:val="0"/>
      <w:sz w:val="24"/>
      <w:szCs w:val="20"/>
    </w:rPr>
  </w:style>
  <w:style w:type="paragraph" w:customStyle="1" w:styleId="775">
    <w:name w:val="标题样式1"/>
    <w:basedOn w:val="4"/>
    <w:qFormat/>
    <w:uiPriority w:val="0"/>
    <w:pPr>
      <w:autoSpaceDE/>
      <w:autoSpaceDN/>
      <w:snapToGrid w:val="0"/>
      <w:spacing w:line="0" w:lineRule="atLeast"/>
      <w:jc w:val="center"/>
    </w:pPr>
    <w:rPr>
      <w:rFonts w:ascii="Courier New" w:hAnsi="Courier New" w:eastAsia="仿宋_GB2312" w:cs="Courier New"/>
      <w:b/>
      <w:bCs/>
      <w:snapToGrid w:val="0"/>
      <w:color w:val="auto"/>
    </w:rPr>
  </w:style>
  <w:style w:type="character" w:customStyle="1" w:styleId="776">
    <w:name w:val="标题 字符"/>
    <w:link w:val="85"/>
    <w:qFormat/>
    <w:uiPriority w:val="0"/>
    <w:rPr>
      <w:rFonts w:ascii="华文中宋" w:hAnsi="华文中宋" w:eastAsia="仿宋_GB2312" w:cs="华文中宋"/>
      <w:b/>
      <w:bCs/>
      <w:kern w:val="2"/>
      <w:sz w:val="32"/>
      <w:szCs w:val="32"/>
      <w:lang w:val="en-US" w:eastAsia="zh-CN" w:bidi="ar-SA"/>
    </w:rPr>
  </w:style>
  <w:style w:type="paragraph" w:customStyle="1" w:styleId="777">
    <w:name w:val="表内文字"/>
    <w:basedOn w:val="1"/>
    <w:qFormat/>
    <w:uiPriority w:val="0"/>
    <w:pPr>
      <w:widowControl/>
      <w:ind w:left="57" w:right="57"/>
      <w:jc w:val="center"/>
    </w:pPr>
    <w:rPr>
      <w:rFonts w:ascii="CG Times" w:hAnsi="CG Times" w:eastAsia="仿宋_GB2312" w:cs="CG Times"/>
      <w:snapToGrid w:val="0"/>
      <w:spacing w:val="-20"/>
      <w:kern w:val="0"/>
      <w:szCs w:val="21"/>
    </w:rPr>
  </w:style>
  <w:style w:type="paragraph" w:customStyle="1" w:styleId="778">
    <w:name w:val="s0"/>
    <w:qFormat/>
    <w:uiPriority w:val="0"/>
    <w:pPr>
      <w:widowControl w:val="0"/>
      <w:autoSpaceDE w:val="0"/>
      <w:autoSpaceDN w:val="0"/>
      <w:adjustRightInd w:val="0"/>
    </w:pPr>
    <w:rPr>
      <w:rFonts w:ascii="微软雅黑" w:hAnsi="Courier New" w:eastAsia="微软雅黑" w:cs="Courier New"/>
      <w:lang w:val="en-US" w:eastAsia="zh-CN" w:bidi="ar-SA"/>
    </w:rPr>
  </w:style>
  <w:style w:type="character" w:customStyle="1" w:styleId="779">
    <w:name w:val="r1"/>
    <w:qFormat/>
    <w:uiPriority w:val="0"/>
    <w:rPr>
      <w:sz w:val="20"/>
      <w:szCs w:val="20"/>
    </w:rPr>
  </w:style>
  <w:style w:type="paragraph" w:customStyle="1" w:styleId="780">
    <w:name w:val="!Texte courant"/>
    <w:qFormat/>
    <w:uiPriority w:val="0"/>
    <w:pPr>
      <w:spacing w:before="120" w:line="280" w:lineRule="atLeast"/>
      <w:jc w:val="both"/>
    </w:pPr>
    <w:rPr>
      <w:rFonts w:ascii="Courier New" w:hAnsi="Courier New" w:eastAsia="仿宋_GB2312" w:cs="Courier New"/>
      <w:sz w:val="24"/>
      <w:lang w:val="fr-FR" w:eastAsia="en-US" w:bidi="ar-SA"/>
    </w:rPr>
  </w:style>
  <w:style w:type="paragraph" w:customStyle="1" w:styleId="781">
    <w:name w:val="表格2"/>
    <w:basedOn w:val="1"/>
    <w:qFormat/>
    <w:uiPriority w:val="0"/>
    <w:pPr>
      <w:autoSpaceDE w:val="0"/>
      <w:autoSpaceDN w:val="0"/>
      <w:adjustRightInd w:val="0"/>
      <w:snapToGrid w:val="0"/>
      <w:jc w:val="center"/>
    </w:pPr>
    <w:rPr>
      <w:rFonts w:ascii="仿宋_GB2312" w:hAnsi="仿宋_GB2312" w:eastAsia="仿宋_GB2312" w:cs="Courier New"/>
      <w:spacing w:val="-8"/>
    </w:rPr>
  </w:style>
  <w:style w:type="paragraph" w:customStyle="1" w:styleId="782">
    <w:name w:val="样式 标题2　自动设置"/>
    <w:basedOn w:val="6"/>
    <w:qFormat/>
    <w:uiPriority w:val="0"/>
    <w:pPr>
      <w:numPr>
        <w:ilvl w:val="0"/>
        <w:numId w:val="0"/>
      </w:numPr>
      <w:tabs>
        <w:tab w:val="left" w:pos="576"/>
      </w:tabs>
      <w:adjustRightInd/>
      <w:spacing w:beforeLines="50" w:afterLines="50" w:line="240" w:lineRule="auto"/>
      <w:ind w:left="576" w:hanging="576"/>
      <w:jc w:val="both"/>
      <w:textAlignment w:val="auto"/>
    </w:pPr>
    <w:rPr>
      <w:rFonts w:ascii="仿宋_GB2312" w:hAnsi="仿宋_GB2312" w:eastAsia="仿宋_GB2312" w:cs="仿宋_GB2312"/>
      <w:bCs/>
    </w:rPr>
  </w:style>
  <w:style w:type="paragraph" w:customStyle="1" w:styleId="783">
    <w:name w:val="样式 标题 3样式　标题 3　自动设置标题 3 Char章 + Times New 表题3"/>
    <w:basedOn w:val="7"/>
    <w:qFormat/>
    <w:uiPriority w:val="0"/>
    <w:pPr>
      <w:numPr>
        <w:ilvl w:val="0"/>
        <w:numId w:val="0"/>
      </w:numPr>
      <w:tabs>
        <w:tab w:val="left" w:pos="3800"/>
        <w:tab w:val="left" w:pos="5200"/>
      </w:tabs>
      <w:autoSpaceDE w:val="0"/>
      <w:autoSpaceDN w:val="0"/>
      <w:snapToGrid w:val="0"/>
      <w:spacing w:beforeLines="50" w:afterLines="50" w:line="240" w:lineRule="auto"/>
      <w:ind w:left="-1523" w:firstLine="1523"/>
      <w:jc w:val="both"/>
      <w:textAlignment w:val="auto"/>
    </w:pPr>
    <w:rPr>
      <w:rFonts w:ascii="Courier New" w:hAnsi="Courier New" w:eastAsia="仿宋_GB2312" w:cs="仿宋_GB2312"/>
      <w:bCs/>
      <w:kern w:val="2"/>
      <w:sz w:val="28"/>
      <w:szCs w:val="28"/>
    </w:rPr>
  </w:style>
  <w:style w:type="character" w:customStyle="1" w:styleId="784">
    <w:name w:val="表正文 Char1 Char Char"/>
    <w:qFormat/>
    <w:uiPriority w:val="0"/>
    <w:rPr>
      <w:rFonts w:eastAsia="仿宋_GB2312"/>
      <w:sz w:val="28"/>
      <w:lang w:val="en-US" w:eastAsia="zh-CN" w:bidi="ar-SA"/>
    </w:rPr>
  </w:style>
  <w:style w:type="character" w:customStyle="1" w:styleId="785">
    <w:name w:val="批注文字 Char"/>
    <w:qFormat/>
    <w:uiPriority w:val="0"/>
    <w:rPr>
      <w:rFonts w:eastAsia="仿宋_GB2312"/>
      <w:lang w:val="en-US" w:eastAsia="zh-CN" w:bidi="ar-SA"/>
    </w:rPr>
  </w:style>
  <w:style w:type="character" w:customStyle="1" w:styleId="786">
    <w:name w:val="批注文字 字符"/>
    <w:link w:val="29"/>
    <w:qFormat/>
    <w:uiPriority w:val="0"/>
    <w:rPr>
      <w:rFonts w:eastAsia="宋体"/>
      <w:kern w:val="2"/>
      <w:sz w:val="21"/>
      <w:lang w:val="en-US" w:eastAsia="zh-CN" w:bidi="ar-SA"/>
    </w:rPr>
  </w:style>
  <w:style w:type="paragraph" w:customStyle="1" w:styleId="787">
    <w:name w:val="表头样式"/>
    <w:basedOn w:val="1"/>
    <w:semiHidden/>
    <w:qFormat/>
    <w:uiPriority w:val="0"/>
    <w:pPr>
      <w:keepNext/>
      <w:widowControl/>
      <w:spacing w:beforeLines="50" w:afterLines="50" w:line="520" w:lineRule="exact"/>
      <w:ind w:firstLine="280" w:firstLineChars="100"/>
    </w:pPr>
    <w:rPr>
      <w:rFonts w:ascii="仿宋_GB2312" w:hAnsi="仿宋_GB2312" w:eastAsia="仿宋_GB2312" w:cs="仿宋_GB2312"/>
      <w:bCs/>
      <w:sz w:val="28"/>
      <w:szCs w:val="28"/>
    </w:rPr>
  </w:style>
  <w:style w:type="paragraph" w:customStyle="1" w:styleId="788">
    <w:name w:val="表中样式"/>
    <w:basedOn w:val="1"/>
    <w:semiHidden/>
    <w:qFormat/>
    <w:uiPriority w:val="0"/>
    <w:pPr>
      <w:widowControl/>
      <w:spacing w:line="240" w:lineRule="exact"/>
      <w:ind w:left="-25" w:leftChars="-25" w:right="-31" w:rightChars="-31"/>
      <w:jc w:val="center"/>
    </w:pPr>
    <w:rPr>
      <w:rFonts w:ascii="仿宋_GB2312" w:hAnsi="仿宋_GB2312" w:eastAsia="仿宋_GB2312" w:cs="仿宋_GB2312"/>
      <w:bCs/>
      <w:kern w:val="0"/>
      <w:szCs w:val="32"/>
    </w:rPr>
  </w:style>
  <w:style w:type="paragraph" w:customStyle="1" w:styleId="789">
    <w:name w:val="表样式"/>
    <w:basedOn w:val="787"/>
    <w:semiHidden/>
    <w:qFormat/>
    <w:uiPriority w:val="0"/>
    <w:pPr>
      <w:keepNext w:val="0"/>
      <w:widowControl w:val="0"/>
      <w:spacing w:beforeLines="0" w:afterLines="0" w:line="240" w:lineRule="auto"/>
    </w:pPr>
    <w:rPr>
      <w:rFonts w:eastAsia="Arial Unicode MS"/>
      <w:sz w:val="21"/>
    </w:rPr>
  </w:style>
  <w:style w:type="paragraph" w:customStyle="1" w:styleId="790">
    <w:name w:val="样式 标题 1 + 黑体 三号"/>
    <w:basedOn w:val="5"/>
    <w:semiHidden/>
    <w:qFormat/>
    <w:uiPriority w:val="0"/>
    <w:pPr>
      <w:pageBreakBefore w:val="0"/>
      <w:widowControl/>
      <w:numPr>
        <w:numId w:val="0"/>
      </w:numPr>
      <w:topLinePunct/>
      <w:autoSpaceDE w:val="0"/>
      <w:autoSpaceDN w:val="0"/>
      <w:snapToGrid w:val="0"/>
      <w:spacing w:line="240" w:lineRule="auto"/>
      <w:ind w:firstLine="538" w:firstLineChars="224"/>
      <w:jc w:val="both"/>
      <w:textAlignment w:val="auto"/>
    </w:pPr>
    <w:rPr>
      <w:rFonts w:ascii="Arial Unicode MS" w:hAnsi="Arial Unicode MS" w:eastAsia="Arial Unicode MS" w:cs="Courier New"/>
      <w:snapToGrid w:val="0"/>
      <w:sz w:val="32"/>
      <w:szCs w:val="44"/>
    </w:rPr>
  </w:style>
  <w:style w:type="paragraph" w:customStyle="1" w:styleId="791">
    <w:name w:val="样式 标题 1 + (中文) 黑体 三号 居中 行距: 单倍行距"/>
    <w:basedOn w:val="5"/>
    <w:semiHidden/>
    <w:qFormat/>
    <w:uiPriority w:val="0"/>
    <w:pPr>
      <w:pageBreakBefore w:val="0"/>
      <w:widowControl/>
      <w:numPr>
        <w:numId w:val="0"/>
      </w:numPr>
      <w:topLinePunct/>
      <w:autoSpaceDE w:val="0"/>
      <w:autoSpaceDN w:val="0"/>
      <w:snapToGrid w:val="0"/>
      <w:spacing w:line="240" w:lineRule="auto"/>
      <w:ind w:firstLine="538" w:firstLineChars="224"/>
      <w:jc w:val="left"/>
      <w:textAlignment w:val="auto"/>
    </w:pPr>
    <w:rPr>
      <w:rFonts w:ascii="仿宋_GB2312" w:hAnsi="Courier New" w:eastAsia="Arial Unicode MS" w:cs="仿宋_GB2312"/>
      <w:snapToGrid w:val="0"/>
      <w:sz w:val="32"/>
    </w:rPr>
  </w:style>
  <w:style w:type="paragraph" w:customStyle="1" w:styleId="792">
    <w:name w:val="样式 标题 1 + 黑体 三号 居中 行距: 固定值 20 磅"/>
    <w:basedOn w:val="5"/>
    <w:semiHidden/>
    <w:qFormat/>
    <w:uiPriority w:val="0"/>
    <w:pPr>
      <w:pageBreakBefore w:val="0"/>
      <w:widowControl/>
      <w:numPr>
        <w:numId w:val="0"/>
      </w:numPr>
      <w:topLinePunct/>
      <w:autoSpaceDE w:val="0"/>
      <w:autoSpaceDN w:val="0"/>
      <w:snapToGrid w:val="0"/>
      <w:spacing w:line="400" w:lineRule="exact"/>
      <w:ind w:firstLine="538" w:firstLineChars="224"/>
      <w:jc w:val="left"/>
      <w:textAlignment w:val="auto"/>
    </w:pPr>
    <w:rPr>
      <w:rFonts w:ascii="Arial Unicode MS" w:hAnsi="Arial Unicode MS" w:eastAsia="Arial Unicode MS" w:cs="仿宋_GB2312"/>
      <w:snapToGrid w:val="0"/>
      <w:sz w:val="32"/>
    </w:rPr>
  </w:style>
  <w:style w:type="paragraph" w:customStyle="1" w:styleId="793">
    <w:name w:val="样式 标题 2 + Times New Roman 小三 居中 行距: 固定值 20 磅"/>
    <w:basedOn w:val="6"/>
    <w:semiHidden/>
    <w:qFormat/>
    <w:uiPriority w:val="0"/>
    <w:pPr>
      <w:widowControl/>
      <w:numPr>
        <w:ilvl w:val="0"/>
        <w:numId w:val="0"/>
      </w:numPr>
      <w:adjustRightInd/>
      <w:spacing w:before="260" w:after="260" w:line="400" w:lineRule="exact"/>
      <w:ind w:firstLine="538" w:firstLineChars="192"/>
      <w:textAlignment w:val="auto"/>
    </w:pPr>
    <w:rPr>
      <w:rFonts w:ascii="Courier New" w:hAnsi="Courier New" w:eastAsia="Arial Unicode MS" w:cs="仿宋_GB2312"/>
      <w:sz w:val="30"/>
    </w:rPr>
  </w:style>
  <w:style w:type="paragraph" w:customStyle="1" w:styleId="794">
    <w:name w:val="样式 标题 2 + Times New Roman 小三 居中 行距: 单倍行距"/>
    <w:basedOn w:val="6"/>
    <w:semiHidden/>
    <w:qFormat/>
    <w:uiPriority w:val="0"/>
    <w:pPr>
      <w:widowControl/>
      <w:numPr>
        <w:ilvl w:val="0"/>
        <w:numId w:val="0"/>
      </w:numPr>
      <w:adjustRightInd/>
      <w:spacing w:before="260" w:after="260" w:line="240" w:lineRule="auto"/>
      <w:ind w:firstLine="538" w:firstLineChars="192"/>
      <w:textAlignment w:val="auto"/>
    </w:pPr>
    <w:rPr>
      <w:rFonts w:ascii="Courier New" w:hAnsi="Courier New" w:eastAsia="Arial Unicode MS" w:cs="仿宋_GB2312"/>
      <w:sz w:val="30"/>
    </w:rPr>
  </w:style>
  <w:style w:type="paragraph" w:customStyle="1" w:styleId="795">
    <w:name w:val="样式 标题 2 + Times New Roman 小三 居中"/>
    <w:basedOn w:val="6"/>
    <w:semiHidden/>
    <w:qFormat/>
    <w:uiPriority w:val="0"/>
    <w:pPr>
      <w:widowControl/>
      <w:numPr>
        <w:ilvl w:val="0"/>
        <w:numId w:val="0"/>
      </w:numPr>
      <w:adjustRightInd/>
      <w:spacing w:before="260" w:after="260" w:line="415" w:lineRule="auto"/>
      <w:ind w:firstLine="538" w:firstLineChars="192"/>
      <w:textAlignment w:val="auto"/>
    </w:pPr>
    <w:rPr>
      <w:rFonts w:ascii="Courier New" w:hAnsi="Courier New" w:eastAsia="Arial Unicode MS" w:cs="仿宋_GB2312"/>
      <w:sz w:val="30"/>
    </w:rPr>
  </w:style>
  <w:style w:type="paragraph" w:customStyle="1" w:styleId="796">
    <w:name w:val="正文(a)"/>
    <w:basedOn w:val="4"/>
    <w:semiHidden/>
    <w:qFormat/>
    <w:uiPriority w:val="0"/>
    <w:pPr>
      <w:widowControl/>
      <w:tabs>
        <w:tab w:val="left" w:pos="1139"/>
        <w:tab w:val="left" w:pos="1332"/>
      </w:tabs>
      <w:autoSpaceDE/>
      <w:autoSpaceDN/>
      <w:adjustRightInd/>
      <w:spacing w:line="351" w:lineRule="atLeast"/>
      <w:ind w:left="-141" w:firstLine="566"/>
      <w:jc w:val="both"/>
    </w:pPr>
    <w:rPr>
      <w:rFonts w:ascii="仿宋_GB2312" w:hAnsi="Courier New" w:eastAsia="仿宋_GB2312" w:cs="仿宋_GB2312"/>
      <w:bCs/>
      <w:spacing w:val="5"/>
      <w:sz w:val="21"/>
      <w:szCs w:val="21"/>
      <w:u w:color="000000"/>
    </w:rPr>
  </w:style>
  <w:style w:type="paragraph" w:customStyle="1" w:styleId="797">
    <w:name w:val="文章总标题"/>
    <w:basedOn w:val="1"/>
    <w:next w:val="1"/>
    <w:semiHidden/>
    <w:qFormat/>
    <w:uiPriority w:val="0"/>
    <w:pPr>
      <w:widowControl/>
      <w:spacing w:before="566" w:after="544" w:line="566" w:lineRule="atLeast"/>
      <w:jc w:val="center"/>
      <w:textAlignment w:val="baseline"/>
    </w:pPr>
    <w:rPr>
      <w:rFonts w:ascii="华文中宋" w:hAnsi="Courier New" w:eastAsia="Arial Unicode MS" w:cs="华文中宋"/>
      <w:bCs/>
      <w:color w:val="000000"/>
      <w:kern w:val="0"/>
      <w:sz w:val="54"/>
      <w:szCs w:val="54"/>
      <w:u w:color="000000"/>
    </w:rPr>
  </w:style>
  <w:style w:type="paragraph" w:customStyle="1" w:styleId="798">
    <w:name w:val="样式 表头样式 + 两端对齐 段前: 0.5 行 段后: 0.5 行 首行缩进:  1 字符"/>
    <w:basedOn w:val="787"/>
    <w:semiHidden/>
    <w:qFormat/>
    <w:uiPriority w:val="0"/>
    <w:pPr>
      <w:keepLines/>
      <w:spacing w:before="156" w:after="156"/>
      <w:ind w:firstLine="560" w:firstLineChars="200"/>
    </w:pPr>
    <w:rPr>
      <w:bCs w:val="0"/>
      <w:sz w:val="24"/>
      <w:szCs w:val="20"/>
    </w:rPr>
  </w:style>
  <w:style w:type="paragraph" w:customStyle="1" w:styleId="799">
    <w:name w:val="样式 标题 4常用标题 4 + 段前: 6 磅 段后: 6 磅 行距: 固定值 26 磅"/>
    <w:basedOn w:val="8"/>
    <w:qFormat/>
    <w:uiPriority w:val="0"/>
    <w:pPr>
      <w:numPr>
        <w:ilvl w:val="0"/>
        <w:numId w:val="0"/>
      </w:numPr>
      <w:tabs>
        <w:tab w:val="left" w:pos="800"/>
      </w:tabs>
      <w:adjustRightInd/>
      <w:spacing w:before="120" w:after="120" w:line="520" w:lineRule="exact"/>
      <w:jc w:val="both"/>
      <w:textAlignment w:val="auto"/>
    </w:pPr>
    <w:rPr>
      <w:rFonts w:ascii="华文中宋" w:hAnsi="华文中宋" w:eastAsia="Arial Unicode MS" w:cs="仿宋_GB2312"/>
      <w:b w:val="0"/>
      <w:bCs/>
      <w:kern w:val="2"/>
    </w:rPr>
  </w:style>
  <w:style w:type="character" w:customStyle="1" w:styleId="800">
    <w:name w:val="普通文字 Char Char Char Char Char"/>
    <w:qFormat/>
    <w:uiPriority w:val="0"/>
    <w:rPr>
      <w:rFonts w:ascii="仿宋_GB2312" w:hAnsi="Helvetica" w:eastAsia="仿宋_GB2312"/>
      <w:kern w:val="2"/>
      <w:sz w:val="21"/>
      <w:szCs w:val="21"/>
      <w:lang w:val="en-US" w:eastAsia="zh-CN" w:bidi="ar-SA"/>
    </w:rPr>
  </w:style>
  <w:style w:type="character" w:customStyle="1" w:styleId="801">
    <w:name w:val="样式3 Char"/>
    <w:link w:val="212"/>
    <w:qFormat/>
    <w:uiPriority w:val="0"/>
    <w:rPr>
      <w:rFonts w:ascii="Courier New" w:hAnsi="Courier New" w:eastAsia="仿宋_GB2312" w:cs="Courier New"/>
      <w:snapToGrid w:val="0"/>
      <w:color w:val="000000"/>
      <w:sz w:val="21"/>
      <w:szCs w:val="21"/>
      <w:lang w:val="en-US" w:eastAsia="zh-CN" w:bidi="ar-SA"/>
    </w:rPr>
  </w:style>
  <w:style w:type="paragraph" w:customStyle="1" w:styleId="802">
    <w:name w:val="hb3"/>
    <w:basedOn w:val="7"/>
    <w:qFormat/>
    <w:uiPriority w:val="0"/>
    <w:pPr>
      <w:numPr>
        <w:ilvl w:val="0"/>
        <w:numId w:val="0"/>
      </w:numPr>
      <w:spacing w:before="260" w:after="260" w:line="500" w:lineRule="exact"/>
    </w:pPr>
    <w:rPr>
      <w:rFonts w:ascii="Courier New" w:hAnsi="Courier New" w:eastAsia="仿宋_GB2312" w:cs="Courier New"/>
      <w:kern w:val="2"/>
      <w:sz w:val="28"/>
      <w:szCs w:val="28"/>
    </w:rPr>
  </w:style>
  <w:style w:type="character" w:customStyle="1" w:styleId="803">
    <w:name w:val="style91"/>
    <w:qFormat/>
    <w:uiPriority w:val="0"/>
    <w:rPr>
      <w:b/>
      <w:bCs/>
      <w:color w:val="187CC8"/>
    </w:rPr>
  </w:style>
  <w:style w:type="character" w:customStyle="1" w:styleId="804">
    <w:name w:val="标题 5 字符"/>
    <w:link w:val="9"/>
    <w:qFormat/>
    <w:uiPriority w:val="0"/>
    <w:rPr>
      <w:rFonts w:eastAsia="黑体"/>
      <w:sz w:val="28"/>
    </w:rPr>
  </w:style>
  <w:style w:type="character" w:customStyle="1" w:styleId="805">
    <w:name w:val="标题 7 字符"/>
    <w:link w:val="11"/>
    <w:qFormat/>
    <w:uiPriority w:val="0"/>
    <w:rPr>
      <w:b/>
      <w:sz w:val="24"/>
    </w:rPr>
  </w:style>
  <w:style w:type="character" w:customStyle="1" w:styleId="806">
    <w:name w:val="标题 8 字符"/>
    <w:link w:val="12"/>
    <w:qFormat/>
    <w:uiPriority w:val="0"/>
    <w:rPr>
      <w:rFonts w:ascii="Arial" w:hAnsi="Arial" w:eastAsia="黑体"/>
      <w:sz w:val="24"/>
    </w:rPr>
  </w:style>
  <w:style w:type="character" w:customStyle="1" w:styleId="807">
    <w:name w:val="标题 9 字符"/>
    <w:link w:val="13"/>
    <w:qFormat/>
    <w:uiPriority w:val="0"/>
    <w:rPr>
      <w:rFonts w:ascii="Arial" w:hAnsi="Arial" w:eastAsia="黑体"/>
      <w:sz w:val="24"/>
    </w:rPr>
  </w:style>
  <w:style w:type="character" w:customStyle="1" w:styleId="808">
    <w:name w:val="正文文本缩进 2 字符"/>
    <w:link w:val="52"/>
    <w:qFormat/>
    <w:uiPriority w:val="0"/>
    <w:rPr>
      <w:rFonts w:ascii="仿宋_GB2312" w:eastAsia="仿宋_GB2312"/>
      <w:sz w:val="24"/>
      <w:lang w:val="en-US" w:eastAsia="zh-CN" w:bidi="ar-SA"/>
    </w:rPr>
  </w:style>
  <w:style w:type="character" w:customStyle="1" w:styleId="809">
    <w:name w:val="日期 字符"/>
    <w:link w:val="51"/>
    <w:qFormat/>
    <w:uiPriority w:val="0"/>
    <w:rPr>
      <w:rFonts w:ascii="宋体" w:eastAsia="宋体"/>
      <w:color w:val="000000"/>
      <w:sz w:val="24"/>
      <w:lang w:val="en-US" w:eastAsia="zh-CN" w:bidi="ar-SA"/>
    </w:rPr>
  </w:style>
  <w:style w:type="character" w:customStyle="1" w:styleId="810">
    <w:name w:val="正文文本缩进 3 字符"/>
    <w:link w:val="71"/>
    <w:qFormat/>
    <w:uiPriority w:val="0"/>
    <w:rPr>
      <w:rFonts w:ascii="宋体" w:eastAsia="宋体"/>
      <w:sz w:val="24"/>
      <w:lang w:val="en-US" w:eastAsia="zh-CN" w:bidi="ar-SA"/>
    </w:rPr>
  </w:style>
  <w:style w:type="character" w:customStyle="1" w:styleId="811">
    <w:name w:val="正文文本 2 字符"/>
    <w:link w:val="77"/>
    <w:qFormat/>
    <w:uiPriority w:val="0"/>
    <w:rPr>
      <w:rFonts w:eastAsia="宋体"/>
      <w:kern w:val="2"/>
      <w:sz w:val="21"/>
      <w:szCs w:val="24"/>
      <w:lang w:val="en-US" w:eastAsia="zh-CN" w:bidi="ar-SA"/>
    </w:rPr>
  </w:style>
  <w:style w:type="character" w:customStyle="1" w:styleId="812">
    <w:name w:val="批注框文本 字符"/>
    <w:link w:val="54"/>
    <w:semiHidden/>
    <w:qFormat/>
    <w:uiPriority w:val="0"/>
    <w:rPr>
      <w:rFonts w:eastAsia="宋体"/>
      <w:kern w:val="2"/>
      <w:sz w:val="18"/>
      <w:szCs w:val="18"/>
      <w:lang w:val="en-US" w:eastAsia="zh-CN" w:bidi="ar-SA"/>
    </w:rPr>
  </w:style>
  <w:style w:type="character" w:customStyle="1" w:styleId="813">
    <w:name w:val="正文文本 3 字符"/>
    <w:link w:val="32"/>
    <w:qFormat/>
    <w:uiPriority w:val="0"/>
    <w:rPr>
      <w:rFonts w:ascii="Courier New" w:hAnsi="Courier New" w:eastAsia="仿宋_GB2312" w:cs="Courier New"/>
      <w:sz w:val="16"/>
      <w:szCs w:val="16"/>
      <w:lang w:val="en-US" w:eastAsia="zh-CN" w:bidi="ar-SA"/>
    </w:rPr>
  </w:style>
  <w:style w:type="character" w:customStyle="1" w:styleId="814">
    <w:name w:val="正文2 Char"/>
    <w:link w:val="576"/>
    <w:semiHidden/>
    <w:qFormat/>
    <w:uiPriority w:val="0"/>
    <w:rPr>
      <w:rFonts w:ascii="Courier New" w:hAnsi="Courier New" w:eastAsia="仿宋_GB2312" w:cs="Courier New"/>
      <w:sz w:val="24"/>
      <w:lang w:val="en-US" w:eastAsia="zh-CN" w:bidi="ar-SA"/>
    </w:rPr>
  </w:style>
  <w:style w:type="character" w:customStyle="1" w:styleId="815">
    <w:name w:val="Char Char32"/>
    <w:qFormat/>
    <w:uiPriority w:val="0"/>
    <w:rPr>
      <w:rFonts w:eastAsia="仿宋_GB2312"/>
      <w:kern w:val="2"/>
      <w:sz w:val="18"/>
      <w:szCs w:val="18"/>
      <w:lang w:val="en-US" w:eastAsia="zh-CN" w:bidi="ar-SA"/>
    </w:rPr>
  </w:style>
  <w:style w:type="character" w:customStyle="1" w:styleId="816">
    <w:name w:val="正文文本缩进 3 Char"/>
    <w:qFormat/>
    <w:uiPriority w:val="0"/>
    <w:rPr>
      <w:rFonts w:ascii="仿宋_GB2312" w:eastAsia="仿宋_GB2312"/>
      <w:sz w:val="24"/>
      <w:lang w:val="en-US" w:eastAsia="zh-CN" w:bidi="ar-SA"/>
    </w:rPr>
  </w:style>
  <w:style w:type="character" w:customStyle="1" w:styleId="817">
    <w:name w:val="正文文本 2 Char"/>
    <w:qFormat/>
    <w:uiPriority w:val="0"/>
    <w:rPr>
      <w:b/>
      <w:bCs/>
      <w:kern w:val="2"/>
      <w:sz w:val="21"/>
      <w:szCs w:val="24"/>
      <w:lang w:val="en-US" w:eastAsia="zh-CN" w:bidi="ar-SA"/>
    </w:rPr>
  </w:style>
  <w:style w:type="paragraph" w:customStyle="1" w:styleId="818">
    <w:name w:val="谏壁标题2(chen）"/>
    <w:basedOn w:val="1"/>
    <w:qFormat/>
    <w:uiPriority w:val="0"/>
    <w:pPr>
      <w:keepNext/>
      <w:keepLines/>
      <w:spacing w:after="120" w:line="360" w:lineRule="auto"/>
      <w:outlineLvl w:val="1"/>
    </w:pPr>
    <w:rPr>
      <w:rFonts w:ascii="Courier New" w:hAnsi="Courier New" w:eastAsia="Arial Unicode MS" w:cs="Courier New"/>
      <w:sz w:val="32"/>
      <w:szCs w:val="32"/>
    </w:rPr>
  </w:style>
  <w:style w:type="paragraph" w:customStyle="1" w:styleId="819">
    <w:name w:val="谏壁标题3（chen）"/>
    <w:basedOn w:val="1"/>
    <w:qFormat/>
    <w:uiPriority w:val="0"/>
    <w:pPr>
      <w:keepNext/>
      <w:keepLines/>
      <w:spacing w:before="100" w:after="120" w:line="360" w:lineRule="auto"/>
      <w:outlineLvl w:val="2"/>
    </w:pPr>
    <w:rPr>
      <w:rFonts w:ascii="Courier New" w:hAnsi="Courier New" w:eastAsia="Arial Unicode MS" w:cs="Courier New"/>
      <w:sz w:val="30"/>
      <w:szCs w:val="32"/>
    </w:rPr>
  </w:style>
  <w:style w:type="paragraph" w:customStyle="1" w:styleId="820">
    <w:name w:val="环评正文"/>
    <w:qFormat/>
    <w:uiPriority w:val="0"/>
    <w:pPr>
      <w:spacing w:line="400" w:lineRule="exact"/>
      <w:ind w:firstLine="200" w:firstLineChars="200"/>
    </w:pPr>
    <w:rPr>
      <w:rFonts w:ascii="仿宋_GB2312" w:hAnsi="Courier New" w:eastAsia="仿宋_GB2312" w:cs="Courier New"/>
      <w:color w:val="000000"/>
      <w:kern w:val="21"/>
      <w:sz w:val="24"/>
      <w:szCs w:val="24"/>
      <w:lang w:val="en-US" w:eastAsia="zh-CN" w:bidi="ar-SA"/>
    </w:rPr>
  </w:style>
  <w:style w:type="paragraph" w:customStyle="1" w:styleId="821">
    <w:name w:val="样式 正文001 + 首行缩进:  2 字符"/>
    <w:basedOn w:val="1"/>
    <w:qFormat/>
    <w:uiPriority w:val="0"/>
    <w:pPr>
      <w:spacing w:line="500" w:lineRule="atLeast"/>
      <w:ind w:firstLine="480" w:firstLineChars="200"/>
    </w:pPr>
    <w:rPr>
      <w:rFonts w:ascii="Courier New" w:hAnsi="Courier New" w:eastAsia="仿宋_GB2312" w:cs="Courier New"/>
      <w:sz w:val="24"/>
      <w:szCs w:val="20"/>
    </w:rPr>
  </w:style>
  <w:style w:type="paragraph" w:customStyle="1" w:styleId="822">
    <w:name w:val="样式 黑体 小三 段前: 5 磅 段后: 5 磅 行距: 固定值 16 磅"/>
    <w:basedOn w:val="1"/>
    <w:qFormat/>
    <w:uiPriority w:val="0"/>
    <w:pPr>
      <w:spacing w:before="100" w:after="100" w:line="320" w:lineRule="exact"/>
      <w:ind w:firstLine="1476" w:firstLineChars="700"/>
    </w:pPr>
    <w:rPr>
      <w:rFonts w:ascii="Arial Unicode MS" w:hAnsi="仿宋_GB2312" w:eastAsia="仿宋_GB2312" w:cs="仿宋_GB2312"/>
      <w:b/>
      <w:szCs w:val="21"/>
    </w:rPr>
  </w:style>
  <w:style w:type="paragraph" w:customStyle="1" w:styleId="823">
    <w:name w:val="样式 正文(首行缩进) + 黑体 四号 居中 行距: 单倍行距"/>
    <w:basedOn w:val="1"/>
    <w:qFormat/>
    <w:uiPriority w:val="0"/>
    <w:pPr>
      <w:adjustRightInd w:val="0"/>
      <w:snapToGrid w:val="0"/>
      <w:jc w:val="center"/>
    </w:pPr>
    <w:rPr>
      <w:rFonts w:ascii="Arial Unicode MS" w:hAnsi="仿宋_GB2312" w:eastAsia="Arial Unicode MS" w:cs="仿宋_GB2312"/>
      <w:color w:val="000000"/>
      <w:sz w:val="28"/>
      <w:szCs w:val="20"/>
    </w:rPr>
  </w:style>
  <w:style w:type="paragraph" w:customStyle="1" w:styleId="824">
    <w:name w:val="样式 样式5 + 居中"/>
    <w:basedOn w:val="1"/>
    <w:qFormat/>
    <w:uiPriority w:val="0"/>
    <w:pPr>
      <w:widowControl/>
      <w:jc w:val="center"/>
    </w:pPr>
    <w:rPr>
      <w:rFonts w:ascii="仿宋_GB2312" w:hAnsi="仿宋_GB2312" w:eastAsia="仿宋_GB2312" w:cs="仿宋_GB2312"/>
      <w:kern w:val="21"/>
      <w:szCs w:val="20"/>
    </w:rPr>
  </w:style>
  <w:style w:type="paragraph" w:customStyle="1" w:styleId="825">
    <w:name w:val="样式 (中文) 黑体 三号 左 段后: 6 磅 行距: 固定值 22 磅"/>
    <w:basedOn w:val="1"/>
    <w:qFormat/>
    <w:uiPriority w:val="0"/>
    <w:pPr>
      <w:spacing w:line="320" w:lineRule="exact"/>
      <w:jc w:val="center"/>
    </w:pPr>
    <w:rPr>
      <w:rFonts w:ascii="仿宋_GB2312" w:hAnsi="仿宋_GB2312" w:eastAsia="仿宋_GB2312" w:cs="Courier New"/>
      <w:b/>
      <w:szCs w:val="21"/>
    </w:rPr>
  </w:style>
  <w:style w:type="character" w:customStyle="1" w:styleId="826">
    <w:name w:val="环评正文 Char1"/>
    <w:qFormat/>
    <w:uiPriority w:val="0"/>
    <w:rPr>
      <w:rFonts w:ascii="仿宋_GB2312" w:eastAsia="仿宋_GB2312"/>
      <w:color w:val="000000"/>
      <w:kern w:val="21"/>
      <w:sz w:val="24"/>
      <w:szCs w:val="24"/>
      <w:lang w:val="en-US" w:eastAsia="zh-CN" w:bidi="ar-SA"/>
    </w:rPr>
  </w:style>
  <w:style w:type="paragraph" w:customStyle="1" w:styleId="827">
    <w:name w:val="样式 环评正文 Char Char + 首行缩进:  2 字符"/>
    <w:basedOn w:val="1"/>
    <w:qFormat/>
    <w:uiPriority w:val="0"/>
    <w:pPr>
      <w:widowControl/>
      <w:spacing w:line="440" w:lineRule="exact"/>
      <w:ind w:firstLine="200" w:firstLineChars="200"/>
    </w:pPr>
    <w:rPr>
      <w:rFonts w:ascii="Courier New" w:hAnsi="Courier New" w:eastAsia="华文楷体" w:cs="Courier New"/>
      <w:color w:val="000000"/>
      <w:kern w:val="21"/>
      <w:sz w:val="24"/>
    </w:rPr>
  </w:style>
  <w:style w:type="character" w:customStyle="1" w:styleId="828">
    <w:name w:val="题注 Char"/>
    <w:qFormat/>
    <w:uiPriority w:val="0"/>
    <w:rPr>
      <w:rFonts w:ascii="华文中宋" w:hAnsi="华文中宋" w:eastAsia="Arial Unicode MS" w:cs="华文中宋"/>
      <w:kern w:val="2"/>
      <w:lang w:val="en-US" w:eastAsia="zh-CN" w:bidi="ar-SA"/>
    </w:rPr>
  </w:style>
  <w:style w:type="paragraph" w:customStyle="1" w:styleId="829">
    <w:name w:val="BT2"/>
    <w:basedOn w:val="6"/>
    <w:qFormat/>
    <w:uiPriority w:val="0"/>
    <w:pPr>
      <w:numPr>
        <w:ilvl w:val="0"/>
        <w:numId w:val="0"/>
      </w:numPr>
      <w:adjustRightInd/>
      <w:spacing w:before="0" w:after="0" w:line="416" w:lineRule="auto"/>
      <w:jc w:val="both"/>
      <w:textAlignment w:val="auto"/>
    </w:pPr>
    <w:rPr>
      <w:rFonts w:ascii="Courier New" w:hAnsi="Courier New" w:eastAsia="Arial Unicode MS" w:cs="Courier New"/>
      <w:bCs/>
      <w:kern w:val="2"/>
      <w:sz w:val="32"/>
      <w:szCs w:val="32"/>
    </w:rPr>
  </w:style>
  <w:style w:type="character" w:customStyle="1" w:styleId="830">
    <w:name w:val="标题 14 Char"/>
    <w:qFormat/>
    <w:uiPriority w:val="0"/>
    <w:rPr>
      <w:rFonts w:ascii="华文中宋" w:hAnsi="华文中宋"/>
      <w:bCs/>
      <w:kern w:val="2"/>
      <w:sz w:val="24"/>
      <w:szCs w:val="28"/>
      <w:lang w:val="en-US" w:eastAsia="zh-CN" w:bidi="ar-SA"/>
    </w:rPr>
  </w:style>
  <w:style w:type="paragraph" w:customStyle="1" w:styleId="831">
    <w:name w:val="样式 标题 3标题 13标题 3 Char1 Char Char Char标题 31ReHead 3 WSAh3B..."/>
    <w:basedOn w:val="7"/>
    <w:qFormat/>
    <w:uiPriority w:val="0"/>
    <w:pPr>
      <w:numPr>
        <w:ilvl w:val="0"/>
        <w:numId w:val="0"/>
      </w:numPr>
      <w:snapToGrid w:val="0"/>
      <w:spacing w:beforeLines="50" w:afterLines="20"/>
      <w:textAlignment w:val="auto"/>
    </w:pPr>
    <w:rPr>
      <w:rFonts w:ascii="Courier New" w:hAnsi="Courier New" w:eastAsia="仿宋_GB2312" w:cs="Courier New"/>
      <w:bCs/>
      <w:kern w:val="2"/>
      <w:sz w:val="24"/>
      <w:szCs w:val="24"/>
      <w:lang w:val="zh-CN"/>
    </w:rPr>
  </w:style>
  <w:style w:type="paragraph" w:customStyle="1" w:styleId="832">
    <w:name w:val="正文(首行缩进2字)"/>
    <w:basedOn w:val="1"/>
    <w:next w:val="1"/>
    <w:qFormat/>
    <w:uiPriority w:val="0"/>
    <w:pPr>
      <w:adjustRightInd w:val="0"/>
      <w:spacing w:line="360" w:lineRule="auto"/>
      <w:ind w:firstLine="560" w:firstLineChars="200"/>
      <w:jc w:val="left"/>
      <w:textAlignment w:val="baseline"/>
    </w:pPr>
    <w:rPr>
      <w:rFonts w:ascii="Courier New" w:hAnsi="Courier New" w:eastAsia="仿宋_GB2312" w:cs="Courier New"/>
      <w:color w:val="000000"/>
      <w:kern w:val="0"/>
      <w:sz w:val="28"/>
      <w:szCs w:val="20"/>
    </w:rPr>
  </w:style>
  <w:style w:type="paragraph" w:customStyle="1" w:styleId="833">
    <w:name w:val="表内容"/>
    <w:basedOn w:val="1"/>
    <w:qFormat/>
    <w:uiPriority w:val="0"/>
    <w:pPr>
      <w:adjustRightInd w:val="0"/>
      <w:snapToGrid w:val="0"/>
      <w:spacing w:line="360" w:lineRule="auto"/>
      <w:jc w:val="center"/>
      <w:textAlignment w:val="center"/>
    </w:pPr>
    <w:rPr>
      <w:rFonts w:ascii="Courier New" w:hAnsi="Courier New" w:eastAsia="仿宋_GB2312" w:cs="Courier New"/>
      <w:sz w:val="24"/>
      <w:szCs w:val="20"/>
    </w:rPr>
  </w:style>
  <w:style w:type="paragraph" w:customStyle="1" w:styleId="834">
    <w:name w:val="表目"/>
    <w:basedOn w:val="1"/>
    <w:qFormat/>
    <w:uiPriority w:val="0"/>
    <w:pPr>
      <w:shd w:val="pct5" w:color="auto" w:fill="FFFFFF"/>
      <w:tabs>
        <w:tab w:val="left" w:pos="-280"/>
        <w:tab w:val="left" w:pos="2340"/>
        <w:tab w:val="left" w:pos="3780"/>
      </w:tabs>
      <w:autoSpaceDE w:val="0"/>
      <w:autoSpaceDN w:val="0"/>
      <w:jc w:val="center"/>
      <w:textAlignment w:val="center"/>
      <w:outlineLvl w:val="6"/>
    </w:pPr>
    <w:rPr>
      <w:rFonts w:ascii="华文中宋" w:hAnsi="华文中宋" w:eastAsia="仿宋_GB2312" w:cs="Courier New"/>
      <w:b/>
      <w:spacing w:val="-20"/>
      <w:kern w:val="0"/>
      <w:position w:val="-6"/>
      <w:sz w:val="24"/>
    </w:rPr>
  </w:style>
  <w:style w:type="paragraph" w:customStyle="1" w:styleId="835">
    <w:name w:val="特殊标题３"/>
    <w:basedOn w:val="1"/>
    <w:qFormat/>
    <w:uiPriority w:val="0"/>
    <w:pPr>
      <w:overflowPunct w:val="0"/>
      <w:autoSpaceDE w:val="0"/>
      <w:autoSpaceDN w:val="0"/>
      <w:adjustRightInd w:val="0"/>
      <w:spacing w:line="360" w:lineRule="auto"/>
      <w:textAlignment w:val="baseline"/>
    </w:pPr>
    <w:rPr>
      <w:rFonts w:ascii="Courier New" w:hAnsi="Courier New" w:cs="Courier New"/>
      <w:kern w:val="0"/>
      <w:sz w:val="28"/>
      <w:szCs w:val="20"/>
    </w:rPr>
  </w:style>
  <w:style w:type="paragraph" w:customStyle="1" w:styleId="836">
    <w:name w:val="文本文字"/>
    <w:basedOn w:val="1"/>
    <w:qFormat/>
    <w:uiPriority w:val="0"/>
    <w:pPr>
      <w:overflowPunct w:val="0"/>
      <w:autoSpaceDE w:val="0"/>
      <w:autoSpaceDN w:val="0"/>
      <w:adjustRightInd w:val="0"/>
      <w:spacing w:line="240" w:lineRule="atLeast"/>
      <w:textAlignment w:val="baseline"/>
    </w:pPr>
    <w:rPr>
      <w:rFonts w:ascii="Courier New" w:hAnsi="Courier New" w:cs="Courier New"/>
      <w:kern w:val="0"/>
      <w:sz w:val="28"/>
      <w:szCs w:val="20"/>
    </w:rPr>
  </w:style>
  <w:style w:type="paragraph" w:customStyle="1" w:styleId="837">
    <w:name w:val="特殊文字"/>
    <w:basedOn w:val="1"/>
    <w:qFormat/>
    <w:uiPriority w:val="0"/>
    <w:pPr>
      <w:overflowPunct w:val="0"/>
      <w:autoSpaceDE w:val="0"/>
      <w:autoSpaceDN w:val="0"/>
      <w:adjustRightInd w:val="0"/>
      <w:spacing w:line="360" w:lineRule="auto"/>
      <w:textAlignment w:val="baseline"/>
    </w:pPr>
    <w:rPr>
      <w:rFonts w:ascii="Courier New" w:hAnsi="Courier New" w:cs="Courier New"/>
      <w:kern w:val="0"/>
      <w:sz w:val="28"/>
      <w:szCs w:val="20"/>
    </w:rPr>
  </w:style>
  <w:style w:type="character" w:customStyle="1" w:styleId="838">
    <w:name w:val="正文(首行缩进2字) Char"/>
    <w:qFormat/>
    <w:uiPriority w:val="0"/>
    <w:rPr>
      <w:rFonts w:eastAsia="仿宋_GB2312"/>
      <w:color w:val="000000"/>
      <w:sz w:val="28"/>
      <w:lang w:val="en-US" w:eastAsia="zh-CN" w:bidi="ar-SA"/>
    </w:rPr>
  </w:style>
  <w:style w:type="paragraph" w:customStyle="1" w:styleId="839">
    <w:name w:val="方块流程"/>
    <w:basedOn w:val="1"/>
    <w:qFormat/>
    <w:uiPriority w:val="0"/>
    <w:pPr>
      <w:topLinePunct/>
      <w:spacing w:line="240" w:lineRule="atLeast"/>
      <w:jc w:val="center"/>
      <w:textAlignment w:val="center"/>
    </w:pPr>
    <w:rPr>
      <w:rFonts w:ascii="Courier New" w:hAnsi="Courier New" w:eastAsia="仿宋_GB2312" w:cs="Courier New"/>
      <w:color w:val="000080"/>
      <w:szCs w:val="20"/>
    </w:rPr>
  </w:style>
  <w:style w:type="paragraph" w:customStyle="1" w:styleId="840">
    <w:name w:val="样式 样式 标题 3 + 段前: 0.5 行 行距: 1.5 倍行距 + 段前: 0.5 行 行距: 1.5 倍行距"/>
    <w:basedOn w:val="1"/>
    <w:qFormat/>
    <w:uiPriority w:val="0"/>
    <w:pPr>
      <w:autoSpaceDE w:val="0"/>
      <w:autoSpaceDN w:val="0"/>
      <w:adjustRightInd w:val="0"/>
      <w:snapToGrid w:val="0"/>
      <w:spacing w:line="360" w:lineRule="auto"/>
      <w:ind w:firstLine="482" w:firstLineChars="200"/>
      <w:textAlignment w:val="baseline"/>
    </w:pPr>
    <w:rPr>
      <w:rFonts w:ascii="Courier New" w:hAnsi="Courier New" w:eastAsia="仿宋_GB2312" w:cs="Courier New"/>
      <w:b/>
      <w:bCs/>
      <w:snapToGrid w:val="0"/>
      <w:color w:val="FF0000"/>
      <w:kern w:val="0"/>
      <w:sz w:val="24"/>
    </w:rPr>
  </w:style>
  <w:style w:type="paragraph" w:customStyle="1" w:styleId="841">
    <w:name w:val="样式 样式 样式 样式 标题4- + 段前: 0.5 行 + 段前: 0.5 行 + 段前: 0.5 行 + 段前: 0.5 行"/>
    <w:basedOn w:val="1"/>
    <w:qFormat/>
    <w:uiPriority w:val="0"/>
    <w:pPr>
      <w:tabs>
        <w:tab w:val="left" w:pos="1205"/>
      </w:tabs>
      <w:autoSpaceDE w:val="0"/>
      <w:autoSpaceDN w:val="0"/>
      <w:adjustRightInd w:val="0"/>
      <w:snapToGrid w:val="0"/>
      <w:spacing w:line="360" w:lineRule="auto"/>
      <w:textAlignment w:val="baseline"/>
      <w:outlineLvl w:val="3"/>
    </w:pPr>
    <w:rPr>
      <w:rFonts w:ascii="Courier New" w:hAnsi="Courier New" w:eastAsia="仿宋_GB2312" w:cs="Courier New"/>
      <w:b/>
      <w:snapToGrid w:val="0"/>
      <w:kern w:val="0"/>
      <w:sz w:val="24"/>
    </w:rPr>
  </w:style>
  <w:style w:type="character" w:customStyle="1" w:styleId="842">
    <w:name w:val="表文字 Char"/>
    <w:qFormat/>
    <w:uiPriority w:val="0"/>
    <w:rPr>
      <w:rFonts w:eastAsia="仿宋_GB2312"/>
      <w:kern w:val="2"/>
      <w:sz w:val="21"/>
      <w:szCs w:val="21"/>
      <w:lang w:val="en-US" w:eastAsia="zh-CN" w:bidi="ar-SA"/>
    </w:rPr>
  </w:style>
  <w:style w:type="character" w:customStyle="1" w:styleId="843">
    <w:name w:val="表头 Char Char"/>
    <w:qFormat/>
    <w:uiPriority w:val="0"/>
    <w:rPr>
      <w:rFonts w:eastAsia="仿宋_GB2312"/>
      <w:b/>
      <w:bCs/>
      <w:kern w:val="32"/>
      <w:sz w:val="24"/>
      <w:szCs w:val="24"/>
      <w:lang w:val="en-US" w:eastAsia="zh-CN"/>
    </w:rPr>
  </w:style>
  <w:style w:type="paragraph" w:customStyle="1" w:styleId="844">
    <w:name w:val="hb2"/>
    <w:basedOn w:val="6"/>
    <w:qFormat/>
    <w:uiPriority w:val="0"/>
    <w:pPr>
      <w:numPr>
        <w:ilvl w:val="0"/>
        <w:numId w:val="0"/>
      </w:numPr>
      <w:spacing w:before="360" w:after="180" w:line="416" w:lineRule="atLeast"/>
      <w:jc w:val="both"/>
    </w:pPr>
    <w:rPr>
      <w:rFonts w:ascii="Courier New" w:hAnsi="仿宋_GB2312" w:eastAsia="仿宋_GB2312" w:cs="Courier New"/>
      <w:bCs/>
      <w:kern w:val="2"/>
      <w:szCs w:val="24"/>
      <w:lang w:val="zh-CN"/>
    </w:rPr>
  </w:style>
  <w:style w:type="paragraph" w:customStyle="1" w:styleId="845">
    <w:name w:val="figure1"/>
    <w:basedOn w:val="1"/>
    <w:qFormat/>
    <w:uiPriority w:val="0"/>
    <w:pPr>
      <w:spacing w:line="320" w:lineRule="atLeast"/>
      <w:jc w:val="left"/>
    </w:pPr>
    <w:rPr>
      <w:rFonts w:ascii="Courier New" w:hAnsi="Courier New" w:eastAsia="仿宋_GB2312" w:cs="Courier New"/>
      <w:spacing w:val="-20"/>
      <w:szCs w:val="20"/>
    </w:rPr>
  </w:style>
  <w:style w:type="paragraph" w:customStyle="1" w:styleId="846">
    <w:name w:val="样式 样式 正文1 + 段前: 0.1 行 + 段前: 0.1 行"/>
    <w:basedOn w:val="847"/>
    <w:qFormat/>
    <w:uiPriority w:val="0"/>
    <w:pPr>
      <w:spacing w:before="24"/>
    </w:pPr>
  </w:style>
  <w:style w:type="paragraph" w:customStyle="1" w:styleId="847">
    <w:name w:val="样式 正文1 + 段前: 0.1 行"/>
    <w:basedOn w:val="1"/>
    <w:qFormat/>
    <w:uiPriority w:val="0"/>
    <w:pPr>
      <w:snapToGrid w:val="0"/>
      <w:spacing w:beforeLines="10" w:line="440" w:lineRule="atLeast"/>
      <w:ind w:firstLine="567"/>
    </w:pPr>
    <w:rPr>
      <w:rFonts w:ascii="Courier New" w:hAnsi="Courier New" w:eastAsia="仿宋_GB2312" w:cs="Courier New"/>
      <w:sz w:val="24"/>
      <w:szCs w:val="20"/>
    </w:rPr>
  </w:style>
  <w:style w:type="paragraph" w:customStyle="1" w:styleId="848">
    <w:name w:val="正文001"/>
    <w:basedOn w:val="1"/>
    <w:qFormat/>
    <w:uiPriority w:val="0"/>
    <w:pPr>
      <w:spacing w:line="500" w:lineRule="atLeast"/>
      <w:ind w:firstLine="200" w:firstLineChars="200"/>
    </w:pPr>
    <w:rPr>
      <w:rFonts w:ascii="Courier New" w:hAnsi="Courier New" w:eastAsia="仿宋_GB2312" w:cs="Courier New"/>
      <w:sz w:val="24"/>
      <w:szCs w:val="20"/>
    </w:rPr>
  </w:style>
  <w:style w:type="paragraph" w:customStyle="1" w:styleId="849">
    <w:name w:val="样式 标题2 + 首行缩进:  1 字符 段前: 0.5 行"/>
    <w:basedOn w:val="1"/>
    <w:qFormat/>
    <w:uiPriority w:val="0"/>
    <w:pPr>
      <w:spacing w:beforeLines="50" w:line="500" w:lineRule="atLeast"/>
      <w:ind w:firstLine="281" w:firstLineChars="100"/>
      <w:jc w:val="left"/>
      <w:outlineLvl w:val="1"/>
    </w:pPr>
    <w:rPr>
      <w:rFonts w:ascii="Courier New" w:hAnsi="Courier New" w:eastAsia="仿宋_GB2312" w:cs="Courier New"/>
      <w:b/>
      <w:bCs/>
      <w:sz w:val="28"/>
      <w:szCs w:val="20"/>
    </w:rPr>
  </w:style>
  <w:style w:type="paragraph" w:customStyle="1" w:styleId="850">
    <w:name w:val="1阶格式"/>
    <w:basedOn w:val="1"/>
    <w:qFormat/>
    <w:uiPriority w:val="0"/>
    <w:pPr>
      <w:numPr>
        <w:ilvl w:val="0"/>
        <w:numId w:val="13"/>
      </w:numPr>
      <w:spacing w:before="240" w:after="240"/>
      <w:jc w:val="left"/>
    </w:pPr>
    <w:rPr>
      <w:rFonts w:ascii="Courier New" w:hAnsi="Courier New" w:eastAsia="Arial Unicode MS" w:cs="Courier New"/>
      <w:sz w:val="30"/>
    </w:rPr>
  </w:style>
  <w:style w:type="paragraph" w:customStyle="1" w:styleId="851">
    <w:name w:val="BT3"/>
    <w:basedOn w:val="7"/>
    <w:qFormat/>
    <w:uiPriority w:val="0"/>
    <w:pPr>
      <w:numPr>
        <w:ilvl w:val="0"/>
        <w:numId w:val="0"/>
      </w:numPr>
      <w:adjustRightInd/>
      <w:spacing w:beforeLines="30" w:afterLines="30" w:line="300" w:lineRule="auto"/>
      <w:jc w:val="both"/>
      <w:textAlignment w:val="auto"/>
    </w:pPr>
    <w:rPr>
      <w:rFonts w:ascii="Courier New" w:hAnsi="Courier New" w:eastAsia="华文楷体" w:cs="Courier New"/>
      <w:bCs/>
      <w:kern w:val="2"/>
      <w:sz w:val="28"/>
      <w:szCs w:val="28"/>
    </w:rPr>
  </w:style>
  <w:style w:type="character" w:customStyle="1" w:styleId="852">
    <w:name w:val="标题 1 Char Char Char1 Char Char Char Char Char Char Char Char"/>
    <w:qFormat/>
    <w:uiPriority w:val="0"/>
    <w:rPr>
      <w:rFonts w:eastAsia="LF Song"/>
      <w:b/>
      <w:bCs/>
      <w:kern w:val="44"/>
      <w:sz w:val="44"/>
      <w:szCs w:val="44"/>
      <w:lang w:val="en-US" w:eastAsia="zh-CN" w:bidi="ar-SA"/>
    </w:rPr>
  </w:style>
  <w:style w:type="paragraph" w:customStyle="1" w:styleId="853">
    <w:name w:val="图片"/>
    <w:basedOn w:val="1"/>
    <w:qFormat/>
    <w:uiPriority w:val="0"/>
    <w:pPr>
      <w:spacing w:line="440" w:lineRule="exact"/>
    </w:pPr>
    <w:rPr>
      <w:rFonts w:ascii="Courier New" w:hAnsi="Courier New" w:eastAsia="仿宋_GB2312" w:cs="Courier New"/>
      <w:sz w:val="24"/>
    </w:rPr>
  </w:style>
  <w:style w:type="paragraph" w:customStyle="1" w:styleId="854">
    <w:name w:val="text13-m1"/>
    <w:basedOn w:val="1"/>
    <w:qFormat/>
    <w:uiPriority w:val="0"/>
    <w:pPr>
      <w:widowControl/>
      <w:spacing w:before="100" w:beforeAutospacing="1" w:after="100" w:afterAutospacing="1" w:line="288" w:lineRule="auto"/>
      <w:jc w:val="left"/>
    </w:pPr>
    <w:rPr>
      <w:rFonts w:ascii="@????" w:hAnsi="@????" w:eastAsia="@????" w:cs="Courier New"/>
      <w:color w:val="454545"/>
      <w:kern w:val="0"/>
      <w:sz w:val="20"/>
      <w:szCs w:val="20"/>
    </w:rPr>
  </w:style>
  <w:style w:type="paragraph" w:customStyle="1" w:styleId="855">
    <w:name w:val="样式 仿宋_GB2312 四号"/>
    <w:basedOn w:val="1"/>
    <w:qFormat/>
    <w:uiPriority w:val="0"/>
    <w:pPr>
      <w:spacing w:line="620" w:lineRule="exact"/>
      <w:ind w:firstLine="560" w:firstLineChars="200"/>
    </w:pPr>
    <w:rPr>
      <w:rFonts w:ascii="仿宋_GB2312" w:hAnsi="仿宋_GB2312" w:eastAsia="仿宋_GB2312" w:cs="Courier New"/>
      <w:color w:val="0000FF"/>
      <w:sz w:val="28"/>
      <w:szCs w:val="20"/>
    </w:rPr>
  </w:style>
  <w:style w:type="paragraph" w:customStyle="1" w:styleId="856">
    <w:name w:val="dandan6-13正文"/>
    <w:basedOn w:val="1"/>
    <w:next w:val="1"/>
    <w:semiHidden/>
    <w:qFormat/>
    <w:uiPriority w:val="0"/>
    <w:pPr>
      <w:keepNext/>
      <w:keepLines/>
      <w:widowControl/>
      <w:adjustRightInd w:val="0"/>
      <w:spacing w:before="40" w:after="40" w:line="360" w:lineRule="auto"/>
      <w:ind w:firstLine="200" w:firstLineChars="200"/>
    </w:pPr>
    <w:rPr>
      <w:rFonts w:ascii="Courier New" w:hAnsi="Courier New" w:eastAsia="仿宋_GB2312" w:cs="仿宋_GB2312"/>
      <w:kern w:val="0"/>
      <w:sz w:val="24"/>
      <w:szCs w:val="28"/>
    </w:rPr>
  </w:style>
  <w:style w:type="paragraph" w:customStyle="1" w:styleId="857">
    <w:name w:val="正文内容"/>
    <w:basedOn w:val="1"/>
    <w:next w:val="1"/>
    <w:link w:val="858"/>
    <w:semiHidden/>
    <w:qFormat/>
    <w:uiPriority w:val="0"/>
    <w:pPr>
      <w:snapToGrid w:val="0"/>
      <w:spacing w:beforeLines="25" w:afterLines="25" w:line="440" w:lineRule="exact"/>
      <w:ind w:firstLine="200" w:firstLineChars="200"/>
    </w:pPr>
    <w:rPr>
      <w:rFonts w:ascii="Courier New" w:hAnsi="Courier New" w:eastAsia="仿宋_GB2312" w:cs="Courier New"/>
      <w:kern w:val="0"/>
      <w:sz w:val="24"/>
    </w:rPr>
  </w:style>
  <w:style w:type="character" w:customStyle="1" w:styleId="858">
    <w:name w:val="正文内容 Char Char"/>
    <w:link w:val="857"/>
    <w:qFormat/>
    <w:uiPriority w:val="0"/>
    <w:rPr>
      <w:rFonts w:ascii="Courier New" w:hAnsi="Courier New" w:eastAsia="仿宋_GB2312" w:cs="Courier New"/>
      <w:sz w:val="24"/>
      <w:szCs w:val="24"/>
      <w:lang w:val="en-US" w:eastAsia="zh-CN" w:bidi="ar-SA"/>
    </w:rPr>
  </w:style>
  <w:style w:type="paragraph" w:customStyle="1" w:styleId="859">
    <w:name w:val="正文wang"/>
    <w:basedOn w:val="1"/>
    <w:link w:val="860"/>
    <w:semiHidden/>
    <w:qFormat/>
    <w:uiPriority w:val="0"/>
    <w:pPr>
      <w:spacing w:line="360" w:lineRule="auto"/>
      <w:ind w:firstLine="480" w:firstLineChars="200"/>
    </w:pPr>
    <w:rPr>
      <w:rFonts w:ascii="Courier New" w:hAnsi="Courier New" w:eastAsia="仿宋_GB2312" w:cs="Courier New"/>
      <w:kern w:val="0"/>
      <w:sz w:val="24"/>
    </w:rPr>
  </w:style>
  <w:style w:type="character" w:customStyle="1" w:styleId="860">
    <w:name w:val="正文wang Char"/>
    <w:link w:val="859"/>
    <w:qFormat/>
    <w:uiPriority w:val="0"/>
    <w:rPr>
      <w:rFonts w:ascii="Courier New" w:hAnsi="Courier New" w:eastAsia="仿宋_GB2312" w:cs="Courier New"/>
      <w:sz w:val="24"/>
      <w:szCs w:val="24"/>
      <w:lang w:val="en-US" w:eastAsia="zh-CN" w:bidi="ar-SA"/>
    </w:rPr>
  </w:style>
  <w:style w:type="character" w:customStyle="1" w:styleId="861">
    <w:name w:val="正文样式1 Char Char1 Char"/>
    <w:link w:val="862"/>
    <w:qFormat/>
    <w:uiPriority w:val="0"/>
    <w:rPr>
      <w:rFonts w:eastAsia="仿宋_GB2312"/>
      <w:snapToGrid w:val="0"/>
      <w:position w:val="-12"/>
      <w:sz w:val="24"/>
      <w:szCs w:val="24"/>
      <w:lang w:val="en-US" w:eastAsia="zh-CN" w:bidi="ar-SA"/>
    </w:rPr>
  </w:style>
  <w:style w:type="paragraph" w:customStyle="1" w:styleId="862">
    <w:name w:val="正文样式1 Char Char1"/>
    <w:basedOn w:val="1"/>
    <w:link w:val="861"/>
    <w:semiHidden/>
    <w:qFormat/>
    <w:uiPriority w:val="0"/>
    <w:pPr>
      <w:adjustRightInd w:val="0"/>
      <w:spacing w:beforeLines="10" w:afterLines="10" w:line="312" w:lineRule="auto"/>
      <w:ind w:firstLine="200" w:firstLineChars="200"/>
      <w:textAlignment w:val="baseline"/>
    </w:pPr>
    <w:rPr>
      <w:rFonts w:eastAsia="仿宋_GB2312"/>
      <w:snapToGrid w:val="0"/>
      <w:kern w:val="0"/>
      <w:position w:val="-12"/>
      <w:sz w:val="24"/>
    </w:rPr>
  </w:style>
  <w:style w:type="paragraph" w:customStyle="1" w:styleId="863">
    <w:name w:val="正文样式1 Char"/>
    <w:basedOn w:val="1"/>
    <w:semiHidden/>
    <w:qFormat/>
    <w:uiPriority w:val="0"/>
    <w:pPr>
      <w:adjustRightInd w:val="0"/>
      <w:spacing w:beforeLines="10" w:afterLines="10" w:line="312" w:lineRule="auto"/>
      <w:ind w:firstLine="200" w:firstLineChars="200"/>
      <w:textAlignment w:val="baseline"/>
    </w:pPr>
    <w:rPr>
      <w:rFonts w:ascii="Courier New" w:hAnsi="Courier New" w:eastAsia="仿宋_GB2312" w:cs="Courier New"/>
      <w:snapToGrid w:val="0"/>
      <w:position w:val="-12"/>
      <w:sz w:val="24"/>
    </w:rPr>
  </w:style>
  <w:style w:type="paragraph" w:customStyle="1" w:styleId="864">
    <w:name w:val="样式 题注 + 居中 Char Char Char Char"/>
    <w:basedOn w:val="23"/>
    <w:next w:val="1"/>
    <w:semiHidden/>
    <w:qFormat/>
    <w:uiPriority w:val="0"/>
    <w:pPr>
      <w:spacing w:before="120" w:after="120"/>
      <w:jc w:val="center"/>
    </w:pPr>
    <w:rPr>
      <w:rFonts w:ascii="Courier New" w:hAnsi="Courier New" w:eastAsia="仿宋_GB2312" w:cs="仿宋_GB2312"/>
      <w:b/>
      <w:sz w:val="24"/>
      <w:szCs w:val="24"/>
    </w:rPr>
  </w:style>
  <w:style w:type="paragraph" w:customStyle="1" w:styleId="865">
    <w:name w:val="二级标题 Char Char Char"/>
    <w:basedOn w:val="1"/>
    <w:next w:val="1"/>
    <w:semiHidden/>
    <w:qFormat/>
    <w:uiPriority w:val="0"/>
    <w:pPr>
      <w:spacing w:line="529" w:lineRule="exact"/>
      <w:ind w:firstLine="200" w:firstLineChars="200"/>
    </w:pPr>
    <w:rPr>
      <w:rFonts w:ascii="仿宋_GB2312" w:hAnsi="仿宋_GB2312" w:eastAsia="仿宋_GB2312" w:cs="仿宋_GB2312"/>
      <w:sz w:val="24"/>
    </w:rPr>
  </w:style>
  <w:style w:type="character" w:customStyle="1" w:styleId="866">
    <w:name w:val="正文首行缩进 2 字符"/>
    <w:link w:val="88"/>
    <w:qFormat/>
    <w:uiPriority w:val="0"/>
    <w:rPr>
      <w:rFonts w:ascii="Courier New" w:hAnsi="Courier New" w:eastAsia="仿宋_GB2312" w:cs="Courier New"/>
      <w:kern w:val="2"/>
      <w:sz w:val="21"/>
      <w:szCs w:val="28"/>
      <w:lang w:val="en-US" w:eastAsia="zh-CN" w:bidi="ar-SA"/>
    </w:rPr>
  </w:style>
  <w:style w:type="paragraph" w:customStyle="1" w:styleId="867">
    <w:name w:val="基准篇头"/>
    <w:basedOn w:val="1"/>
    <w:next w:val="4"/>
    <w:qFormat/>
    <w:uiPriority w:val="0"/>
    <w:pPr>
      <w:keepNext/>
      <w:widowControl/>
      <w:overflowPunct w:val="0"/>
      <w:autoSpaceDE w:val="0"/>
      <w:autoSpaceDN w:val="0"/>
      <w:adjustRightInd w:val="0"/>
      <w:spacing w:before="240" w:after="120"/>
      <w:jc w:val="left"/>
      <w:textAlignment w:val="baseline"/>
    </w:pPr>
    <w:rPr>
      <w:rFonts w:ascii="华文中宋" w:hAnsi="华文中宋" w:eastAsia="仿宋_GB2312" w:cs="Courier New"/>
      <w:b/>
      <w:kern w:val="28"/>
      <w:sz w:val="36"/>
      <w:szCs w:val="20"/>
    </w:rPr>
  </w:style>
  <w:style w:type="paragraph" w:customStyle="1" w:styleId="868">
    <w:name w:val="基准脚注"/>
    <w:basedOn w:val="1"/>
    <w:qFormat/>
    <w:uiPriority w:val="0"/>
    <w:pPr>
      <w:widowControl/>
      <w:tabs>
        <w:tab w:val="left" w:pos="187"/>
      </w:tabs>
      <w:overflowPunct w:val="0"/>
      <w:autoSpaceDE w:val="0"/>
      <w:autoSpaceDN w:val="0"/>
      <w:adjustRightInd w:val="0"/>
      <w:spacing w:line="220" w:lineRule="exact"/>
      <w:ind w:left="187" w:hanging="187"/>
      <w:jc w:val="left"/>
      <w:textAlignment w:val="baseline"/>
    </w:pPr>
    <w:rPr>
      <w:rFonts w:ascii="Courier New" w:hAnsi="Courier New" w:eastAsia="仿宋_GB2312" w:cs="Courier New"/>
      <w:kern w:val="0"/>
      <w:sz w:val="18"/>
      <w:szCs w:val="20"/>
    </w:rPr>
  </w:style>
  <w:style w:type="paragraph" w:customStyle="1" w:styleId="869">
    <w:name w:val="块引用"/>
    <w:basedOn w:val="1"/>
    <w:qFormat/>
    <w:uiPriority w:val="0"/>
    <w:pPr>
      <w:keepLines/>
      <w:widowControl/>
      <w:overflowPunct w:val="0"/>
      <w:autoSpaceDE w:val="0"/>
      <w:autoSpaceDN w:val="0"/>
      <w:adjustRightInd w:val="0"/>
      <w:ind w:left="360" w:right="360"/>
      <w:jc w:val="center"/>
      <w:textAlignment w:val="baseline"/>
    </w:pPr>
    <w:rPr>
      <w:rFonts w:ascii="Courier New" w:hAnsi="Courier New" w:eastAsia="仿宋_GB2312" w:cs="Courier New"/>
      <w:i/>
      <w:kern w:val="0"/>
      <w:sz w:val="20"/>
      <w:szCs w:val="20"/>
    </w:rPr>
  </w:style>
  <w:style w:type="paragraph" w:customStyle="1" w:styleId="870">
    <w:name w:val="保留正文"/>
    <w:basedOn w:val="4"/>
    <w:qFormat/>
    <w:uiPriority w:val="0"/>
    <w:pPr>
      <w:keepNext/>
      <w:widowControl/>
      <w:overflowPunct w:val="0"/>
      <w:spacing w:after="160" w:line="240" w:lineRule="auto"/>
    </w:pPr>
    <w:rPr>
      <w:rFonts w:ascii="Courier New" w:hAnsi="Courier New" w:eastAsia="仿宋_GB2312" w:cs="Courier New"/>
      <w:color w:val="auto"/>
      <w:sz w:val="20"/>
    </w:rPr>
  </w:style>
  <w:style w:type="paragraph" w:customStyle="1" w:styleId="871">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rFonts w:ascii="Courier New" w:hAnsi="Courier New" w:eastAsia="仿宋_GB2312" w:cs="Courier New"/>
      <w:spacing w:val="80"/>
      <w:kern w:val="0"/>
      <w:sz w:val="20"/>
      <w:szCs w:val="20"/>
    </w:rPr>
  </w:style>
  <w:style w:type="paragraph" w:customStyle="1" w:styleId="872">
    <w:name w:val="副题封页"/>
    <w:basedOn w:val="873"/>
    <w:next w:val="4"/>
    <w:qFormat/>
    <w:uiPriority w:val="0"/>
    <w:pPr>
      <w:spacing w:before="240" w:after="480"/>
    </w:pPr>
    <w:rPr>
      <w:rFonts w:ascii="Courier New" w:hAnsi="Courier New"/>
      <w:b w:val="0"/>
      <w:i/>
      <w:sz w:val="32"/>
    </w:rPr>
  </w:style>
  <w:style w:type="paragraph" w:customStyle="1" w:styleId="873">
    <w:name w:val="主题封页"/>
    <w:basedOn w:val="867"/>
    <w:next w:val="872"/>
    <w:qFormat/>
    <w:uiPriority w:val="0"/>
    <w:pPr>
      <w:spacing w:before="720" w:after="160"/>
      <w:jc w:val="center"/>
    </w:pPr>
    <w:rPr>
      <w:sz w:val="40"/>
    </w:rPr>
  </w:style>
  <w:style w:type="paragraph" w:customStyle="1" w:styleId="874">
    <w:name w:val="单位名称"/>
    <w:basedOn w:val="1"/>
    <w:qFormat/>
    <w:uiPriority w:val="0"/>
    <w:pPr>
      <w:widowControl/>
      <w:overflowPunct w:val="0"/>
      <w:autoSpaceDE w:val="0"/>
      <w:autoSpaceDN w:val="0"/>
      <w:adjustRightInd w:val="0"/>
      <w:spacing w:before="120" w:after="80"/>
      <w:jc w:val="center"/>
      <w:textAlignment w:val="baseline"/>
    </w:pPr>
    <w:rPr>
      <w:rFonts w:ascii="Courier New" w:hAnsi="Courier New" w:eastAsia="仿宋_GB2312" w:cs="Courier New"/>
      <w:b/>
      <w:kern w:val="0"/>
      <w:sz w:val="28"/>
      <w:szCs w:val="20"/>
    </w:rPr>
  </w:style>
  <w:style w:type="paragraph" w:customStyle="1" w:styleId="875">
    <w:name w:val="主题线"/>
    <w:basedOn w:val="1"/>
    <w:next w:val="4"/>
    <w:qFormat/>
    <w:uiPriority w:val="0"/>
    <w:pPr>
      <w:widowControl/>
      <w:overflowPunct w:val="0"/>
      <w:autoSpaceDE w:val="0"/>
      <w:autoSpaceDN w:val="0"/>
      <w:adjustRightInd w:val="0"/>
      <w:jc w:val="left"/>
      <w:textAlignment w:val="baseline"/>
    </w:pPr>
    <w:rPr>
      <w:rFonts w:ascii="Courier New" w:hAnsi="Courier New" w:eastAsia="仿宋_GB2312" w:cs="Courier New"/>
      <w:i/>
      <w:kern w:val="0"/>
      <w:sz w:val="20"/>
      <w:szCs w:val="20"/>
      <w:u w:val="single"/>
    </w:rPr>
  </w:style>
  <w:style w:type="paragraph" w:customStyle="1" w:styleId="876">
    <w:name w:val="首页脚注"/>
    <w:basedOn w:val="55"/>
    <w:qFormat/>
    <w:uiPriority w:val="0"/>
    <w:pPr>
      <w:keepLines/>
      <w:widowControl/>
      <w:tabs>
        <w:tab w:val="center" w:pos="7200"/>
        <w:tab w:val="clear" w:pos="4153"/>
        <w:tab w:val="clear" w:pos="8306"/>
      </w:tabs>
      <w:overflowPunct w:val="0"/>
      <w:autoSpaceDE w:val="0"/>
      <w:autoSpaceDN w:val="0"/>
      <w:spacing w:line="240" w:lineRule="auto"/>
      <w:jc w:val="center"/>
    </w:pPr>
    <w:rPr>
      <w:rFonts w:ascii="Courier New" w:hAnsi="Courier New" w:eastAsia="仿宋_GB2312" w:cs="Courier New"/>
      <w:spacing w:val="80"/>
      <w:sz w:val="20"/>
    </w:rPr>
  </w:style>
  <w:style w:type="paragraph" w:customStyle="1" w:styleId="877">
    <w:name w:val="奇数页脚注"/>
    <w:basedOn w:val="55"/>
    <w:qFormat/>
    <w:uiPriority w:val="0"/>
    <w:pPr>
      <w:keepLines/>
      <w:widowControl/>
      <w:tabs>
        <w:tab w:val="center" w:pos="7200"/>
        <w:tab w:val="right" w:pos="14400"/>
        <w:tab w:val="clear" w:pos="4153"/>
        <w:tab w:val="clear" w:pos="8306"/>
      </w:tabs>
      <w:overflowPunct w:val="0"/>
      <w:autoSpaceDE w:val="0"/>
      <w:autoSpaceDN w:val="0"/>
      <w:spacing w:line="240" w:lineRule="auto"/>
      <w:jc w:val="center"/>
    </w:pPr>
    <w:rPr>
      <w:rFonts w:ascii="Courier New" w:hAnsi="Courier New" w:eastAsia="仿宋_GB2312" w:cs="Courier New"/>
      <w:spacing w:val="80"/>
      <w:sz w:val="20"/>
    </w:rPr>
  </w:style>
  <w:style w:type="paragraph" w:customStyle="1" w:styleId="878">
    <w:name w:val="首页篇眉"/>
    <w:basedOn w:val="57"/>
    <w:qFormat/>
    <w:uiPriority w:val="0"/>
    <w:pPr>
      <w:keepLines/>
      <w:widowControl/>
      <w:pBdr>
        <w:bottom w:val="none" w:color="auto" w:sz="0" w:space="0"/>
      </w:pBdr>
      <w:tabs>
        <w:tab w:val="center" w:pos="7200"/>
        <w:tab w:val="clear" w:pos="4153"/>
        <w:tab w:val="clear" w:pos="8306"/>
      </w:tabs>
      <w:overflowPunct w:val="0"/>
      <w:autoSpaceDE w:val="0"/>
      <w:autoSpaceDN w:val="0"/>
      <w:spacing w:line="240" w:lineRule="auto"/>
    </w:pPr>
    <w:rPr>
      <w:rFonts w:ascii="Courier New" w:hAnsi="Courier New" w:eastAsia="仿宋_GB2312" w:cs="Courier New"/>
      <w:spacing w:val="80"/>
      <w:sz w:val="20"/>
    </w:rPr>
  </w:style>
  <w:style w:type="paragraph" w:customStyle="1" w:styleId="879">
    <w:name w:val="奇数页篇眉"/>
    <w:basedOn w:val="57"/>
    <w:qFormat/>
    <w:uiPriority w:val="0"/>
    <w:pPr>
      <w:keepLines/>
      <w:widowControl/>
      <w:pBdr>
        <w:bottom w:val="none" w:color="auto" w:sz="0" w:space="0"/>
      </w:pBdr>
      <w:tabs>
        <w:tab w:val="center" w:pos="7200"/>
        <w:tab w:val="right" w:pos="14400"/>
        <w:tab w:val="clear" w:pos="4153"/>
        <w:tab w:val="clear" w:pos="8306"/>
      </w:tabs>
      <w:overflowPunct w:val="0"/>
      <w:autoSpaceDE w:val="0"/>
      <w:autoSpaceDN w:val="0"/>
      <w:spacing w:line="240" w:lineRule="auto"/>
    </w:pPr>
    <w:rPr>
      <w:rFonts w:ascii="Courier New" w:hAnsi="Courier New" w:eastAsia="仿宋_GB2312" w:cs="Courier New"/>
      <w:spacing w:val="80"/>
      <w:sz w:val="20"/>
    </w:rPr>
  </w:style>
  <w:style w:type="paragraph" w:customStyle="1" w:styleId="880">
    <w:name w:val="项目符号引导"/>
    <w:basedOn w:val="25"/>
    <w:next w:val="25"/>
    <w:qFormat/>
    <w:uiPriority w:val="0"/>
    <w:pPr>
      <w:widowControl/>
      <w:tabs>
        <w:tab w:val="clear" w:pos="360"/>
      </w:tabs>
      <w:overflowPunct w:val="0"/>
      <w:autoSpaceDE w:val="0"/>
      <w:autoSpaceDN w:val="0"/>
      <w:adjustRightInd w:val="0"/>
      <w:spacing w:before="80" w:after="160"/>
      <w:ind w:left="720" w:firstLine="0" w:firstLineChars="0"/>
      <w:jc w:val="left"/>
      <w:textAlignment w:val="baseline"/>
    </w:pPr>
    <w:rPr>
      <w:kern w:val="0"/>
      <w:sz w:val="20"/>
      <w:szCs w:val="20"/>
    </w:rPr>
  </w:style>
  <w:style w:type="paragraph" w:customStyle="1" w:styleId="881">
    <w:name w:val="列表引导"/>
    <w:basedOn w:val="67"/>
    <w:next w:val="67"/>
    <w:qFormat/>
    <w:uiPriority w:val="0"/>
    <w:pPr>
      <w:widowControl/>
      <w:tabs>
        <w:tab w:val="left" w:pos="720"/>
      </w:tabs>
      <w:overflowPunct w:val="0"/>
      <w:autoSpaceDE w:val="0"/>
      <w:autoSpaceDN w:val="0"/>
      <w:adjustRightInd w:val="0"/>
      <w:spacing w:before="80" w:after="80"/>
      <w:ind w:left="720" w:hanging="360" w:firstLineChars="0"/>
      <w:jc w:val="left"/>
      <w:textAlignment w:val="baseline"/>
    </w:pPr>
    <w:rPr>
      <w:kern w:val="0"/>
      <w:sz w:val="20"/>
      <w:szCs w:val="20"/>
    </w:rPr>
  </w:style>
  <w:style w:type="paragraph" w:customStyle="1" w:styleId="882">
    <w:name w:val="列表结尾"/>
    <w:basedOn w:val="67"/>
    <w:next w:val="4"/>
    <w:qFormat/>
    <w:uiPriority w:val="0"/>
    <w:pPr>
      <w:widowControl/>
      <w:tabs>
        <w:tab w:val="left" w:pos="720"/>
      </w:tabs>
      <w:overflowPunct w:val="0"/>
      <w:autoSpaceDE w:val="0"/>
      <w:autoSpaceDN w:val="0"/>
      <w:adjustRightInd w:val="0"/>
      <w:spacing w:after="240"/>
      <w:ind w:left="720" w:hanging="360" w:firstLineChars="0"/>
      <w:jc w:val="left"/>
      <w:textAlignment w:val="baseline"/>
    </w:pPr>
    <w:rPr>
      <w:kern w:val="0"/>
      <w:sz w:val="20"/>
      <w:szCs w:val="20"/>
    </w:rPr>
  </w:style>
  <w:style w:type="paragraph" w:customStyle="1" w:styleId="883">
    <w:name w:val="项目符号结尾"/>
    <w:basedOn w:val="25"/>
    <w:next w:val="4"/>
    <w:qFormat/>
    <w:uiPriority w:val="0"/>
    <w:pPr>
      <w:widowControl/>
      <w:tabs>
        <w:tab w:val="clear" w:pos="360"/>
      </w:tabs>
      <w:overflowPunct w:val="0"/>
      <w:autoSpaceDE w:val="0"/>
      <w:autoSpaceDN w:val="0"/>
      <w:adjustRightInd w:val="0"/>
      <w:spacing w:after="240"/>
      <w:ind w:left="720" w:firstLine="0" w:firstLineChars="0"/>
      <w:jc w:val="left"/>
      <w:textAlignment w:val="baseline"/>
    </w:pPr>
    <w:rPr>
      <w:kern w:val="0"/>
      <w:sz w:val="20"/>
      <w:szCs w:val="20"/>
    </w:rPr>
  </w:style>
  <w:style w:type="paragraph" w:customStyle="1" w:styleId="884">
    <w:name w:val="编号引导"/>
    <w:basedOn w:val="22"/>
    <w:next w:val="22"/>
    <w:qFormat/>
    <w:uiPriority w:val="0"/>
    <w:pPr>
      <w:overflowPunct w:val="0"/>
      <w:autoSpaceDE w:val="0"/>
      <w:autoSpaceDN w:val="0"/>
      <w:spacing w:before="80" w:after="160" w:line="240" w:lineRule="auto"/>
      <w:ind w:left="720" w:hanging="360"/>
    </w:pPr>
    <w:rPr>
      <w:rFonts w:ascii="Courier New"/>
      <w:sz w:val="20"/>
    </w:rPr>
  </w:style>
  <w:style w:type="paragraph" w:customStyle="1" w:styleId="885">
    <w:name w:val="编号结尾"/>
    <w:basedOn w:val="22"/>
    <w:next w:val="4"/>
    <w:qFormat/>
    <w:uiPriority w:val="0"/>
    <w:pPr>
      <w:overflowPunct w:val="0"/>
      <w:autoSpaceDE w:val="0"/>
      <w:autoSpaceDN w:val="0"/>
      <w:spacing w:after="240" w:line="240" w:lineRule="auto"/>
      <w:ind w:left="720" w:hanging="360"/>
    </w:pPr>
    <w:rPr>
      <w:rFonts w:ascii="Courier New"/>
      <w:sz w:val="20"/>
    </w:rPr>
  </w:style>
  <w:style w:type="paragraph" w:customStyle="1" w:styleId="886">
    <w:name w:val="文档卷标"/>
    <w:basedOn w:val="867"/>
    <w:qFormat/>
    <w:uiPriority w:val="0"/>
    <w:pPr>
      <w:spacing w:after="360"/>
    </w:pPr>
    <w:rPr>
      <w:rFonts w:ascii="Courier New" w:hAnsi="Courier New"/>
    </w:rPr>
  </w:style>
  <w:style w:type="paragraph" w:customStyle="1" w:styleId="887">
    <w:name w:val="偶数页篇眉"/>
    <w:basedOn w:val="57"/>
    <w:qFormat/>
    <w:uiPriority w:val="0"/>
    <w:pPr>
      <w:keepLines/>
      <w:widowControl/>
      <w:pBdr>
        <w:bottom w:val="none" w:color="auto" w:sz="0" w:space="0"/>
      </w:pBdr>
      <w:tabs>
        <w:tab w:val="right" w:pos="0"/>
        <w:tab w:val="center" w:pos="7200"/>
        <w:tab w:val="right" w:pos="14400"/>
        <w:tab w:val="clear" w:pos="4153"/>
        <w:tab w:val="clear" w:pos="8306"/>
      </w:tabs>
      <w:overflowPunct w:val="0"/>
      <w:autoSpaceDE w:val="0"/>
      <w:autoSpaceDN w:val="0"/>
      <w:spacing w:line="240" w:lineRule="auto"/>
      <w:jc w:val="right"/>
    </w:pPr>
    <w:rPr>
      <w:rFonts w:ascii="Courier New" w:hAnsi="Courier New" w:eastAsia="仿宋_GB2312" w:cs="Courier New"/>
      <w:spacing w:val="80"/>
      <w:sz w:val="20"/>
    </w:rPr>
  </w:style>
  <w:style w:type="paragraph" w:customStyle="1" w:styleId="888">
    <w:name w:val="偶数页脚注"/>
    <w:basedOn w:val="55"/>
    <w:qFormat/>
    <w:uiPriority w:val="0"/>
    <w:pPr>
      <w:keepLines/>
      <w:widowControl/>
      <w:tabs>
        <w:tab w:val="right" w:pos="0"/>
        <w:tab w:val="center" w:pos="7200"/>
        <w:tab w:val="right" w:pos="14400"/>
        <w:tab w:val="clear" w:pos="4153"/>
        <w:tab w:val="clear" w:pos="8306"/>
      </w:tabs>
      <w:overflowPunct w:val="0"/>
      <w:autoSpaceDE w:val="0"/>
      <w:autoSpaceDN w:val="0"/>
      <w:spacing w:line="240" w:lineRule="auto"/>
      <w:jc w:val="right"/>
    </w:pPr>
    <w:rPr>
      <w:rFonts w:ascii="Courier New" w:hAnsi="Courier New" w:eastAsia="仿宋_GB2312" w:cs="Courier New"/>
      <w:spacing w:val="80"/>
      <w:sz w:val="20"/>
    </w:rPr>
  </w:style>
  <w:style w:type="paragraph" w:customStyle="1" w:styleId="889">
    <w:name w:val="地址"/>
    <w:basedOn w:val="1"/>
    <w:qFormat/>
    <w:uiPriority w:val="0"/>
    <w:pPr>
      <w:keepLines/>
      <w:widowControl/>
      <w:overflowPunct w:val="0"/>
      <w:autoSpaceDE w:val="0"/>
      <w:autoSpaceDN w:val="0"/>
      <w:adjustRightInd w:val="0"/>
      <w:jc w:val="center"/>
      <w:textAlignment w:val="baseline"/>
    </w:pPr>
    <w:rPr>
      <w:rFonts w:ascii="Courier New" w:hAnsi="Courier New" w:eastAsia="仿宋_GB2312" w:cs="Courier New"/>
      <w:kern w:val="0"/>
      <w:sz w:val="20"/>
      <w:szCs w:val="20"/>
    </w:rPr>
  </w:style>
  <w:style w:type="paragraph" w:customStyle="1" w:styleId="890">
    <w:name w:val="回信地址"/>
    <w:basedOn w:val="889"/>
    <w:qFormat/>
    <w:uiPriority w:val="0"/>
  </w:style>
  <w:style w:type="character" w:customStyle="1" w:styleId="891">
    <w:name w:val="Char Char24"/>
    <w:qFormat/>
    <w:uiPriority w:val="0"/>
    <w:rPr>
      <w:rFonts w:eastAsia="仿宋_GB2312"/>
      <w:kern w:val="10"/>
      <w:sz w:val="24"/>
      <w:lang w:val="en-US" w:eastAsia="zh-CN" w:bidi="ar-SA"/>
    </w:rPr>
  </w:style>
  <w:style w:type="paragraph" w:customStyle="1" w:styleId="892">
    <w:name w:val="表尾"/>
    <w:basedOn w:val="1"/>
    <w:qFormat/>
    <w:uiPriority w:val="0"/>
    <w:pPr>
      <w:tabs>
        <w:tab w:val="left" w:pos="1021"/>
      </w:tabs>
      <w:spacing w:line="200" w:lineRule="exact"/>
    </w:pPr>
    <w:rPr>
      <w:rFonts w:ascii="Courier New" w:hAnsi="Courier New" w:eastAsia="仿宋_GB2312" w:cs="Courier New"/>
      <w:sz w:val="10"/>
      <w:szCs w:val="20"/>
    </w:rPr>
  </w:style>
  <w:style w:type="paragraph" w:customStyle="1" w:styleId="893">
    <w:name w:val="图标及表标"/>
    <w:basedOn w:val="1"/>
    <w:qFormat/>
    <w:uiPriority w:val="0"/>
    <w:pPr>
      <w:widowControl/>
      <w:spacing w:after="60" w:line="540" w:lineRule="exact"/>
      <w:jc w:val="center"/>
    </w:pPr>
    <w:rPr>
      <w:rFonts w:ascii="仿宋_GB2312" w:hAnsi="仿宋_GB2312" w:eastAsia="仿宋_GB2312" w:cs="Courier New"/>
      <w:b/>
      <w:bCs/>
      <w:color w:val="FF0000"/>
      <w:kern w:val="0"/>
      <w:szCs w:val="21"/>
    </w:rPr>
  </w:style>
  <w:style w:type="paragraph" w:customStyle="1" w:styleId="894">
    <w:name w:val="kuangtu"/>
    <w:basedOn w:val="1"/>
    <w:qFormat/>
    <w:uiPriority w:val="0"/>
    <w:pPr>
      <w:jc w:val="center"/>
    </w:pPr>
    <w:rPr>
      <w:rFonts w:ascii="Courier New" w:hAnsi="Courier New" w:eastAsia="仿宋_GB2312" w:cs="Courier New"/>
    </w:rPr>
  </w:style>
  <w:style w:type="character" w:customStyle="1" w:styleId="895">
    <w:name w:val="l1201"/>
    <w:qFormat/>
    <w:uiPriority w:val="0"/>
  </w:style>
  <w:style w:type="paragraph" w:customStyle="1" w:styleId="896">
    <w:name w:val="样式 题注 + 居中 Char Char"/>
    <w:basedOn w:val="23"/>
    <w:next w:val="1"/>
    <w:qFormat/>
    <w:uiPriority w:val="0"/>
    <w:pPr>
      <w:spacing w:before="120" w:after="120"/>
      <w:jc w:val="center"/>
    </w:pPr>
    <w:rPr>
      <w:rFonts w:ascii="Courier New" w:hAnsi="Courier New" w:eastAsia="Arial Unicode MS" w:cs="Courier New"/>
      <w:sz w:val="24"/>
      <w:szCs w:val="24"/>
    </w:rPr>
  </w:style>
  <w:style w:type="paragraph" w:customStyle="1" w:styleId="897">
    <w:name w:val="样式 标题 2 + (符号) 宋体 段前: 0 磅 段后: 0 磅 行距: 1.5 倍行距"/>
    <w:basedOn w:val="6"/>
    <w:qFormat/>
    <w:uiPriority w:val="0"/>
    <w:pPr>
      <w:keepLines w:val="0"/>
      <w:widowControl/>
      <w:numPr>
        <w:ilvl w:val="0"/>
        <w:numId w:val="0"/>
      </w:numPr>
      <w:tabs>
        <w:tab w:val="left" w:pos="1170"/>
      </w:tabs>
      <w:spacing w:before="0" w:after="0"/>
      <w:ind w:left="1170" w:hanging="420"/>
      <w:jc w:val="both"/>
    </w:pPr>
    <w:rPr>
      <w:rFonts w:ascii="仿宋_GB2312" w:hAnsi="仿宋_GB2312" w:eastAsia="仿宋_GB2312" w:cs="Courier New"/>
      <w:bCs/>
      <w:color w:val="0000FF"/>
    </w:rPr>
  </w:style>
  <w:style w:type="paragraph" w:customStyle="1" w:styleId="898">
    <w:name w:val="正文H"/>
    <w:basedOn w:val="35"/>
    <w:qFormat/>
    <w:uiPriority w:val="0"/>
    <w:pPr>
      <w:adjustRightInd/>
      <w:spacing w:line="580" w:lineRule="exact"/>
      <w:ind w:firstLine="560" w:firstLineChars="200"/>
      <w:jc w:val="both"/>
      <w:textAlignment w:val="auto"/>
    </w:pPr>
    <w:rPr>
      <w:rFonts w:ascii="Courier New" w:hAnsi="Courier New" w:eastAsia="仿宋_GB2312" w:cs="Courier New"/>
      <w:kern w:val="2"/>
      <w:sz w:val="28"/>
      <w:szCs w:val="24"/>
      <w:shd w:val="clear" w:color="auto" w:fill="FFFFFF"/>
    </w:rPr>
  </w:style>
  <w:style w:type="character" w:customStyle="1" w:styleId="899">
    <w:name w:val="articlebody1"/>
    <w:qFormat/>
    <w:uiPriority w:val="0"/>
    <w:rPr>
      <w:sz w:val="21"/>
      <w:szCs w:val="21"/>
    </w:rPr>
  </w:style>
  <w:style w:type="character" w:customStyle="1" w:styleId="900">
    <w:name w:val="图表标题 Char"/>
    <w:link w:val="275"/>
    <w:qFormat/>
    <w:uiPriority w:val="0"/>
    <w:rPr>
      <w:rFonts w:ascii="仿宋_GB2312" w:hAnsi="仿宋_GB2312" w:eastAsia="仿宋_GB2312" w:cs="Courier New"/>
      <w:sz w:val="21"/>
      <w:szCs w:val="24"/>
      <w:lang w:val="en-US" w:eastAsia="zh-CN" w:bidi="ar-SA"/>
    </w:rPr>
  </w:style>
  <w:style w:type="paragraph" w:customStyle="1" w:styleId="901">
    <w:name w:val="3级"/>
    <w:basedOn w:val="6"/>
    <w:next w:val="7"/>
    <w:semiHidden/>
    <w:qFormat/>
    <w:uiPriority w:val="0"/>
    <w:pPr>
      <w:widowControl/>
      <w:numPr>
        <w:ilvl w:val="0"/>
        <w:numId w:val="0"/>
      </w:numPr>
    </w:pPr>
    <w:rPr>
      <w:rFonts w:ascii="华文中宋" w:hAnsi="华文中宋" w:eastAsia="Arial Unicode MS" w:cs="仿宋_GB2312"/>
      <w:sz w:val="30"/>
      <w:szCs w:val="28"/>
    </w:rPr>
  </w:style>
  <w:style w:type="character" w:customStyle="1" w:styleId="902">
    <w:name w:val="表标题 Char"/>
    <w:qFormat/>
    <w:uiPriority w:val="0"/>
    <w:rPr>
      <w:rFonts w:ascii="Arial Unicode MS" w:eastAsia="Arial Unicode MS"/>
      <w:color w:val="003300"/>
      <w:kern w:val="2"/>
      <w:sz w:val="21"/>
      <w:szCs w:val="24"/>
      <w:lang w:val="en-US" w:eastAsia="zh-CN" w:bidi="ar-SA"/>
    </w:rPr>
  </w:style>
  <w:style w:type="paragraph" w:customStyle="1" w:styleId="903">
    <w:name w:val="标题 1 + (中文) 宋体"/>
    <w:basedOn w:val="5"/>
    <w:qFormat/>
    <w:uiPriority w:val="0"/>
    <w:pPr>
      <w:tabs>
        <w:tab w:val="left" w:pos="3195"/>
        <w:tab w:val="clear" w:pos="0"/>
      </w:tabs>
      <w:adjustRightInd/>
      <w:spacing w:before="0" w:after="120" w:line="500" w:lineRule="atLeast"/>
      <w:ind w:left="2835"/>
      <w:jc w:val="both"/>
      <w:textAlignment w:val="center"/>
    </w:pPr>
    <w:rPr>
      <w:rFonts w:ascii="Courier New" w:hAnsi="仿宋_GB2312" w:eastAsia="仿宋_GB2312" w:cs="Courier New"/>
      <w:b/>
      <w:kern w:val="32"/>
      <w:szCs w:val="36"/>
    </w:rPr>
  </w:style>
  <w:style w:type="character" w:customStyle="1" w:styleId="904">
    <w:name w:val="H5 Char Char"/>
    <w:qFormat/>
    <w:uiPriority w:val="0"/>
    <w:rPr>
      <w:rFonts w:eastAsia="仿宋_GB2312"/>
      <w:kern w:val="2"/>
      <w:sz w:val="24"/>
      <w:szCs w:val="28"/>
      <w:lang w:val="en-US" w:eastAsia="zh-CN" w:bidi="ar-SA"/>
    </w:rPr>
  </w:style>
  <w:style w:type="character" w:customStyle="1" w:styleId="905">
    <w:name w:val="H6 Char Char"/>
    <w:qFormat/>
    <w:uiPriority w:val="0"/>
    <w:rPr>
      <w:rFonts w:ascii="华文中宋" w:hAnsi="华文中宋" w:eastAsia="Arial Unicode MS"/>
      <w:b/>
      <w:bCs/>
      <w:kern w:val="2"/>
      <w:sz w:val="24"/>
      <w:szCs w:val="24"/>
      <w:lang w:val="en-US" w:eastAsia="zh-CN" w:bidi="ar-SA"/>
    </w:rPr>
  </w:style>
  <w:style w:type="paragraph" w:customStyle="1" w:styleId="906">
    <w:name w:val="正文标准样式"/>
    <w:basedOn w:val="1"/>
    <w:qFormat/>
    <w:uiPriority w:val="0"/>
    <w:pPr>
      <w:adjustRightInd w:val="0"/>
      <w:spacing w:line="300" w:lineRule="auto"/>
      <w:ind w:firstLine="482"/>
      <w:textAlignment w:val="baseline"/>
    </w:pPr>
    <w:rPr>
      <w:rFonts w:ascii="Courier New" w:hAnsi="Courier New" w:eastAsia="仿宋_GB2312" w:cs="Courier New"/>
      <w:kern w:val="0"/>
      <w:sz w:val="24"/>
      <w:szCs w:val="20"/>
    </w:rPr>
  </w:style>
  <w:style w:type="character" w:customStyle="1" w:styleId="907">
    <w:name w:val="正文文字 Char Char Char"/>
    <w:semiHidden/>
    <w:qFormat/>
    <w:uiPriority w:val="0"/>
    <w:rPr>
      <w:rFonts w:eastAsia="仿宋_GB2312"/>
      <w:kern w:val="2"/>
      <w:sz w:val="28"/>
      <w:szCs w:val="28"/>
      <w:lang w:val="en-US" w:eastAsia="zh-CN" w:bidi="ar-SA"/>
    </w:rPr>
  </w:style>
  <w:style w:type="character" w:customStyle="1" w:styleId="908">
    <w:name w:val="我的正文 Char"/>
    <w:qFormat/>
    <w:uiPriority w:val="0"/>
    <w:rPr>
      <w:rFonts w:eastAsia="仿宋_GB2312"/>
      <w:kern w:val="2"/>
      <w:sz w:val="28"/>
      <w:szCs w:val="24"/>
      <w:lang w:val="en-US" w:eastAsia="zh-CN" w:bidi="ar-SA"/>
    </w:rPr>
  </w:style>
  <w:style w:type="paragraph" w:customStyle="1" w:styleId="909">
    <w:name w:val="样式 首行缩进:  1.01 厘米"/>
    <w:basedOn w:val="1"/>
    <w:qFormat/>
    <w:uiPriority w:val="0"/>
    <w:pPr>
      <w:spacing w:line="360" w:lineRule="auto"/>
      <w:ind w:firstLine="1260" w:firstLineChars="600"/>
    </w:pPr>
    <w:rPr>
      <w:rFonts w:ascii="Arial Unicode MS" w:hAnsi="仿宋_GB2312" w:eastAsia="Arial Unicode MS" w:cs="Courier New"/>
      <w:color w:val="000000"/>
      <w:szCs w:val="21"/>
    </w:rPr>
  </w:style>
  <w:style w:type="character" w:customStyle="1" w:styleId="910">
    <w:name w:val="样式 首行缩进:  1.01 厘米 Char"/>
    <w:qFormat/>
    <w:uiPriority w:val="0"/>
    <w:rPr>
      <w:rFonts w:ascii="仿宋_GB2312" w:hAnsi="仿宋_GB2312" w:eastAsia="仿宋_GB2312"/>
      <w:b/>
      <w:color w:val="000000"/>
      <w:kern w:val="2"/>
      <w:sz w:val="21"/>
      <w:szCs w:val="21"/>
      <w:lang w:val="en-US" w:eastAsia="zh-CN" w:bidi="ar-SA"/>
    </w:rPr>
  </w:style>
  <w:style w:type="paragraph" w:customStyle="1" w:styleId="911">
    <w:name w:val="样式 标题 1 + 三号 行距: 最小值 24 磅"/>
    <w:basedOn w:val="5"/>
    <w:qFormat/>
    <w:uiPriority w:val="0"/>
    <w:pPr>
      <w:pageBreakBefore w:val="0"/>
      <w:numPr>
        <w:numId w:val="0"/>
      </w:numPr>
      <w:tabs>
        <w:tab w:val="left" w:pos="840"/>
      </w:tabs>
      <w:adjustRightInd/>
      <w:spacing w:line="480" w:lineRule="atLeast"/>
      <w:ind w:left="840" w:hanging="360"/>
      <w:jc w:val="both"/>
      <w:textAlignment w:val="auto"/>
    </w:pPr>
    <w:rPr>
      <w:rFonts w:ascii="Courier New" w:hAnsi="Courier New" w:eastAsia="仿宋_GB2312" w:cs="Courier New"/>
      <w:b/>
      <w:bCs/>
      <w:sz w:val="44"/>
      <w:szCs w:val="44"/>
    </w:rPr>
  </w:style>
  <w:style w:type="character" w:customStyle="1" w:styleId="912">
    <w:name w:val="样式 样式 首行缩进:  1.01 厘米 + Times New Roman Char"/>
    <w:qFormat/>
    <w:uiPriority w:val="0"/>
    <w:rPr>
      <w:rFonts w:eastAsia="仿宋_GB2312"/>
      <w:color w:val="000000"/>
      <w:kern w:val="2"/>
      <w:sz w:val="24"/>
      <w:szCs w:val="24"/>
      <w:lang w:val="en-US" w:eastAsia="zh-CN" w:bidi="ar-SA"/>
    </w:rPr>
  </w:style>
  <w:style w:type="paragraph" w:customStyle="1" w:styleId="913">
    <w:name w:val="样式 样式 首行缩进:  1.01 厘米 + Times New Roman"/>
    <w:basedOn w:val="909"/>
    <w:qFormat/>
    <w:uiPriority w:val="0"/>
    <w:pPr>
      <w:spacing w:line="240" w:lineRule="auto"/>
      <w:ind w:firstLine="0" w:firstLineChars="0"/>
    </w:pPr>
    <w:rPr>
      <w:rFonts w:ascii="Courier New" w:hAnsi="Courier New" w:eastAsia="仿宋_GB2312"/>
      <w:sz w:val="24"/>
      <w:szCs w:val="24"/>
    </w:rPr>
  </w:style>
  <w:style w:type="paragraph" w:customStyle="1" w:styleId="914">
    <w:name w:val="样式 标题 2标题 21标题 121 + Times New Roman 小三 非加粗 黑色 段前: 8 磅 段..."/>
    <w:basedOn w:val="6"/>
    <w:qFormat/>
    <w:uiPriority w:val="0"/>
    <w:pPr>
      <w:numPr>
        <w:ilvl w:val="0"/>
        <w:numId w:val="0"/>
      </w:numPr>
      <w:tabs>
        <w:tab w:val="left" w:pos="360"/>
        <w:tab w:val="left" w:pos="690"/>
      </w:tabs>
      <w:adjustRightInd/>
      <w:spacing w:before="160" w:after="160" w:line="240" w:lineRule="auto"/>
      <w:jc w:val="both"/>
      <w:textAlignment w:val="auto"/>
    </w:pPr>
    <w:rPr>
      <w:rFonts w:ascii="Arial Unicode MS" w:hAnsi="Courier New" w:eastAsia="Arial Unicode MS" w:cs="Courier New"/>
      <w:bCs/>
      <w:color w:val="000000"/>
      <w:kern w:val="2"/>
      <w:sz w:val="30"/>
    </w:rPr>
  </w:style>
  <w:style w:type="paragraph" w:customStyle="1" w:styleId="915">
    <w:name w:val="样式 样式 首行缩进:  1.01 厘米 + 首行缩进:  2 字符"/>
    <w:basedOn w:val="909"/>
    <w:qFormat/>
    <w:uiPriority w:val="0"/>
    <w:pPr>
      <w:ind w:firstLine="200"/>
    </w:pPr>
    <w:rPr>
      <w:szCs w:val="20"/>
    </w:rPr>
  </w:style>
  <w:style w:type="character" w:customStyle="1" w:styleId="916">
    <w:name w:val="样式 样式 首行缩进:  1.01 厘米 + 首行缩进:  2 字符 Char"/>
    <w:qFormat/>
    <w:uiPriority w:val="0"/>
    <w:rPr>
      <w:rFonts w:ascii="仿宋_GB2312" w:hAnsi="仿宋_GB2312" w:eastAsia="仿宋_GB2312"/>
      <w:b/>
      <w:color w:val="000000"/>
      <w:kern w:val="2"/>
      <w:sz w:val="21"/>
      <w:szCs w:val="21"/>
      <w:lang w:val="en-US" w:eastAsia="zh-CN" w:bidi="ar-SA"/>
    </w:rPr>
  </w:style>
  <w:style w:type="character" w:customStyle="1" w:styleId="917">
    <w:name w:val="正文 + 首行缩进:  2 字符 Char Char"/>
    <w:qFormat/>
    <w:uiPriority w:val="0"/>
    <w:rPr>
      <w:rFonts w:eastAsia="仿宋_GB2312" w:cs="仿宋_GB2312"/>
      <w:kern w:val="2"/>
      <w:sz w:val="24"/>
      <w:lang w:val="en-US" w:eastAsia="zh-CN" w:bidi="ar-SA"/>
    </w:rPr>
  </w:style>
  <w:style w:type="paragraph" w:customStyle="1" w:styleId="918">
    <w:name w:val="样式 正文缩进 + 首行缩进:  2 字符"/>
    <w:basedOn w:val="2"/>
    <w:qFormat/>
    <w:uiPriority w:val="0"/>
    <w:pPr>
      <w:overflowPunct w:val="0"/>
      <w:autoSpaceDE w:val="0"/>
      <w:autoSpaceDN w:val="0"/>
      <w:ind w:left="56" w:firstLine="475" w:firstLineChars="198"/>
      <w:textAlignment w:val="bottom"/>
    </w:pPr>
    <w:rPr>
      <w:rFonts w:ascii="仿宋_GB2312" w:hAnsi="仿宋_GB2312" w:eastAsia="仿宋_GB2312" w:cs="Courier New"/>
      <w:kern w:val="0"/>
      <w:szCs w:val="24"/>
    </w:rPr>
  </w:style>
  <w:style w:type="paragraph" w:customStyle="1" w:styleId="919">
    <w:name w:val="文章正文"/>
    <w:basedOn w:val="1"/>
    <w:qFormat/>
    <w:uiPriority w:val="0"/>
    <w:pPr>
      <w:spacing w:beforeLines="50" w:afterLines="50" w:line="360" w:lineRule="auto"/>
      <w:ind w:firstLine="480" w:firstLineChars="200"/>
    </w:pPr>
    <w:rPr>
      <w:rFonts w:ascii="仿宋_GB2312" w:hAnsi="仿宋_GB2312" w:eastAsia="仿宋_GB2312" w:cs="Courier New"/>
      <w:sz w:val="24"/>
    </w:rPr>
  </w:style>
  <w:style w:type="paragraph" w:customStyle="1" w:styleId="920">
    <w:name w:val="自动表头"/>
    <w:basedOn w:val="1"/>
    <w:qFormat/>
    <w:uiPriority w:val="0"/>
    <w:pPr>
      <w:autoSpaceDE w:val="0"/>
      <w:autoSpaceDN w:val="0"/>
      <w:adjustRightInd w:val="0"/>
      <w:spacing w:line="360" w:lineRule="auto"/>
    </w:pPr>
    <w:rPr>
      <w:rFonts w:ascii="Arial Unicode MS" w:hAnsi="仿宋_GB2312" w:eastAsia="Arial Unicode MS" w:cs="Courier New"/>
      <w:color w:val="000000"/>
      <w:szCs w:val="21"/>
    </w:rPr>
  </w:style>
  <w:style w:type="paragraph" w:customStyle="1" w:styleId="921">
    <w:name w:val="自动表格内部"/>
    <w:basedOn w:val="1"/>
    <w:qFormat/>
    <w:uiPriority w:val="0"/>
    <w:pPr>
      <w:adjustRightInd w:val="0"/>
      <w:snapToGrid w:val="0"/>
      <w:jc w:val="center"/>
    </w:pPr>
    <w:rPr>
      <w:rFonts w:ascii="Courier New" w:hAnsi="Courier New" w:eastAsia="仿宋_GB2312" w:cs="Courier New"/>
      <w:szCs w:val="21"/>
    </w:rPr>
  </w:style>
  <w:style w:type="character" w:customStyle="1" w:styleId="922">
    <w:name w:val="bodyfont1"/>
    <w:qFormat/>
    <w:uiPriority w:val="0"/>
    <w:rPr>
      <w:sz w:val="17"/>
      <w:szCs w:val="17"/>
    </w:rPr>
  </w:style>
  <w:style w:type="character" w:customStyle="1" w:styleId="923">
    <w:name w:val="样式 标题 3 + 加粗 Char"/>
    <w:qFormat/>
    <w:uiPriority w:val="0"/>
    <w:rPr>
      <w:rFonts w:eastAsia="仿宋_GB2312"/>
      <w:b/>
      <w:bCs/>
      <w:snapToGrid w:val="0"/>
      <w:sz w:val="24"/>
      <w:szCs w:val="24"/>
      <w:lang w:val="en-US" w:eastAsia="zh-CN" w:bidi="ar-SA"/>
    </w:rPr>
  </w:style>
  <w:style w:type="paragraph" w:customStyle="1" w:styleId="924">
    <w:name w:val="小表"/>
    <w:basedOn w:val="1"/>
    <w:qFormat/>
    <w:uiPriority w:val="0"/>
    <w:pPr>
      <w:widowControl/>
      <w:tabs>
        <w:tab w:val="left" w:pos="352"/>
      </w:tabs>
      <w:overflowPunct w:val="0"/>
      <w:autoSpaceDE w:val="0"/>
      <w:autoSpaceDN w:val="0"/>
      <w:adjustRightInd w:val="0"/>
      <w:jc w:val="center"/>
      <w:textAlignment w:val="bottom"/>
    </w:pPr>
    <w:rPr>
      <w:rFonts w:ascii="仿宋_GB2312" w:hAnsi="仿宋_GB2312" w:eastAsia="仿宋_GB2312" w:cs="Courier New"/>
      <w:kern w:val="0"/>
      <w:szCs w:val="20"/>
    </w:rPr>
  </w:style>
  <w:style w:type="paragraph" w:customStyle="1" w:styleId="925">
    <w:name w:val="Char Char11"/>
    <w:basedOn w:val="1"/>
    <w:qFormat/>
    <w:uiPriority w:val="0"/>
    <w:pPr>
      <w:tabs>
        <w:tab w:val="left" w:pos="840"/>
      </w:tabs>
      <w:spacing w:line="360" w:lineRule="auto"/>
      <w:ind w:left="840" w:hanging="360" w:firstLineChars="200"/>
    </w:pPr>
    <w:rPr>
      <w:rFonts w:ascii="仿宋_GB2312" w:hAnsi="仿宋_GB2312" w:eastAsia="仿宋_GB2312" w:cs="仿宋_GB2312"/>
      <w:sz w:val="24"/>
    </w:rPr>
  </w:style>
  <w:style w:type="paragraph" w:customStyle="1" w:styleId="926">
    <w:name w:val="我的标题1"/>
    <w:basedOn w:val="1"/>
    <w:qFormat/>
    <w:uiPriority w:val="0"/>
    <w:pPr>
      <w:spacing w:line="460" w:lineRule="exact"/>
      <w:ind w:firstLine="192" w:firstLineChars="192"/>
      <w:outlineLvl w:val="0"/>
    </w:pPr>
    <w:rPr>
      <w:rFonts w:ascii="Arial Unicode MS" w:hAnsi="Courier New" w:eastAsia="Arial Unicode MS" w:cs="Courier New"/>
      <w:sz w:val="32"/>
    </w:rPr>
  </w:style>
  <w:style w:type="character" w:customStyle="1" w:styleId="927">
    <w:name w:val="p15"/>
    <w:qFormat/>
    <w:uiPriority w:val="0"/>
    <w:rPr>
      <w:rFonts w:ascii="仿宋_GB2312" w:hAnsi="仿宋_GB2312" w:eastAsia="仿宋_GB2312" w:cs="仿宋_GB2312"/>
      <w:kern w:val="2"/>
      <w:sz w:val="24"/>
      <w:szCs w:val="24"/>
      <w:lang w:val="en-US" w:eastAsia="zh-CN" w:bidi="ar-SA"/>
    </w:rPr>
  </w:style>
  <w:style w:type="character" w:customStyle="1" w:styleId="928">
    <w:name w:val="标题 13 Char Char"/>
    <w:qFormat/>
    <w:uiPriority w:val="0"/>
    <w:rPr>
      <w:rFonts w:ascii="Book Antiqua" w:hAnsi="Book Antiqua" w:eastAsia="Book Antiqua" w:cs="Book Antiqua"/>
      <w:b/>
      <w:bCs/>
      <w:color w:val="000000"/>
      <w:kern w:val="2"/>
      <w:sz w:val="27"/>
      <w:szCs w:val="27"/>
      <w:lang w:val="en-US" w:eastAsia="zh-CN" w:bidi="ar-SA"/>
    </w:rPr>
  </w:style>
  <w:style w:type="paragraph" w:customStyle="1" w:styleId="929">
    <w:name w:val="样式 左侧:  0 厘米 悬挂缩进: 5.96 字符 行距: 固定值 28 磅"/>
    <w:basedOn w:val="1"/>
    <w:qFormat/>
    <w:uiPriority w:val="0"/>
    <w:pPr>
      <w:spacing w:line="500" w:lineRule="exact"/>
    </w:pPr>
    <w:rPr>
      <w:rFonts w:ascii="Courier New" w:hAnsi="Courier New" w:eastAsia="仿宋_GB2312" w:cs="仿宋_GB2312"/>
      <w:sz w:val="28"/>
      <w:szCs w:val="20"/>
    </w:rPr>
  </w:style>
  <w:style w:type="paragraph" w:customStyle="1" w:styleId="930">
    <w:name w:val="样式 行距: 固定值 28 磅"/>
    <w:basedOn w:val="1"/>
    <w:qFormat/>
    <w:uiPriority w:val="0"/>
    <w:pPr>
      <w:spacing w:line="500" w:lineRule="exact"/>
      <w:ind w:firstLine="692" w:firstLineChars="250"/>
    </w:pPr>
    <w:rPr>
      <w:rFonts w:ascii="Courier New" w:hAnsi="Courier New" w:eastAsia="仿宋_GB2312" w:cs="仿宋_GB2312"/>
      <w:sz w:val="28"/>
      <w:szCs w:val="20"/>
    </w:rPr>
  </w:style>
  <w:style w:type="paragraph" w:customStyle="1" w:styleId="931">
    <w:name w:val="样式 样式 行距: 固定值 28 磅 + 首行缩进:  2.5 字符"/>
    <w:basedOn w:val="930"/>
    <w:qFormat/>
    <w:uiPriority w:val="0"/>
    <w:pPr>
      <w:spacing w:line="312" w:lineRule="auto"/>
    </w:pPr>
  </w:style>
  <w:style w:type="paragraph" w:customStyle="1" w:styleId="932">
    <w:name w:val="样式 样式 样式 行距: 固定值 28 磅 + 首行缩进:  2.5 字符 + 首行缩进:  2.5 字符"/>
    <w:basedOn w:val="931"/>
    <w:qFormat/>
    <w:uiPriority w:val="0"/>
    <w:pPr>
      <w:spacing w:line="500" w:lineRule="exact"/>
      <w:ind w:firstLine="250"/>
    </w:pPr>
  </w:style>
  <w:style w:type="paragraph" w:customStyle="1" w:styleId="933">
    <w:name w:val="样式 标题 2标题 21 + Times New Roman 小三 非加粗 行距: 最小值 24 磅"/>
    <w:basedOn w:val="6"/>
    <w:qFormat/>
    <w:uiPriority w:val="0"/>
    <w:pPr>
      <w:numPr>
        <w:ilvl w:val="0"/>
        <w:numId w:val="0"/>
      </w:numPr>
      <w:tabs>
        <w:tab w:val="left" w:pos="1320"/>
      </w:tabs>
      <w:adjustRightInd/>
      <w:spacing w:line="480" w:lineRule="atLeast"/>
      <w:ind w:left="1320" w:hanging="420"/>
      <w:jc w:val="both"/>
      <w:textAlignment w:val="auto"/>
    </w:pPr>
    <w:rPr>
      <w:rFonts w:ascii="Courier New" w:hAnsi="Courier New" w:eastAsia="Arial Unicode MS" w:cs="仿宋_GB2312"/>
      <w:b w:val="0"/>
      <w:kern w:val="2"/>
      <w:sz w:val="30"/>
    </w:rPr>
  </w:style>
  <w:style w:type="character" w:customStyle="1" w:styleId="934">
    <w:name w:val="javascript"/>
    <w:qFormat/>
    <w:uiPriority w:val="0"/>
    <w:rPr>
      <w:rFonts w:ascii="仿宋_GB2312" w:hAnsi="仿宋_GB2312" w:eastAsia="仿宋_GB2312" w:cs="仿宋_GB2312"/>
      <w:kern w:val="2"/>
      <w:sz w:val="24"/>
      <w:szCs w:val="24"/>
      <w:lang w:val="en-US" w:eastAsia="zh-CN" w:bidi="ar-SA"/>
    </w:rPr>
  </w:style>
  <w:style w:type="paragraph" w:customStyle="1" w:styleId="935">
    <w:name w:val="样式 表格1 + 首行缩进:  2 字符"/>
    <w:basedOn w:val="630"/>
    <w:qFormat/>
    <w:uiPriority w:val="0"/>
    <w:pPr>
      <w:spacing w:line="240" w:lineRule="auto"/>
      <w:textAlignment w:val="center"/>
    </w:pPr>
    <w:rPr>
      <w:rFonts w:ascii="仿宋_GB2312" w:hAnsi="仿宋_GB2312" w:cs="仿宋_GB2312"/>
      <w:sz w:val="21"/>
    </w:rPr>
  </w:style>
  <w:style w:type="paragraph" w:customStyle="1" w:styleId="936">
    <w:name w:val="表头名称"/>
    <w:basedOn w:val="2"/>
    <w:qFormat/>
    <w:uiPriority w:val="0"/>
    <w:pPr>
      <w:autoSpaceDE w:val="0"/>
      <w:autoSpaceDN w:val="0"/>
      <w:adjustRightInd w:val="0"/>
      <w:spacing w:beforeLines="50"/>
      <w:ind w:firstLine="0"/>
    </w:pPr>
    <w:rPr>
      <w:rFonts w:ascii="Arial Unicode MS" w:hAnsi="仿宋_GB2312" w:eastAsia="Arial Unicode MS" w:cs="Courier New"/>
      <w:kern w:val="0"/>
    </w:rPr>
  </w:style>
  <w:style w:type="paragraph" w:customStyle="1" w:styleId="937">
    <w:name w:val="表格内容格式"/>
    <w:basedOn w:val="1"/>
    <w:qFormat/>
    <w:uiPriority w:val="0"/>
    <w:pPr>
      <w:adjustRightInd w:val="0"/>
      <w:spacing w:line="240" w:lineRule="atLeast"/>
      <w:textAlignment w:val="baseline"/>
    </w:pPr>
    <w:rPr>
      <w:rFonts w:ascii="仿宋_GB2312" w:hAnsi="仿宋_GB2312" w:eastAsia="仿宋_GB2312" w:cs="Courier New"/>
      <w:snapToGrid w:val="0"/>
      <w:color w:val="000000"/>
      <w:kern w:val="0"/>
      <w:szCs w:val="21"/>
    </w:rPr>
  </w:style>
  <w:style w:type="paragraph" w:customStyle="1" w:styleId="938">
    <w:name w:val="样式 标题 1 + 小四"/>
    <w:basedOn w:val="5"/>
    <w:qFormat/>
    <w:uiPriority w:val="0"/>
    <w:pPr>
      <w:pageBreakBefore w:val="0"/>
      <w:numPr>
        <w:numId w:val="0"/>
      </w:numPr>
      <w:adjustRightInd/>
      <w:spacing w:before="120" w:after="240" w:line="0" w:lineRule="atLeast"/>
      <w:ind w:left="851" w:hanging="851"/>
      <w:textAlignment w:val="auto"/>
    </w:pPr>
    <w:rPr>
      <w:rFonts w:ascii="Courier New" w:hAnsi="Courier New" w:eastAsia="仿宋_GB2312" w:cs="Courier New"/>
      <w:b/>
      <w:bCs/>
      <w:sz w:val="30"/>
    </w:rPr>
  </w:style>
  <w:style w:type="paragraph" w:customStyle="1" w:styleId="939">
    <w:name w:val="样式 标题 2标题 21标题 121 + Times New Roman 小三 非加粗 黑色 段前: 8 磅 段...1"/>
    <w:basedOn w:val="6"/>
    <w:qFormat/>
    <w:uiPriority w:val="0"/>
    <w:pPr>
      <w:numPr>
        <w:ilvl w:val="0"/>
        <w:numId w:val="0"/>
      </w:numPr>
      <w:adjustRightInd/>
      <w:spacing w:before="160" w:after="160" w:line="240" w:lineRule="auto"/>
      <w:ind w:left="2507" w:hanging="1247"/>
      <w:jc w:val="both"/>
      <w:textAlignment w:val="auto"/>
    </w:pPr>
    <w:rPr>
      <w:rFonts w:ascii="Courier New" w:hAnsi="Courier New" w:eastAsia="Arial Unicode MS" w:cs="Courier New"/>
      <w:b w:val="0"/>
      <w:color w:val="000000"/>
      <w:kern w:val="2"/>
      <w:sz w:val="30"/>
    </w:rPr>
  </w:style>
  <w:style w:type="paragraph" w:customStyle="1" w:styleId="940">
    <w:name w:val="样式 标题 2标题 21标题 121 + Times New Roman 小三 非加粗 黑色 段前: 8 磅 段...2"/>
    <w:basedOn w:val="6"/>
    <w:qFormat/>
    <w:uiPriority w:val="0"/>
    <w:pPr>
      <w:numPr>
        <w:ilvl w:val="0"/>
        <w:numId w:val="0"/>
      </w:numPr>
      <w:tabs>
        <w:tab w:val="left" w:pos="992"/>
      </w:tabs>
      <w:adjustRightInd/>
      <w:spacing w:before="160" w:after="160" w:line="240" w:lineRule="auto"/>
      <w:ind w:left="992" w:hanging="567"/>
      <w:jc w:val="both"/>
      <w:textAlignment w:val="auto"/>
    </w:pPr>
    <w:rPr>
      <w:rFonts w:ascii="Courier New" w:hAnsi="Courier New" w:eastAsia="Arial Unicode MS" w:cs="Courier New"/>
      <w:b w:val="0"/>
      <w:color w:val="000000"/>
      <w:kern w:val="2"/>
      <w:sz w:val="30"/>
    </w:rPr>
  </w:style>
  <w:style w:type="paragraph" w:customStyle="1" w:styleId="941">
    <w:name w:val="样式 标题 4标题 14 + 加粗 无下划线 自动设置 段前: 3 磅 段后: 10 磅"/>
    <w:basedOn w:val="8"/>
    <w:qFormat/>
    <w:uiPriority w:val="0"/>
    <w:pPr>
      <w:keepLines w:val="0"/>
      <w:numPr>
        <w:ilvl w:val="0"/>
        <w:numId w:val="0"/>
      </w:numPr>
      <w:snapToGrid w:val="0"/>
      <w:spacing w:before="60" w:after="200" w:line="240" w:lineRule="auto"/>
      <w:jc w:val="both"/>
      <w:textAlignment w:val="auto"/>
    </w:pPr>
    <w:rPr>
      <w:rFonts w:ascii="Courier New" w:hAnsi="Courier New" w:eastAsia="仿宋_GB2312" w:cs="Courier New"/>
      <w:b w:val="0"/>
      <w:bCs/>
      <w:color w:val="000000"/>
      <w:kern w:val="2"/>
      <w:sz w:val="24"/>
    </w:rPr>
  </w:style>
  <w:style w:type="paragraph" w:customStyle="1" w:styleId="942">
    <w:name w:val="样式 标题 4标题 14 + 加粗 无下划线 自动设置 段前: 3 磅 段后: 10 磅1"/>
    <w:basedOn w:val="8"/>
    <w:qFormat/>
    <w:uiPriority w:val="0"/>
    <w:pPr>
      <w:keepLines w:val="0"/>
      <w:numPr>
        <w:ilvl w:val="0"/>
        <w:numId w:val="0"/>
      </w:numPr>
      <w:tabs>
        <w:tab w:val="left" w:pos="864"/>
      </w:tabs>
      <w:snapToGrid w:val="0"/>
      <w:spacing w:before="60" w:after="200" w:line="240" w:lineRule="auto"/>
      <w:ind w:left="864" w:hanging="864"/>
      <w:jc w:val="both"/>
      <w:textAlignment w:val="auto"/>
    </w:pPr>
    <w:rPr>
      <w:rFonts w:ascii="Courier New" w:hAnsi="Courier New" w:eastAsia="仿宋_GB2312" w:cs="Courier New"/>
      <w:b w:val="0"/>
      <w:bCs/>
      <w:color w:val="000000"/>
      <w:kern w:val="2"/>
      <w:sz w:val="24"/>
    </w:rPr>
  </w:style>
  <w:style w:type="paragraph" w:customStyle="1" w:styleId="943">
    <w:name w:val="样式 标题 4标题 14 + 加粗 无下划线 自动设置 段前: 3 磅 段后: 10 磅2"/>
    <w:basedOn w:val="8"/>
    <w:qFormat/>
    <w:uiPriority w:val="0"/>
    <w:pPr>
      <w:keepLines w:val="0"/>
      <w:numPr>
        <w:ilvl w:val="0"/>
        <w:numId w:val="0"/>
      </w:numPr>
      <w:tabs>
        <w:tab w:val="left" w:pos="425"/>
      </w:tabs>
      <w:snapToGrid w:val="0"/>
      <w:spacing w:before="60" w:after="200" w:line="240" w:lineRule="auto"/>
      <w:jc w:val="both"/>
      <w:textAlignment w:val="auto"/>
    </w:pPr>
    <w:rPr>
      <w:rFonts w:ascii="Courier New" w:hAnsi="Courier New" w:eastAsia="仿宋_GB2312" w:cs="Courier New"/>
      <w:b w:val="0"/>
      <w:bCs/>
      <w:color w:val="000000"/>
      <w:kern w:val="2"/>
      <w:sz w:val="24"/>
    </w:rPr>
  </w:style>
  <w:style w:type="paragraph" w:customStyle="1" w:styleId="944">
    <w:name w:val="样式 样式 标题 4标题 14 + 自动设置 + 无下划线"/>
    <w:basedOn w:val="945"/>
    <w:qFormat/>
    <w:uiPriority w:val="0"/>
    <w:pPr>
      <w:tabs>
        <w:tab w:val="left" w:pos="864"/>
        <w:tab w:val="left" w:pos="1080"/>
      </w:tabs>
      <w:ind w:left="864" w:hanging="864"/>
    </w:pPr>
    <w:rPr>
      <w:u w:val="none"/>
    </w:rPr>
  </w:style>
  <w:style w:type="paragraph" w:customStyle="1" w:styleId="945">
    <w:name w:val="样式 标题 4标题 14 + 自动设置"/>
    <w:basedOn w:val="8"/>
    <w:qFormat/>
    <w:uiPriority w:val="0"/>
    <w:pPr>
      <w:keepLines w:val="0"/>
      <w:numPr>
        <w:ilvl w:val="0"/>
        <w:numId w:val="0"/>
      </w:numPr>
      <w:snapToGrid w:val="0"/>
      <w:spacing w:line="240" w:lineRule="auto"/>
      <w:jc w:val="both"/>
      <w:textAlignment w:val="auto"/>
    </w:pPr>
    <w:rPr>
      <w:rFonts w:ascii="Courier New" w:hAnsi="Courier New" w:eastAsia="Arial Unicode MS" w:cs="Courier New"/>
      <w:color w:val="000000"/>
      <w:kern w:val="2"/>
      <w:sz w:val="24"/>
      <w:szCs w:val="24"/>
      <w:u w:val="single"/>
    </w:rPr>
  </w:style>
  <w:style w:type="paragraph" w:customStyle="1" w:styleId="946">
    <w:name w:val="样式 标题 4标题 14 + 加粗 无下划线 自动设置 段前: 3 磅 段后: 10 磅4"/>
    <w:basedOn w:val="8"/>
    <w:qFormat/>
    <w:uiPriority w:val="0"/>
    <w:pPr>
      <w:keepLines w:val="0"/>
      <w:numPr>
        <w:ilvl w:val="0"/>
        <w:numId w:val="0"/>
      </w:numPr>
      <w:tabs>
        <w:tab w:val="left" w:pos="2400"/>
      </w:tabs>
      <w:snapToGrid w:val="0"/>
      <w:spacing w:before="60" w:after="200" w:line="240" w:lineRule="auto"/>
      <w:ind w:left="2400" w:hanging="420"/>
      <w:jc w:val="both"/>
      <w:textAlignment w:val="auto"/>
    </w:pPr>
    <w:rPr>
      <w:rFonts w:ascii="Courier New" w:hAnsi="Courier New" w:eastAsia="仿宋_GB2312" w:cs="Courier New"/>
      <w:b w:val="0"/>
      <w:bCs/>
      <w:color w:val="000000"/>
      <w:kern w:val="2"/>
      <w:sz w:val="24"/>
    </w:rPr>
  </w:style>
  <w:style w:type="paragraph" w:customStyle="1" w:styleId="947">
    <w:name w:val="样式 标题 4标题 14H4 + 小四 非加粗"/>
    <w:basedOn w:val="8"/>
    <w:qFormat/>
    <w:uiPriority w:val="0"/>
    <w:pPr>
      <w:numPr>
        <w:ilvl w:val="0"/>
        <w:numId w:val="0"/>
      </w:numPr>
      <w:tabs>
        <w:tab w:val="left" w:pos="2160"/>
      </w:tabs>
      <w:adjustRightInd/>
      <w:spacing w:line="377" w:lineRule="auto"/>
      <w:ind w:left="2160" w:hanging="420"/>
      <w:jc w:val="both"/>
      <w:textAlignment w:val="auto"/>
    </w:pPr>
    <w:rPr>
      <w:rFonts w:ascii="华文中宋" w:hAnsi="华文中宋" w:eastAsia="Arial Unicode MS" w:cs="Courier New"/>
      <w:color w:val="000000"/>
      <w:kern w:val="2"/>
      <w:sz w:val="24"/>
      <w:szCs w:val="28"/>
    </w:rPr>
  </w:style>
  <w:style w:type="paragraph" w:customStyle="1" w:styleId="948">
    <w:name w:val="样式 小四 行距: 固定值 23 磅"/>
    <w:basedOn w:val="1"/>
    <w:qFormat/>
    <w:uiPriority w:val="0"/>
    <w:rPr>
      <w:rFonts w:ascii="Courier New" w:hAnsi="Courier New" w:eastAsia="仿宋_GB2312" w:cs="Courier New"/>
      <w:sz w:val="28"/>
    </w:rPr>
  </w:style>
  <w:style w:type="paragraph" w:customStyle="1" w:styleId="949">
    <w:name w:val="样式 标题 2标题 21标题 121 + Times New Roman 小三 非加粗 黑色 段前: 8 磅 段...3"/>
    <w:basedOn w:val="1"/>
    <w:qFormat/>
    <w:uiPriority w:val="0"/>
    <w:pPr>
      <w:tabs>
        <w:tab w:val="left" w:pos="238"/>
      </w:tabs>
      <w:ind w:left="238"/>
    </w:pPr>
    <w:rPr>
      <w:rFonts w:ascii="Courier New" w:hAnsi="Courier New" w:eastAsia="仿宋_GB2312" w:cs="Courier New"/>
      <w:sz w:val="28"/>
    </w:rPr>
  </w:style>
  <w:style w:type="paragraph" w:customStyle="1" w:styleId="950">
    <w:name w:val="图名称 Char Char Char Char Char Char Char Char Char Char"/>
    <w:basedOn w:val="1"/>
    <w:qFormat/>
    <w:uiPriority w:val="0"/>
    <w:pPr>
      <w:tabs>
        <w:tab w:val="left" w:pos="-120"/>
      </w:tabs>
      <w:spacing w:before="60" w:line="310" w:lineRule="atLeast"/>
      <w:jc w:val="center"/>
    </w:pPr>
    <w:rPr>
      <w:rFonts w:ascii="Arial Unicode MS" w:hAnsi="Courier New" w:eastAsia="Arial Unicode MS" w:cs="Courier New"/>
      <w:b/>
      <w:bCs/>
      <w:kern w:val="0"/>
      <w:szCs w:val="28"/>
    </w:rPr>
  </w:style>
  <w:style w:type="paragraph" w:customStyle="1" w:styleId="951">
    <w:name w:val="表内小四中"/>
    <w:basedOn w:val="1"/>
    <w:qFormat/>
    <w:uiPriority w:val="0"/>
    <w:pPr>
      <w:adjustRightInd w:val="0"/>
      <w:snapToGrid w:val="0"/>
      <w:ind w:left="-4" w:leftChars="-2" w:right="-22" w:rightChars="-10"/>
      <w:jc w:val="center"/>
      <w:textAlignment w:val="baseline"/>
    </w:pPr>
    <w:rPr>
      <w:rFonts w:ascii="Courier New" w:hAnsi="Courier New" w:eastAsia="仿宋_GB2312" w:cs="Courier New"/>
      <w:kern w:val="0"/>
      <w:sz w:val="24"/>
      <w:szCs w:val="20"/>
    </w:rPr>
  </w:style>
  <w:style w:type="paragraph" w:customStyle="1" w:styleId="952">
    <w:name w:val="表标题1"/>
    <w:basedOn w:val="1"/>
    <w:next w:val="1"/>
    <w:qFormat/>
    <w:uiPriority w:val="0"/>
    <w:pPr>
      <w:spacing w:beforeLines="50" w:after="120" w:line="300" w:lineRule="auto"/>
      <w:jc w:val="center"/>
    </w:pPr>
    <w:rPr>
      <w:rFonts w:ascii="Courier New" w:hAnsi="Courier New" w:eastAsia="仿宋_GB2312" w:cs="Courier New"/>
      <w:sz w:val="24"/>
      <w:szCs w:val="20"/>
    </w:rPr>
  </w:style>
  <w:style w:type="paragraph" w:customStyle="1" w:styleId="953">
    <w:name w:val="样式 标题 2标题 21标题 121H2SeHead wsa2标题 1.1 + 小三 非加粗 段前: 12.5..."/>
    <w:basedOn w:val="6"/>
    <w:qFormat/>
    <w:uiPriority w:val="0"/>
    <w:pPr>
      <w:numPr>
        <w:ilvl w:val="0"/>
        <w:numId w:val="0"/>
      </w:numPr>
      <w:tabs>
        <w:tab w:val="left" w:pos="1320"/>
      </w:tabs>
      <w:adjustRightInd/>
      <w:spacing w:after="0" w:line="415" w:lineRule="auto"/>
      <w:ind w:left="1320" w:hanging="420"/>
      <w:jc w:val="both"/>
      <w:textAlignment w:val="auto"/>
    </w:pPr>
    <w:rPr>
      <w:rFonts w:ascii="仿宋_GB2312" w:hAnsi="仿宋_GB2312" w:eastAsia="仿宋_GB2312" w:cs="Courier New"/>
      <w:b w:val="0"/>
      <w:kern w:val="2"/>
      <w:sz w:val="24"/>
      <w:szCs w:val="24"/>
    </w:rPr>
  </w:style>
  <w:style w:type="paragraph" w:customStyle="1" w:styleId="954">
    <w:name w:val="表题 2"/>
    <w:basedOn w:val="1"/>
    <w:qFormat/>
    <w:uiPriority w:val="0"/>
    <w:pPr>
      <w:adjustRightInd w:val="0"/>
      <w:spacing w:before="120" w:after="120"/>
      <w:jc w:val="center"/>
      <w:textAlignment w:val="baseline"/>
    </w:pPr>
    <w:rPr>
      <w:rFonts w:ascii="Courier New" w:hAnsi="Courier New" w:eastAsia="仿宋_GB2312" w:cs="Courier New"/>
      <w:kern w:val="0"/>
      <w:sz w:val="28"/>
      <w:szCs w:val="20"/>
    </w:rPr>
  </w:style>
  <w:style w:type="paragraph" w:customStyle="1" w:styleId="955">
    <w:name w:val="表格 2"/>
    <w:basedOn w:val="332"/>
    <w:qFormat/>
    <w:uiPriority w:val="0"/>
    <w:pPr>
      <w:autoSpaceDE w:val="0"/>
      <w:autoSpaceDN w:val="0"/>
      <w:adjustRightInd w:val="0"/>
      <w:textAlignment w:val="baseline"/>
    </w:pPr>
    <w:rPr>
      <w:rFonts w:eastAsia="仿宋_GB2312"/>
      <w:kern w:val="0"/>
      <w:sz w:val="24"/>
      <w:szCs w:val="20"/>
    </w:rPr>
  </w:style>
  <w:style w:type="paragraph" w:customStyle="1" w:styleId="956">
    <w:name w:val="表格 3"/>
    <w:basedOn w:val="332"/>
    <w:qFormat/>
    <w:uiPriority w:val="0"/>
    <w:pPr>
      <w:autoSpaceDE w:val="0"/>
      <w:autoSpaceDN w:val="0"/>
      <w:adjustRightInd w:val="0"/>
    </w:pPr>
    <w:rPr>
      <w:rFonts w:eastAsia="仿宋_GB2312"/>
      <w:kern w:val="0"/>
      <w:sz w:val="21"/>
      <w:szCs w:val="20"/>
    </w:rPr>
  </w:style>
  <w:style w:type="paragraph" w:customStyle="1" w:styleId="957">
    <w:name w:val="Normal1"/>
    <w:qFormat/>
    <w:uiPriority w:val="0"/>
    <w:pPr>
      <w:widowControl w:val="0"/>
      <w:adjustRightInd w:val="0"/>
      <w:spacing w:line="360" w:lineRule="atLeast"/>
      <w:textAlignment w:val="baseline"/>
    </w:pPr>
    <w:rPr>
      <w:rFonts w:ascii="仿宋_GB2312" w:hAnsi="Courier New" w:eastAsia="仿宋_GB2312" w:cs="Courier New"/>
      <w:sz w:val="34"/>
      <w:lang w:val="en-US" w:eastAsia="zh-CN" w:bidi="ar-SA"/>
    </w:rPr>
  </w:style>
  <w:style w:type="character" w:customStyle="1" w:styleId="958">
    <w:name w:val="Normal Char Char"/>
    <w:qFormat/>
    <w:uiPriority w:val="0"/>
    <w:rPr>
      <w:rFonts w:ascii="仿宋_GB2312"/>
      <w:kern w:val="2"/>
      <w:sz w:val="34"/>
      <w:szCs w:val="24"/>
      <w:lang w:val="en-US" w:eastAsia="zh-CN" w:bidi="ar-SA"/>
    </w:rPr>
  </w:style>
  <w:style w:type="paragraph" w:customStyle="1" w:styleId="959">
    <w:name w:val="样式 表头 + Times New Roman 黑色"/>
    <w:basedOn w:val="286"/>
    <w:qFormat/>
    <w:uiPriority w:val="0"/>
    <w:pPr>
      <w:adjustRightInd/>
      <w:snapToGrid/>
      <w:spacing w:beforeLines="30" w:afterLines="0" w:line="240" w:lineRule="auto"/>
    </w:pPr>
    <w:rPr>
      <w:rFonts w:ascii="Courier New" w:hAnsi="Courier New" w:cs="Courier New"/>
      <w:bCs/>
      <w:color w:val="000000"/>
      <w:sz w:val="24"/>
      <w:szCs w:val="24"/>
    </w:rPr>
  </w:style>
  <w:style w:type="paragraph" w:customStyle="1" w:styleId="960">
    <w:name w:val="样式 样式1 + 黑色"/>
    <w:basedOn w:val="153"/>
    <w:qFormat/>
    <w:uiPriority w:val="0"/>
    <w:pPr>
      <w:snapToGrid/>
      <w:spacing w:line="480" w:lineRule="exact"/>
      <w:ind w:firstLine="480" w:firstLineChars="200"/>
      <w:jc w:val="both"/>
    </w:pPr>
    <w:rPr>
      <w:rFonts w:ascii="Courier New"/>
      <w:color w:val="000000"/>
      <w:sz w:val="24"/>
      <w:szCs w:val="24"/>
    </w:rPr>
  </w:style>
  <w:style w:type="paragraph" w:customStyle="1" w:styleId="961">
    <w:name w:val="样式 标题 3 + Times New Roman 黑色 段前: 13 磅 段后: 13 磅 行距: 多倍行距 1.73..."/>
    <w:basedOn w:val="7"/>
    <w:qFormat/>
    <w:uiPriority w:val="0"/>
    <w:pPr>
      <w:numPr>
        <w:ilvl w:val="0"/>
        <w:numId w:val="0"/>
      </w:numPr>
      <w:adjustRightInd/>
      <w:spacing w:before="0"/>
      <w:jc w:val="both"/>
      <w:textAlignment w:val="auto"/>
    </w:pPr>
    <w:rPr>
      <w:rFonts w:ascii="Courier New" w:hAnsi="Courier New" w:eastAsia="Arial Unicode MS" w:cs="Courier New"/>
      <w:b w:val="0"/>
      <w:color w:val="000000"/>
      <w:kern w:val="2"/>
      <w:sz w:val="24"/>
    </w:rPr>
  </w:style>
  <w:style w:type="paragraph" w:customStyle="1" w:styleId="962">
    <w:name w:val="样式 标题 2 + Times New Roman 黑色 段前: 13 磅 段后: 13 磅 行距: 多倍行距 1.73..."/>
    <w:basedOn w:val="6"/>
    <w:qFormat/>
    <w:uiPriority w:val="0"/>
    <w:pPr>
      <w:numPr>
        <w:ilvl w:val="0"/>
        <w:numId w:val="0"/>
      </w:numPr>
      <w:adjustRightInd/>
      <w:spacing w:beforeLines="100" w:afterLines="50"/>
      <w:jc w:val="both"/>
      <w:textAlignment w:val="auto"/>
    </w:pPr>
    <w:rPr>
      <w:rFonts w:ascii="Courier New" w:hAnsi="Courier New" w:eastAsia="Arial Unicode MS" w:cs="Courier New"/>
      <w:b w:val="0"/>
      <w:color w:val="000000"/>
      <w:kern w:val="2"/>
    </w:rPr>
  </w:style>
  <w:style w:type="paragraph" w:customStyle="1" w:styleId="963">
    <w:name w:val="正文 Char Char Char Char"/>
    <w:basedOn w:val="1"/>
    <w:next w:val="1"/>
    <w:qFormat/>
    <w:uiPriority w:val="0"/>
    <w:pPr>
      <w:adjustRightInd w:val="0"/>
      <w:spacing w:line="360" w:lineRule="auto"/>
      <w:ind w:firstLine="482"/>
      <w:jc w:val="left"/>
      <w:textAlignment w:val="baseline"/>
    </w:pPr>
    <w:rPr>
      <w:rFonts w:ascii="仿宋_GB2312" w:hAnsi="Courier New" w:eastAsia="仿宋_GB2312" w:cs="Courier New"/>
      <w:snapToGrid w:val="0"/>
      <w:kern w:val="21"/>
      <w:sz w:val="24"/>
    </w:rPr>
  </w:style>
  <w:style w:type="paragraph" w:customStyle="1" w:styleId="964">
    <w:name w:val="Char Char Char1 Char Char"/>
    <w:basedOn w:val="1"/>
    <w:semiHidden/>
    <w:qFormat/>
    <w:uiPriority w:val="0"/>
    <w:pPr>
      <w:spacing w:line="240" w:lineRule="exact"/>
      <w:ind w:firstLine="200" w:firstLineChars="200"/>
    </w:pPr>
    <w:rPr>
      <w:rFonts w:ascii="仿宋_GB2312" w:hAnsi="仿宋_GB2312" w:eastAsia="仿宋_GB2312" w:cs="仿宋_GB2312"/>
      <w:sz w:val="24"/>
    </w:rPr>
  </w:style>
  <w:style w:type="paragraph" w:customStyle="1" w:styleId="965">
    <w:name w:val="默认段落字体 Para Char Char Char1 Char Char Char Char"/>
    <w:basedOn w:val="52"/>
    <w:qFormat/>
    <w:uiPriority w:val="0"/>
    <w:pPr>
      <w:adjustRightInd/>
      <w:spacing w:line="360" w:lineRule="auto"/>
      <w:ind w:left="178" w:leftChars="85" w:firstLine="658" w:firstLineChars="235"/>
      <w:jc w:val="both"/>
      <w:textAlignment w:val="auto"/>
    </w:pPr>
    <w:rPr>
      <w:rFonts w:ascii="Courier New" w:hAnsi="Courier New" w:cs="Courier New"/>
      <w:kern w:val="2"/>
      <w:szCs w:val="24"/>
    </w:rPr>
  </w:style>
  <w:style w:type="character" w:customStyle="1" w:styleId="966">
    <w:name w:val="Char Char25"/>
    <w:qFormat/>
    <w:uiPriority w:val="0"/>
    <w:rPr>
      <w:rFonts w:ascii="华文行楷" w:hAnsi="华文行楷" w:eastAsia="宋体"/>
      <w:kern w:val="2"/>
      <w:sz w:val="21"/>
      <w:szCs w:val="24"/>
      <w:lang w:val="en-US" w:eastAsia="zh-CN" w:bidi="ar-SA"/>
    </w:rPr>
  </w:style>
  <w:style w:type="character" w:customStyle="1" w:styleId="967">
    <w:name w:val="Char Char26"/>
    <w:qFormat/>
    <w:uiPriority w:val="0"/>
    <w:rPr>
      <w:rFonts w:eastAsia="仿宋_GB2312"/>
      <w:kern w:val="10"/>
      <w:sz w:val="24"/>
      <w:lang w:val="en-US" w:eastAsia="zh-CN" w:bidi="ar-SA"/>
    </w:rPr>
  </w:style>
  <w:style w:type="character" w:customStyle="1" w:styleId="968">
    <w:name w:val="h8 Char"/>
    <w:qFormat/>
    <w:uiPriority w:val="0"/>
    <w:rPr>
      <w:rFonts w:ascii="华文中宋" w:hAnsi="华文中宋" w:eastAsia="Arial Unicode MS"/>
      <w:sz w:val="24"/>
      <w:szCs w:val="24"/>
      <w:lang w:val="en-US" w:eastAsia="zh-CN" w:bidi="ar-SA"/>
    </w:rPr>
  </w:style>
  <w:style w:type="character" w:customStyle="1" w:styleId="969">
    <w:name w:val="h9 Char"/>
    <w:qFormat/>
    <w:uiPriority w:val="0"/>
    <w:rPr>
      <w:rFonts w:ascii="华文中宋" w:hAnsi="华文中宋" w:eastAsia="Arial Unicode MS"/>
      <w:sz w:val="21"/>
      <w:szCs w:val="21"/>
      <w:lang w:val="en-US" w:eastAsia="zh-CN" w:bidi="ar-SA"/>
    </w:rPr>
  </w:style>
  <w:style w:type="paragraph" w:styleId="970">
    <w:name w:val="No Spacing"/>
    <w:basedOn w:val="1"/>
    <w:qFormat/>
    <w:uiPriority w:val="99"/>
    <w:pPr>
      <w:widowControl/>
      <w:jc w:val="left"/>
    </w:pPr>
    <w:rPr>
      <w:rFonts w:ascii="黑体" w:hAnsi="黑体" w:eastAsia="仿宋_GB2312" w:cs="Courier New"/>
      <w:i/>
      <w:iCs/>
      <w:kern w:val="0"/>
      <w:sz w:val="20"/>
      <w:szCs w:val="20"/>
      <w:lang w:eastAsia="en-US" w:bidi="en-US"/>
    </w:rPr>
  </w:style>
  <w:style w:type="paragraph" w:styleId="971">
    <w:name w:val="Quote"/>
    <w:basedOn w:val="1"/>
    <w:next w:val="1"/>
    <w:link w:val="972"/>
    <w:qFormat/>
    <w:uiPriority w:val="0"/>
    <w:pPr>
      <w:widowControl/>
      <w:spacing w:after="200" w:line="288" w:lineRule="auto"/>
      <w:jc w:val="left"/>
    </w:pPr>
    <w:rPr>
      <w:rFonts w:ascii="黑体" w:hAnsi="黑体" w:eastAsia="仿宋_GB2312" w:cs="Courier New"/>
      <w:color w:val="943634"/>
      <w:kern w:val="0"/>
      <w:sz w:val="20"/>
      <w:szCs w:val="20"/>
      <w:lang w:eastAsia="en-US" w:bidi="en-US"/>
    </w:rPr>
  </w:style>
  <w:style w:type="character" w:customStyle="1" w:styleId="972">
    <w:name w:val="引用 字符"/>
    <w:link w:val="971"/>
    <w:qFormat/>
    <w:uiPriority w:val="0"/>
    <w:rPr>
      <w:rFonts w:ascii="黑体" w:hAnsi="黑体" w:eastAsia="仿宋_GB2312" w:cs="Courier New"/>
      <w:color w:val="943634"/>
      <w:lang w:val="en-US" w:eastAsia="en-US" w:bidi="en-US"/>
    </w:rPr>
  </w:style>
  <w:style w:type="paragraph" w:styleId="973">
    <w:name w:val="Intense Quote"/>
    <w:basedOn w:val="1"/>
    <w:next w:val="1"/>
    <w:link w:val="974"/>
    <w:qFormat/>
    <w:uiPriority w:val="0"/>
    <w:pPr>
      <w:widowControl/>
      <w:pBdr>
        <w:top w:val="dotted" w:color="C0504D" w:sz="8" w:space="10"/>
        <w:bottom w:val="dotted" w:color="C0504D" w:sz="8" w:space="10"/>
      </w:pBdr>
      <w:spacing w:after="200" w:line="300" w:lineRule="auto"/>
      <w:ind w:left="2160" w:right="2160"/>
      <w:jc w:val="center"/>
    </w:pPr>
    <w:rPr>
      <w:rFonts w:ascii="Arial Narrow" w:hAnsi="Arial Narrow" w:eastAsia="仿宋_GB2312" w:cs="Courier New"/>
      <w:b/>
      <w:bCs/>
      <w:i/>
      <w:iCs/>
      <w:color w:val="C0504D"/>
      <w:kern w:val="0"/>
      <w:sz w:val="20"/>
      <w:szCs w:val="20"/>
      <w:lang w:eastAsia="en-US" w:bidi="en-US"/>
    </w:rPr>
  </w:style>
  <w:style w:type="character" w:customStyle="1" w:styleId="974">
    <w:name w:val="明显引用 字符"/>
    <w:link w:val="973"/>
    <w:qFormat/>
    <w:uiPriority w:val="0"/>
    <w:rPr>
      <w:rFonts w:ascii="Arial Narrow" w:hAnsi="Arial Narrow" w:eastAsia="仿宋_GB2312" w:cs="Courier New"/>
      <w:b/>
      <w:bCs/>
      <w:i/>
      <w:iCs/>
      <w:color w:val="C0504D"/>
      <w:lang w:val="en-US" w:eastAsia="en-US" w:bidi="en-US"/>
    </w:rPr>
  </w:style>
  <w:style w:type="character" w:customStyle="1" w:styleId="975">
    <w:name w:val="不明显强调1"/>
    <w:qFormat/>
    <w:uiPriority w:val="0"/>
    <w:rPr>
      <w:rFonts w:ascii="Arial Narrow" w:hAnsi="Arial Narrow" w:eastAsia="仿宋_GB2312" w:cs="Courier New"/>
      <w:i/>
      <w:iCs/>
      <w:color w:val="C0504D"/>
    </w:rPr>
  </w:style>
  <w:style w:type="character" w:customStyle="1" w:styleId="976">
    <w:name w:val="明显强调1"/>
    <w:qFormat/>
    <w:uiPriority w:val="0"/>
    <w:rPr>
      <w:rFonts w:ascii="Arial Narrow" w:hAnsi="Arial Narrow" w:eastAsia="仿宋_GB2312" w:cs="Courier New"/>
      <w:b/>
      <w:bCs/>
      <w:i/>
      <w:iCs/>
      <w:color w:val="FFFFFF"/>
      <w:bdr w:val="single" w:color="C0504D" w:sz="18" w:space="0"/>
      <w:shd w:val="clear" w:color="auto" w:fill="C0504D"/>
      <w:vertAlign w:val="baseline"/>
    </w:rPr>
  </w:style>
  <w:style w:type="character" w:customStyle="1" w:styleId="977">
    <w:name w:val="不明显参考1"/>
    <w:qFormat/>
    <w:uiPriority w:val="0"/>
    <w:rPr>
      <w:i/>
      <w:iCs/>
      <w:smallCaps/>
      <w:color w:val="C0504D"/>
      <w:u w:color="C0504D"/>
    </w:rPr>
  </w:style>
  <w:style w:type="character" w:customStyle="1" w:styleId="978">
    <w:name w:val="明显参考1"/>
    <w:qFormat/>
    <w:uiPriority w:val="0"/>
    <w:rPr>
      <w:b/>
      <w:bCs/>
      <w:i/>
      <w:iCs/>
      <w:smallCaps/>
      <w:color w:val="C0504D"/>
      <w:u w:color="C0504D"/>
    </w:rPr>
  </w:style>
  <w:style w:type="character" w:customStyle="1" w:styleId="979">
    <w:name w:val="书籍标题1"/>
    <w:qFormat/>
    <w:uiPriority w:val="0"/>
    <w:rPr>
      <w:rFonts w:ascii="Arial Narrow" w:hAnsi="Arial Narrow" w:eastAsia="仿宋_GB2312" w:cs="Courier New"/>
      <w:b/>
      <w:bCs/>
      <w:i/>
      <w:iCs/>
      <w:smallCaps/>
      <w:color w:val="943634"/>
      <w:u w:val="single"/>
    </w:rPr>
  </w:style>
  <w:style w:type="paragraph" w:customStyle="1" w:styleId="980">
    <w:name w:val="TOC 标题1"/>
    <w:basedOn w:val="5"/>
    <w:next w:val="1"/>
    <w:qFormat/>
    <w:uiPriority w:val="0"/>
    <w:pPr>
      <w:keepNext w:val="0"/>
      <w:keepLines w:val="0"/>
      <w:pageBreakBefore w:val="0"/>
      <w:widowControl/>
      <w:numPr>
        <w:numId w:val="0"/>
      </w:numPr>
      <w:pBdr>
        <w:top w:val="single" w:color="C0504D" w:sz="8" w:space="0"/>
        <w:left w:val="single" w:color="C0504D" w:sz="8" w:space="0"/>
        <w:bottom w:val="single" w:color="C0504D" w:sz="8" w:space="0"/>
        <w:right w:val="single" w:color="C0504D" w:sz="8" w:space="0"/>
      </w:pBdr>
      <w:shd w:val="clear" w:color="auto" w:fill="F2DBDB"/>
      <w:adjustRightInd/>
      <w:spacing w:before="480" w:after="100" w:line="269" w:lineRule="auto"/>
      <w:contextualSpacing/>
      <w:jc w:val="left"/>
      <w:textAlignment w:val="auto"/>
      <w:outlineLvl w:val="9"/>
    </w:pPr>
    <w:rPr>
      <w:rFonts w:ascii="Arial Narrow" w:hAnsi="Arial Narrow" w:eastAsia="仿宋_GB2312" w:cs="Courier New"/>
      <w:b/>
      <w:bCs/>
      <w:i/>
      <w:iCs/>
      <w:color w:val="622423"/>
      <w:kern w:val="0"/>
      <w:sz w:val="22"/>
      <w:szCs w:val="22"/>
      <w:lang w:eastAsia="en-US" w:bidi="en-US"/>
    </w:rPr>
  </w:style>
  <w:style w:type="character" w:customStyle="1" w:styleId="981">
    <w:name w:val="fontsz"/>
    <w:basedOn w:val="134"/>
    <w:qFormat/>
    <w:uiPriority w:val="0"/>
  </w:style>
  <w:style w:type="character" w:customStyle="1" w:styleId="982">
    <w:name w:val="无页眉 Char Char"/>
    <w:qFormat/>
    <w:uiPriority w:val="0"/>
    <w:rPr>
      <w:rFonts w:eastAsia="仿宋_GB2312"/>
      <w:kern w:val="2"/>
      <w:sz w:val="18"/>
      <w:szCs w:val="18"/>
      <w:lang w:val="en-US" w:eastAsia="zh-CN" w:bidi="ar-SA"/>
    </w:rPr>
  </w:style>
  <w:style w:type="character" w:customStyle="1" w:styleId="983">
    <w:name w:val="纯文本 Char1"/>
    <w:qFormat/>
    <w:uiPriority w:val="0"/>
    <w:rPr>
      <w:rFonts w:ascii="仿宋_GB2312" w:hAnsi="ˎ̥" w:eastAsia="仿宋_GB2312" w:cs="Arial Unicode MS"/>
      <w:kern w:val="2"/>
      <w:sz w:val="21"/>
      <w:szCs w:val="21"/>
      <w:lang w:eastAsia="zh-CN" w:bidi="ar-SA"/>
    </w:rPr>
  </w:style>
  <w:style w:type="character" w:customStyle="1" w:styleId="984">
    <w:name w:val="Char Char27"/>
    <w:semiHidden/>
    <w:qFormat/>
    <w:uiPriority w:val="0"/>
    <w:rPr>
      <w:rFonts w:eastAsia="仿宋_GB2312"/>
      <w:kern w:val="2"/>
      <w:sz w:val="18"/>
      <w:szCs w:val="18"/>
      <w:lang w:val="en-US" w:eastAsia="zh-CN" w:bidi="ar-SA"/>
    </w:rPr>
  </w:style>
  <w:style w:type="character" w:customStyle="1" w:styleId="985">
    <w:name w:val="Char Char21"/>
    <w:semiHidden/>
    <w:qFormat/>
    <w:uiPriority w:val="0"/>
    <w:rPr>
      <w:rFonts w:ascii="Arial Narrow" w:hAnsi="Arial Narrow" w:eastAsia="仿宋_GB2312" w:cs="Courier New"/>
      <w:b/>
      <w:bCs/>
      <w:i/>
      <w:iCs/>
      <w:color w:val="943634"/>
    </w:rPr>
  </w:style>
  <w:style w:type="character" w:customStyle="1" w:styleId="986">
    <w:name w:val="Char Char20"/>
    <w:semiHidden/>
    <w:qFormat/>
    <w:uiPriority w:val="0"/>
    <w:rPr>
      <w:rFonts w:ascii="Arial Narrow" w:hAnsi="Arial Narrow" w:eastAsia="仿宋_GB2312" w:cs="Courier New"/>
      <w:b/>
      <w:bCs/>
      <w:i/>
      <w:iCs/>
      <w:color w:val="943634"/>
    </w:rPr>
  </w:style>
  <w:style w:type="character" w:customStyle="1" w:styleId="987">
    <w:name w:val="Char Char31"/>
    <w:qFormat/>
    <w:uiPriority w:val="0"/>
    <w:rPr>
      <w:rFonts w:eastAsia="仿宋_GB2312"/>
      <w:spacing w:val="10"/>
      <w:sz w:val="24"/>
      <w:szCs w:val="21"/>
      <w:lang w:val="en-US" w:eastAsia="zh-CN" w:bidi="ar-SA"/>
    </w:rPr>
  </w:style>
  <w:style w:type="character" w:customStyle="1" w:styleId="988">
    <w:name w:val="p10"/>
    <w:basedOn w:val="134"/>
    <w:qFormat/>
    <w:uiPriority w:val="0"/>
  </w:style>
  <w:style w:type="paragraph" w:customStyle="1" w:styleId="989">
    <w:name w:val="样式 标题 2 + (西文) Times New Roman (中文) 宋体 小二 加粗 居中 段前: 7.8 磅 ..."/>
    <w:basedOn w:val="6"/>
    <w:qFormat/>
    <w:uiPriority w:val="0"/>
    <w:pPr>
      <w:keepLines w:val="0"/>
      <w:numPr>
        <w:ilvl w:val="0"/>
        <w:numId w:val="0"/>
      </w:numPr>
      <w:tabs>
        <w:tab w:val="left" w:pos="1575"/>
      </w:tabs>
      <w:snapToGrid w:val="0"/>
      <w:spacing w:beforeLines="100" w:afterLines="100" w:line="440" w:lineRule="exact"/>
      <w:jc w:val="both"/>
      <w:textAlignment w:val="auto"/>
    </w:pPr>
    <w:rPr>
      <w:rFonts w:ascii="Courier New" w:hAnsi="Courier New" w:eastAsia="楷体" w:cs="Courier New"/>
      <w:bCs/>
      <w:i/>
      <w:iCs/>
      <w:color w:val="000000"/>
      <w:kern w:val="2"/>
      <w:sz w:val="24"/>
      <w:szCs w:val="32"/>
    </w:rPr>
  </w:style>
  <w:style w:type="paragraph" w:customStyle="1" w:styleId="990">
    <w:name w:val="样式 正文缩进正文缩进 Char + 首行缩进:  2 字符"/>
    <w:basedOn w:val="2"/>
    <w:qFormat/>
    <w:uiPriority w:val="0"/>
    <w:pPr>
      <w:adjustRightInd w:val="0"/>
      <w:snapToGrid w:val="0"/>
      <w:spacing w:line="480" w:lineRule="exact"/>
      <w:ind w:firstLine="480" w:firstLineChars="200"/>
    </w:pPr>
    <w:rPr>
      <w:rFonts w:ascii="仿宋_GB2312" w:hAnsi="仿宋_GB2312" w:eastAsia="仿宋_GB2312" w:cs="Courier New"/>
      <w:snapToGrid w:val="0"/>
      <w:kern w:val="0"/>
      <w:szCs w:val="28"/>
    </w:rPr>
  </w:style>
  <w:style w:type="paragraph" w:customStyle="1" w:styleId="991">
    <w:name w:val="亲启"/>
    <w:qFormat/>
    <w:uiPriority w:val="0"/>
    <w:pPr>
      <w:widowControl w:val="0"/>
      <w:jc w:val="both"/>
    </w:pPr>
    <w:rPr>
      <w:rFonts w:ascii="Courier New" w:hAnsi="Courier New" w:eastAsia="仿宋_GB2312" w:cs="Courier New"/>
      <w:kern w:val="2"/>
      <w:sz w:val="21"/>
      <w:szCs w:val="24"/>
      <w:lang w:val="en-US" w:eastAsia="zh-CN" w:bidi="ar-SA"/>
    </w:rPr>
  </w:style>
  <w:style w:type="character" w:customStyle="1" w:styleId="992">
    <w:name w:val="jj11"/>
    <w:qFormat/>
    <w:uiPriority w:val="0"/>
    <w:rPr>
      <w:b/>
      <w:bCs/>
      <w:color w:val="FF6633"/>
      <w:sz w:val="22"/>
      <w:szCs w:val="22"/>
    </w:rPr>
  </w:style>
  <w:style w:type="character" w:customStyle="1" w:styleId="993">
    <w:name w:val="wenben2"/>
    <w:qFormat/>
    <w:uiPriority w:val="0"/>
    <w:rPr>
      <w:color w:val="1C1C1C"/>
      <w:sz w:val="21"/>
      <w:szCs w:val="21"/>
      <w:u w:val="none"/>
    </w:rPr>
  </w:style>
  <w:style w:type="character" w:customStyle="1" w:styleId="994">
    <w:name w:val="Char Char28"/>
    <w:semiHidden/>
    <w:qFormat/>
    <w:uiPriority w:val="0"/>
    <w:rPr>
      <w:rFonts w:eastAsia="仿宋_GB2312"/>
      <w:kern w:val="2"/>
      <w:sz w:val="21"/>
      <w:szCs w:val="24"/>
      <w:lang w:val="en-US" w:eastAsia="zh-CN" w:bidi="ar-SA"/>
    </w:rPr>
  </w:style>
  <w:style w:type="character" w:customStyle="1" w:styleId="995">
    <w:name w:val="p20"/>
    <w:basedOn w:val="134"/>
    <w:qFormat/>
    <w:uiPriority w:val="0"/>
  </w:style>
  <w:style w:type="character" w:customStyle="1" w:styleId="996">
    <w:name w:val="lv"/>
    <w:basedOn w:val="134"/>
    <w:qFormat/>
    <w:uiPriority w:val="0"/>
  </w:style>
  <w:style w:type="character" w:customStyle="1" w:styleId="997">
    <w:name w:val="tit"/>
    <w:basedOn w:val="134"/>
    <w:qFormat/>
    <w:uiPriority w:val="0"/>
  </w:style>
  <w:style w:type="character" w:customStyle="1" w:styleId="998">
    <w:name w:val="t13r"/>
    <w:basedOn w:val="134"/>
    <w:qFormat/>
    <w:uiPriority w:val="0"/>
  </w:style>
  <w:style w:type="paragraph" w:customStyle="1" w:styleId="999">
    <w:name w:val="表格内字体"/>
    <w:basedOn w:val="1"/>
    <w:next w:val="1"/>
    <w:link w:val="1000"/>
    <w:qFormat/>
    <w:uiPriority w:val="0"/>
    <w:rPr>
      <w:rFonts w:ascii="仿宋_GB2312" w:hAnsi="仿宋_GB2312" w:eastAsia="仿宋_GB2312" w:cs="Courier New"/>
    </w:rPr>
  </w:style>
  <w:style w:type="character" w:customStyle="1" w:styleId="1000">
    <w:name w:val="表格内字体 Char"/>
    <w:link w:val="999"/>
    <w:qFormat/>
    <w:uiPriority w:val="0"/>
    <w:rPr>
      <w:rFonts w:ascii="仿宋_GB2312" w:hAnsi="仿宋_GB2312" w:eastAsia="仿宋_GB2312" w:cs="Courier New"/>
      <w:kern w:val="2"/>
      <w:sz w:val="21"/>
      <w:szCs w:val="24"/>
      <w:lang w:val="en-US" w:eastAsia="zh-CN" w:bidi="ar-SA"/>
    </w:rPr>
  </w:style>
  <w:style w:type="paragraph" w:customStyle="1" w:styleId="1001">
    <w:name w:val="Char Char2 Char Char Char Char"/>
    <w:basedOn w:val="1"/>
    <w:semiHidden/>
    <w:qFormat/>
    <w:uiPriority w:val="0"/>
    <w:rPr>
      <w:rFonts w:ascii="Courier New" w:hAnsi="Courier New" w:eastAsia="仿宋_GB2312" w:cs="Courier New"/>
    </w:rPr>
  </w:style>
  <w:style w:type="character" w:customStyle="1" w:styleId="1002">
    <w:name w:val="clew_color1"/>
    <w:qFormat/>
    <w:uiPriority w:val="0"/>
    <w:rPr>
      <w:rFonts w:hint="default" w:ascii="新宋体" w:hAnsi="新宋体"/>
      <w:color w:val="999999"/>
    </w:rPr>
  </w:style>
  <w:style w:type="paragraph" w:customStyle="1" w:styleId="1003">
    <w:name w:val="1级__章名"/>
    <w:basedOn w:val="1"/>
    <w:qFormat/>
    <w:uiPriority w:val="0"/>
    <w:pPr>
      <w:spacing w:before="360" w:after="360" w:line="312" w:lineRule="atLeast"/>
    </w:pPr>
    <w:rPr>
      <w:rFonts w:ascii="Courier New" w:hAnsi="Courier New" w:eastAsia="仿宋_GB2312" w:cs="Courier New"/>
      <w:b/>
      <w:sz w:val="30"/>
      <w:szCs w:val="20"/>
    </w:rPr>
  </w:style>
  <w:style w:type="paragraph" w:customStyle="1" w:styleId="1004">
    <w:name w:val="Char Char2 Char Char Char Char2"/>
    <w:basedOn w:val="1"/>
    <w:semiHidden/>
    <w:qFormat/>
    <w:uiPriority w:val="0"/>
    <w:rPr>
      <w:rFonts w:ascii="Courier New" w:hAnsi="Courier New" w:eastAsia="仿宋_GB2312" w:cs="Courier New"/>
    </w:rPr>
  </w:style>
  <w:style w:type="character" w:customStyle="1" w:styleId="1005">
    <w:name w:val="Char Char14"/>
    <w:semiHidden/>
    <w:qFormat/>
    <w:uiPriority w:val="0"/>
    <w:rPr>
      <w:rFonts w:eastAsia="仿宋_GB2312"/>
      <w:sz w:val="24"/>
      <w:lang w:val="en-US" w:eastAsia="zh-CN" w:bidi="ar-SA"/>
    </w:rPr>
  </w:style>
  <w:style w:type="character" w:customStyle="1" w:styleId="1006">
    <w:name w:val="Char Char30"/>
    <w:qFormat/>
    <w:uiPriority w:val="0"/>
    <w:rPr>
      <w:rFonts w:ascii="华文行楷" w:hAnsi="华文行楷" w:eastAsia="华文行楷"/>
      <w:kern w:val="2"/>
      <w:sz w:val="24"/>
      <w:szCs w:val="24"/>
      <w:lang w:val="en-US" w:eastAsia="zh-CN" w:bidi="ar-SA"/>
    </w:rPr>
  </w:style>
  <w:style w:type="character" w:customStyle="1" w:styleId="1007">
    <w:name w:val="Char Char22"/>
    <w:qFormat/>
    <w:uiPriority w:val="0"/>
    <w:rPr>
      <w:rFonts w:ascii="ˎ̥" w:hAnsi="ˎ̥" w:eastAsia="仿宋_GB2312" w:cs="ˎ̥"/>
      <w:kern w:val="2"/>
      <w:lang w:val="en-US" w:eastAsia="zh-CN" w:bidi="ar-SA"/>
    </w:rPr>
  </w:style>
  <w:style w:type="character" w:customStyle="1" w:styleId="1008">
    <w:name w:val="我的正文 Char1"/>
    <w:link w:val="356"/>
    <w:qFormat/>
    <w:uiPriority w:val="0"/>
    <w:rPr>
      <w:rFonts w:ascii="Courier New" w:hAnsi="Courier New" w:eastAsia="仿宋_GB2312" w:cs="Courier New"/>
      <w:kern w:val="2"/>
      <w:sz w:val="28"/>
      <w:szCs w:val="28"/>
      <w:lang w:val="en-US" w:eastAsia="zh-CN" w:bidi="ar-SA"/>
    </w:rPr>
  </w:style>
  <w:style w:type="character" w:customStyle="1" w:styleId="1009">
    <w:name w:val="报告 Char"/>
    <w:link w:val="723"/>
    <w:qFormat/>
    <w:uiPriority w:val="0"/>
    <w:rPr>
      <w:rFonts w:ascii="Courier New" w:hAnsi="Courier New" w:eastAsia="仿宋_GB2312" w:cs="Courier New"/>
      <w:sz w:val="24"/>
      <w:lang w:val="en-US" w:eastAsia="zh-CN" w:bidi="ar-SA"/>
    </w:rPr>
  </w:style>
  <w:style w:type="paragraph" w:customStyle="1" w:styleId="1010">
    <w:name w:val="w"/>
    <w:basedOn w:val="1"/>
    <w:link w:val="1011"/>
    <w:qFormat/>
    <w:uiPriority w:val="0"/>
    <w:pPr>
      <w:widowControl/>
      <w:spacing w:line="460" w:lineRule="exact"/>
      <w:ind w:firstLine="552" w:firstLineChars="200"/>
      <w:jc w:val="left"/>
    </w:pPr>
    <w:rPr>
      <w:rFonts w:ascii="Courier New" w:hAnsi="Courier New" w:eastAsia="仿宋_GB2312" w:cs="Courier New"/>
      <w:spacing w:val="-2"/>
      <w:kern w:val="0"/>
      <w:sz w:val="28"/>
      <w:szCs w:val="28"/>
      <w:lang w:bidi="en-US"/>
    </w:rPr>
  </w:style>
  <w:style w:type="character" w:customStyle="1" w:styleId="1011">
    <w:name w:val="w Char"/>
    <w:link w:val="1010"/>
    <w:qFormat/>
    <w:uiPriority w:val="0"/>
    <w:rPr>
      <w:rFonts w:ascii="Courier New" w:hAnsi="Courier New" w:eastAsia="仿宋_GB2312" w:cs="Courier New"/>
      <w:spacing w:val="-2"/>
      <w:sz w:val="28"/>
      <w:szCs w:val="28"/>
      <w:lang w:val="en-US" w:eastAsia="zh-CN" w:bidi="en-US"/>
    </w:rPr>
  </w:style>
  <w:style w:type="character" w:customStyle="1" w:styleId="1012">
    <w:name w:val="Char Char34"/>
    <w:qFormat/>
    <w:uiPriority w:val="0"/>
    <w:rPr>
      <w:rFonts w:ascii="ˎ̥" w:hAnsi="ˎ̥" w:eastAsia="仿宋_GB2312" w:cs="ˎ̥"/>
      <w:bCs/>
      <w:kern w:val="2"/>
      <w:sz w:val="21"/>
      <w:lang w:val="en-US" w:eastAsia="zh-CN" w:bidi="ar-SA"/>
    </w:rPr>
  </w:style>
  <w:style w:type="character" w:customStyle="1" w:styleId="1013">
    <w:name w:val="Char Char33"/>
    <w:qFormat/>
    <w:uiPriority w:val="0"/>
    <w:rPr>
      <w:rFonts w:eastAsia="仿宋_GB2312"/>
      <w:sz w:val="24"/>
      <w:lang w:val="en-US" w:eastAsia="zh-CN"/>
    </w:rPr>
  </w:style>
  <w:style w:type="character" w:customStyle="1" w:styleId="1014">
    <w:name w:val="Char Char38"/>
    <w:qFormat/>
    <w:uiPriority w:val="0"/>
    <w:rPr>
      <w:rFonts w:ascii="仿宋_GB2312" w:eastAsia="仿宋_GB2312"/>
      <w:color w:val="000000"/>
      <w:kern w:val="28"/>
      <w:sz w:val="28"/>
      <w:lang w:val="en-US" w:eastAsia="zh-CN" w:bidi="ar-SA"/>
    </w:rPr>
  </w:style>
  <w:style w:type="character" w:customStyle="1" w:styleId="1015">
    <w:name w:val="Char Char44"/>
    <w:qFormat/>
    <w:uiPriority w:val="0"/>
    <w:rPr>
      <w:rFonts w:eastAsia="仿宋_GB2312"/>
      <w:b/>
      <w:sz w:val="28"/>
      <w:lang w:val="en-US" w:eastAsia="zh-CN"/>
    </w:rPr>
  </w:style>
  <w:style w:type="character" w:customStyle="1" w:styleId="1016">
    <w:name w:val="Char Char42"/>
    <w:qFormat/>
    <w:uiPriority w:val="0"/>
    <w:rPr>
      <w:rFonts w:eastAsia="仿宋_GB2312"/>
      <w:b/>
      <w:sz w:val="24"/>
      <w:lang w:val="en-US" w:eastAsia="zh-CN"/>
    </w:rPr>
  </w:style>
  <w:style w:type="character" w:customStyle="1" w:styleId="1017">
    <w:name w:val="Char Char45"/>
    <w:qFormat/>
    <w:uiPriority w:val="0"/>
    <w:rPr>
      <w:rFonts w:eastAsia="仿宋_GB2312"/>
      <w:b/>
      <w:kern w:val="2"/>
      <w:sz w:val="32"/>
      <w:lang w:val="en-US" w:eastAsia="zh-CN"/>
    </w:rPr>
  </w:style>
  <w:style w:type="character" w:customStyle="1" w:styleId="1018">
    <w:name w:val="Char Char40"/>
    <w:qFormat/>
    <w:uiPriority w:val="0"/>
    <w:rPr>
      <w:rFonts w:ascii="华文中宋" w:hAnsi="华文中宋" w:eastAsia="Arial Unicode MS"/>
      <w:sz w:val="24"/>
      <w:lang w:val="en-US" w:eastAsia="zh-CN"/>
    </w:rPr>
  </w:style>
  <w:style w:type="character" w:customStyle="1" w:styleId="1019">
    <w:name w:val="Char Char35"/>
    <w:qFormat/>
    <w:uiPriority w:val="0"/>
    <w:rPr>
      <w:rFonts w:eastAsia="Tms Rmn"/>
      <w:color w:val="000000"/>
      <w:sz w:val="24"/>
      <w:lang w:val="en-US" w:eastAsia="zh-CN"/>
    </w:rPr>
  </w:style>
  <w:style w:type="character" w:customStyle="1" w:styleId="1020">
    <w:name w:val="Char Char43"/>
    <w:qFormat/>
    <w:uiPriority w:val="0"/>
    <w:rPr>
      <w:rFonts w:ascii="华文中宋" w:hAnsi="华文中宋" w:eastAsia="Arial Unicode MS"/>
      <w:b/>
      <w:sz w:val="24"/>
      <w:lang w:val="en-US" w:eastAsia="zh-CN"/>
    </w:rPr>
  </w:style>
  <w:style w:type="character" w:customStyle="1" w:styleId="1021">
    <w:name w:val="Char Char46"/>
    <w:qFormat/>
    <w:uiPriority w:val="0"/>
    <w:rPr>
      <w:rFonts w:eastAsia="仿宋_GB2312"/>
      <w:b/>
      <w:kern w:val="2"/>
      <w:sz w:val="32"/>
      <w:lang w:val="en-US" w:eastAsia="zh-CN"/>
    </w:rPr>
  </w:style>
  <w:style w:type="character" w:customStyle="1" w:styleId="1022">
    <w:name w:val="Char Char36"/>
    <w:qFormat/>
    <w:uiPriority w:val="0"/>
    <w:rPr>
      <w:rFonts w:ascii="华文中宋" w:hAnsi="华文中宋" w:eastAsia="仿宋_GB2312"/>
      <w:b/>
      <w:kern w:val="2"/>
      <w:sz w:val="32"/>
      <w:lang w:val="en-US" w:eastAsia="zh-CN"/>
    </w:rPr>
  </w:style>
  <w:style w:type="character" w:customStyle="1" w:styleId="1023">
    <w:name w:val="Char Char37"/>
    <w:qFormat/>
    <w:uiPriority w:val="0"/>
    <w:rPr>
      <w:rFonts w:eastAsia="仿宋_GB2312"/>
      <w:sz w:val="18"/>
      <w:lang w:val="en-US" w:eastAsia="zh-CN"/>
    </w:rPr>
  </w:style>
  <w:style w:type="character" w:customStyle="1" w:styleId="1024">
    <w:name w:val="Char Char39"/>
    <w:qFormat/>
    <w:uiPriority w:val="0"/>
    <w:rPr>
      <w:rFonts w:eastAsia="仿宋_GB2312"/>
      <w:kern w:val="2"/>
      <w:sz w:val="21"/>
      <w:lang w:val="en-US" w:eastAsia="zh-CN"/>
    </w:rPr>
  </w:style>
  <w:style w:type="character" w:customStyle="1" w:styleId="1025">
    <w:name w:val="Char Char41"/>
    <w:qFormat/>
    <w:uiPriority w:val="0"/>
    <w:rPr>
      <w:rFonts w:ascii="华文中宋" w:hAnsi="华文中宋" w:eastAsia="Arial Unicode MS"/>
      <w:sz w:val="24"/>
      <w:lang w:val="en-US" w:eastAsia="zh-CN"/>
    </w:rPr>
  </w:style>
  <w:style w:type="paragraph" w:customStyle="1" w:styleId="1026">
    <w:name w:val="样式 标题 2 + 段前: 1 行 段后: 1 行"/>
    <w:basedOn w:val="6"/>
    <w:qFormat/>
    <w:uiPriority w:val="0"/>
    <w:pPr>
      <w:numPr>
        <w:ilvl w:val="0"/>
        <w:numId w:val="0"/>
      </w:numPr>
      <w:adjustRightInd/>
      <w:spacing w:beforeLines="50" w:afterLines="50"/>
      <w:jc w:val="both"/>
      <w:textAlignment w:val="auto"/>
    </w:pPr>
    <w:rPr>
      <w:rFonts w:ascii="Courier New" w:hAnsi="Courier New" w:cs="Courier New"/>
      <w:kern w:val="2"/>
    </w:rPr>
  </w:style>
  <w:style w:type="paragraph" w:customStyle="1" w:styleId="1027">
    <w:name w:val="样式 标题 2 + 段前: 0.5 行 段后: 0.5 行"/>
    <w:basedOn w:val="6"/>
    <w:qFormat/>
    <w:uiPriority w:val="0"/>
    <w:pPr>
      <w:numPr>
        <w:ilvl w:val="0"/>
        <w:numId w:val="0"/>
      </w:numPr>
      <w:tabs>
        <w:tab w:val="left" w:pos="567"/>
      </w:tabs>
      <w:adjustRightInd/>
      <w:spacing w:beforeLines="50" w:afterLines="50" w:line="240" w:lineRule="auto"/>
      <w:ind w:left="567" w:hanging="567"/>
      <w:jc w:val="both"/>
      <w:textAlignment w:val="auto"/>
    </w:pPr>
    <w:rPr>
      <w:rFonts w:ascii="华文中宋" w:hAnsi="华文中宋" w:eastAsia="Arial Unicode MS" w:cs="Courier New"/>
      <w:kern w:val="2"/>
      <w:sz w:val="30"/>
    </w:rPr>
  </w:style>
  <w:style w:type="paragraph" w:customStyle="1" w:styleId="1028">
    <w:name w:val="Char Char4 Char Char Char Char"/>
    <w:basedOn w:val="1"/>
    <w:qFormat/>
    <w:uiPriority w:val="0"/>
    <w:pPr>
      <w:spacing w:line="360" w:lineRule="auto"/>
      <w:ind w:firstLine="200" w:firstLineChars="200"/>
    </w:pPr>
    <w:rPr>
      <w:rFonts w:ascii="仿宋_GB2312" w:hAnsi="仿宋_GB2312" w:eastAsia="仿宋_GB2312" w:cs="Courier New"/>
      <w:sz w:val="24"/>
      <w:szCs w:val="20"/>
    </w:rPr>
  </w:style>
  <w:style w:type="paragraph" w:customStyle="1" w:styleId="1029">
    <w:name w:val="______ 2"/>
    <w:basedOn w:val="1"/>
    <w:qFormat/>
    <w:uiPriority w:val="0"/>
    <w:pPr>
      <w:widowControl/>
      <w:overflowPunct w:val="0"/>
      <w:autoSpaceDE w:val="0"/>
      <w:autoSpaceDN w:val="0"/>
      <w:adjustRightInd w:val="0"/>
      <w:spacing w:line="240" w:lineRule="atLeast"/>
      <w:ind w:firstLine="720"/>
      <w:textAlignment w:val="baseline"/>
    </w:pPr>
    <w:rPr>
      <w:rFonts w:ascii="Courier New" w:hAnsi="Courier New" w:eastAsia="仿宋_GB2312" w:cs="Courier New"/>
      <w:color w:val="000000"/>
      <w:kern w:val="0"/>
      <w:sz w:val="22"/>
      <w:szCs w:val="20"/>
      <w:lang w:eastAsia="en-US"/>
    </w:rPr>
  </w:style>
  <w:style w:type="paragraph" w:customStyle="1" w:styleId="1030">
    <w:name w:val="样式 正文（首行缩进两字） + 首行缩进:  2 字符"/>
    <w:basedOn w:val="2"/>
    <w:qFormat/>
    <w:uiPriority w:val="0"/>
    <w:pPr>
      <w:ind w:firstLine="560" w:firstLineChars="200"/>
    </w:pPr>
    <w:rPr>
      <w:rFonts w:ascii="Courier New" w:hAnsi="Courier New" w:cs="Courier New"/>
      <w:sz w:val="28"/>
    </w:rPr>
  </w:style>
  <w:style w:type="paragraph" w:customStyle="1" w:styleId="1031">
    <w:name w:val="样式 样式 样式 首行缩进:  2 字符 + 首行缩进:  2 字符 行距: 1.5 倍行距 + 首行缩进:  2 字符"/>
    <w:basedOn w:val="1"/>
    <w:qFormat/>
    <w:uiPriority w:val="0"/>
    <w:pPr>
      <w:widowControl/>
      <w:spacing w:line="360" w:lineRule="auto"/>
      <w:ind w:firstLine="200" w:firstLineChars="200"/>
      <w:jc w:val="left"/>
    </w:pPr>
    <w:rPr>
      <w:rFonts w:ascii="Arial" w:hAnsi="仿宋_GB2312" w:eastAsia="仿宋_GB2312" w:cs="Courier New"/>
      <w:kern w:val="0"/>
      <w:sz w:val="24"/>
      <w:szCs w:val="20"/>
    </w:rPr>
  </w:style>
  <w:style w:type="paragraph" w:customStyle="1" w:styleId="1032">
    <w:name w:val="样式 正文首行缩进 2 + 首行缩进:  2 字符 段前: 0.5 行 段后: 0.5 行"/>
    <w:basedOn w:val="88"/>
    <w:qFormat/>
    <w:uiPriority w:val="0"/>
    <w:pPr>
      <w:spacing w:beforeLines="50" w:afterLines="50" w:line="360" w:lineRule="auto"/>
      <w:ind w:left="0" w:leftChars="0" w:firstLine="480"/>
    </w:pPr>
    <w:rPr>
      <w:sz w:val="24"/>
      <w:szCs w:val="20"/>
    </w:rPr>
  </w:style>
  <w:style w:type="paragraph" w:customStyle="1" w:styleId="1033">
    <w:name w:val="样式 标题 3 + 行距: 单倍行距"/>
    <w:basedOn w:val="7"/>
    <w:qFormat/>
    <w:uiPriority w:val="0"/>
    <w:pPr>
      <w:numPr>
        <w:ilvl w:val="0"/>
        <w:numId w:val="0"/>
      </w:numPr>
      <w:tabs>
        <w:tab w:val="left" w:pos="1080"/>
      </w:tabs>
      <w:adjustRightInd/>
      <w:spacing w:before="0" w:line="240" w:lineRule="auto"/>
      <w:ind w:firstLine="200"/>
      <w:jc w:val="both"/>
      <w:textAlignment w:val="auto"/>
    </w:pPr>
    <w:rPr>
      <w:rFonts w:ascii="仿宋_GB2312" w:hAnsi="Courier New" w:eastAsia="Arial Unicode MS" w:cs="Courier New"/>
      <w:b w:val="0"/>
      <w:kern w:val="2"/>
      <w:sz w:val="24"/>
    </w:rPr>
  </w:style>
  <w:style w:type="paragraph" w:customStyle="1" w:styleId="1034">
    <w:name w:val="Char Char Char Char11"/>
    <w:basedOn w:val="1"/>
    <w:qFormat/>
    <w:uiPriority w:val="0"/>
    <w:rPr>
      <w:rFonts w:ascii="Courier New" w:hAnsi="Courier New" w:eastAsia="仿宋_GB2312" w:cs="Courier New"/>
      <w:szCs w:val="21"/>
    </w:rPr>
  </w:style>
  <w:style w:type="paragraph" w:customStyle="1" w:styleId="1035">
    <w:name w:val="Char Char Char Char2"/>
    <w:basedOn w:val="1"/>
    <w:qFormat/>
    <w:uiPriority w:val="0"/>
    <w:rPr>
      <w:rFonts w:ascii="Courier New" w:hAnsi="Courier New" w:eastAsia="仿宋_GB2312" w:cs="Courier New"/>
      <w:szCs w:val="21"/>
    </w:rPr>
  </w:style>
  <w:style w:type="paragraph" w:customStyle="1" w:styleId="1036">
    <w:name w:val="Char Char Char Char Char Char1"/>
    <w:basedOn w:val="1"/>
    <w:qFormat/>
    <w:uiPriority w:val="0"/>
    <w:rPr>
      <w:rFonts w:ascii="Courier New" w:hAnsi="Courier New" w:eastAsia="仿宋_GB2312" w:cs="Courier New"/>
      <w:sz w:val="24"/>
    </w:rPr>
  </w:style>
  <w:style w:type="paragraph" w:customStyle="1" w:styleId="1037">
    <w:name w:val="正文凌敏"/>
    <w:basedOn w:val="35"/>
    <w:qFormat/>
    <w:uiPriority w:val="0"/>
    <w:pPr>
      <w:ind w:firstLine="200" w:firstLineChars="200"/>
      <w:jc w:val="both"/>
    </w:pPr>
    <w:rPr>
      <w:rFonts w:ascii="Courier New" w:hAnsi="Courier New" w:eastAsia="仿宋_GB2312" w:cs="Courier New"/>
      <w:sz w:val="28"/>
    </w:rPr>
  </w:style>
  <w:style w:type="paragraph" w:customStyle="1" w:styleId="1038">
    <w:name w:val="默认段落字体 Para Char Char Char Char Char Char Char Char Char Char Char Char Char"/>
    <w:basedOn w:val="27"/>
    <w:qFormat/>
    <w:uiPriority w:val="0"/>
    <w:rPr>
      <w:spacing w:val="-20"/>
      <w:w w:val="80"/>
      <w:szCs w:val="20"/>
    </w:rPr>
  </w:style>
  <w:style w:type="paragraph" w:customStyle="1" w:styleId="1039">
    <w:name w:val="00正文"/>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20" w:firstLineChars="200"/>
    </w:pPr>
    <w:rPr>
      <w:rFonts w:ascii="Courier New" w:hAnsi="Courier New" w:eastAsia="仿宋_GB2312" w:cs="Courier New"/>
      <w:sz w:val="28"/>
      <w:szCs w:val="20"/>
    </w:rPr>
  </w:style>
  <w:style w:type="paragraph" w:customStyle="1" w:styleId="1040">
    <w:name w:val="表内"/>
    <w:basedOn w:val="1"/>
    <w:qFormat/>
    <w:uiPriority w:val="0"/>
    <w:pPr>
      <w:adjustRightInd w:val="0"/>
      <w:spacing w:line="240" w:lineRule="exact"/>
      <w:jc w:val="center"/>
      <w:textAlignment w:val="baseline"/>
    </w:pPr>
    <w:rPr>
      <w:rFonts w:ascii="Courier New" w:hAnsi="Courier New" w:eastAsia="仿宋_GB2312" w:cs="Courier New"/>
      <w:szCs w:val="20"/>
    </w:rPr>
  </w:style>
  <w:style w:type="paragraph" w:customStyle="1" w:styleId="1041">
    <w:name w:val="黄桥正文"/>
    <w:basedOn w:val="1"/>
    <w:qFormat/>
    <w:uiPriority w:val="0"/>
    <w:pPr>
      <w:widowControl/>
      <w:spacing w:line="360" w:lineRule="auto"/>
      <w:ind w:firstLine="200" w:firstLineChars="200"/>
    </w:pPr>
    <w:rPr>
      <w:rFonts w:ascii="Courier New" w:hAnsi="Courier New" w:eastAsia="仿宋_GB2312" w:cs="仿宋_GB2312"/>
      <w:kern w:val="0"/>
      <w:sz w:val="24"/>
    </w:rPr>
  </w:style>
  <w:style w:type="character" w:customStyle="1" w:styleId="1042">
    <w:name w:val="规范正文 Char"/>
    <w:link w:val="1043"/>
    <w:qFormat/>
    <w:uiPriority w:val="0"/>
    <w:rPr>
      <w:rFonts w:eastAsia="仿宋_GB2312"/>
      <w:kern w:val="2"/>
      <w:sz w:val="24"/>
      <w:lang w:val="en-US" w:eastAsia="zh-CN" w:bidi="ar-SA"/>
    </w:rPr>
  </w:style>
  <w:style w:type="paragraph" w:customStyle="1" w:styleId="1043">
    <w:name w:val="规范正文"/>
    <w:basedOn w:val="1"/>
    <w:link w:val="1042"/>
    <w:qFormat/>
    <w:uiPriority w:val="0"/>
    <w:pPr>
      <w:spacing w:line="360" w:lineRule="auto"/>
      <w:ind w:firstLine="480" w:firstLineChars="200"/>
    </w:pPr>
    <w:rPr>
      <w:rFonts w:eastAsia="仿宋_GB2312"/>
      <w:sz w:val="24"/>
      <w:szCs w:val="20"/>
    </w:rPr>
  </w:style>
  <w:style w:type="paragraph" w:customStyle="1" w:styleId="1044">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Courier New" w:hAnsi="Courier New" w:eastAsia="仿宋_GB2312" w:cs="Courier New"/>
      <w:kern w:val="0"/>
      <w:sz w:val="28"/>
      <w:szCs w:val="20"/>
    </w:rPr>
  </w:style>
  <w:style w:type="paragraph" w:customStyle="1" w:styleId="1045">
    <w:name w:val="p0"/>
    <w:basedOn w:val="1"/>
    <w:qFormat/>
    <w:uiPriority w:val="0"/>
    <w:pPr>
      <w:widowControl/>
      <w:snapToGrid w:val="0"/>
      <w:spacing w:line="440" w:lineRule="atLeast"/>
    </w:pPr>
    <w:rPr>
      <w:rFonts w:ascii="Courier New" w:hAnsi="Courier New" w:eastAsia="仿宋_GB2312" w:cs="Courier New"/>
      <w:kern w:val="0"/>
      <w:szCs w:val="21"/>
    </w:rPr>
  </w:style>
  <w:style w:type="paragraph" w:customStyle="1" w:styleId="1046">
    <w:name w:val="默认段落字体 Para Char Char"/>
    <w:basedOn w:val="1"/>
    <w:semiHidden/>
    <w:qFormat/>
    <w:uiPriority w:val="0"/>
    <w:rPr>
      <w:rFonts w:ascii="Courier New" w:hAnsi="Courier New" w:eastAsia="仿宋_GB2312" w:cs="Courier New"/>
    </w:rPr>
  </w:style>
  <w:style w:type="character" w:customStyle="1" w:styleId="1047">
    <w:name w:val="报告表正文 Char"/>
    <w:link w:val="513"/>
    <w:qFormat/>
    <w:uiPriority w:val="0"/>
    <w:rPr>
      <w:rFonts w:ascii="Courier New" w:hAnsi="Courier New" w:eastAsia="仿宋_GB2312" w:cs="Courier New"/>
      <w:sz w:val="24"/>
      <w:lang w:val="en-US" w:eastAsia="zh-CN" w:bidi="ar-SA"/>
    </w:rPr>
  </w:style>
  <w:style w:type="paragraph" w:customStyle="1" w:styleId="1048">
    <w:name w:val="wg"/>
    <w:basedOn w:val="1"/>
    <w:qFormat/>
    <w:uiPriority w:val="0"/>
    <w:rPr>
      <w:rFonts w:ascii="Courier New" w:hAnsi="Courier New" w:eastAsia="仿宋_GB2312" w:cs="Courier New"/>
      <w:sz w:val="28"/>
      <w:szCs w:val="20"/>
    </w:rPr>
  </w:style>
  <w:style w:type="paragraph" w:customStyle="1" w:styleId="1049">
    <w:name w:val="样式 注释标题kk－图表说明 + 黑色 段前: 0.5 行"/>
    <w:basedOn w:val="18"/>
    <w:qFormat/>
    <w:uiPriority w:val="0"/>
    <w:pPr>
      <w:widowControl/>
      <w:spacing w:beforeLines="50" w:line="100" w:lineRule="atLeast"/>
    </w:pPr>
    <w:rPr>
      <w:rFonts w:eastAsia="Arial Unicode MS" w:cs="仿宋_GB2312"/>
      <w:color w:val="000000"/>
      <w:kern w:val="0"/>
      <w:szCs w:val="20"/>
    </w:rPr>
  </w:style>
  <w:style w:type="paragraph" w:customStyle="1" w:styleId="1050">
    <w:name w:val="表格文字kk"/>
    <w:basedOn w:val="1"/>
    <w:qFormat/>
    <w:uiPriority w:val="0"/>
    <w:pPr>
      <w:adjustRightInd w:val="0"/>
      <w:spacing w:before="60" w:line="240" w:lineRule="atLeast"/>
      <w:jc w:val="center"/>
      <w:textAlignment w:val="baseline"/>
    </w:pPr>
    <w:rPr>
      <w:rFonts w:ascii="仿宋_GB2312" w:hAnsi="Courier New" w:eastAsia="仿宋_GB2312" w:cs="Courier New"/>
      <w:kern w:val="0"/>
      <w:szCs w:val="20"/>
    </w:rPr>
  </w:style>
  <w:style w:type="paragraph" w:customStyle="1" w:styleId="1051">
    <w:name w:val="文本框"/>
    <w:basedOn w:val="1"/>
    <w:qFormat/>
    <w:uiPriority w:val="0"/>
    <w:pPr>
      <w:adjustRightInd w:val="0"/>
      <w:snapToGrid w:val="0"/>
      <w:spacing w:line="300" w:lineRule="exact"/>
      <w:jc w:val="center"/>
    </w:pPr>
    <w:rPr>
      <w:rFonts w:ascii="Courier New" w:hAnsi="Courier New" w:eastAsia="仿宋_GB2312" w:cs="Courier New"/>
      <w:sz w:val="24"/>
    </w:rPr>
  </w:style>
  <w:style w:type="character" w:customStyle="1" w:styleId="1052">
    <w:name w:val="style31"/>
    <w:qFormat/>
    <w:uiPriority w:val="0"/>
    <w:rPr>
      <w:color w:val="006600"/>
    </w:rPr>
  </w:style>
  <w:style w:type="character" w:customStyle="1" w:styleId="1053">
    <w:name w:val="样式9 Char"/>
    <w:link w:val="223"/>
    <w:qFormat/>
    <w:uiPriority w:val="0"/>
    <w:rPr>
      <w:rFonts w:ascii="Courier New" w:hAnsi="Courier New" w:eastAsia="仿宋_GB2312" w:cs="Courier New"/>
      <w:b/>
      <w:kern w:val="2"/>
      <w:sz w:val="24"/>
      <w:lang w:val="en-US" w:eastAsia="zh-CN" w:bidi="ar-SA"/>
    </w:rPr>
  </w:style>
  <w:style w:type="character" w:customStyle="1" w:styleId="1054">
    <w:name w:val="样式1 Char1"/>
    <w:link w:val="153"/>
    <w:qFormat/>
    <w:uiPriority w:val="0"/>
    <w:rPr>
      <w:rFonts w:ascii="仿宋_GB2312" w:hAnsi="Courier New" w:eastAsia="仿宋_GB2312" w:cs="Courier New"/>
      <w:kern w:val="2"/>
      <w:sz w:val="21"/>
      <w:lang w:val="en-US" w:eastAsia="zh-CN" w:bidi="ar-SA"/>
    </w:rPr>
  </w:style>
  <w:style w:type="paragraph" w:customStyle="1" w:styleId="1055">
    <w:name w:val="样式8"/>
    <w:basedOn w:val="153"/>
    <w:qFormat/>
    <w:uiPriority w:val="0"/>
    <w:pPr>
      <w:snapToGrid/>
      <w:spacing w:before="120" w:after="120" w:line="360" w:lineRule="auto"/>
      <w:ind w:left="420" w:firstLine="200" w:firstLineChars="200"/>
    </w:pPr>
    <w:rPr>
      <w:rFonts w:hAnsi="仿宋_GB2312"/>
      <w:bCs/>
      <w:color w:val="000000"/>
      <w:spacing w:val="20"/>
      <w:kern w:val="0"/>
      <w:sz w:val="24"/>
      <w:szCs w:val="24"/>
    </w:rPr>
  </w:style>
  <w:style w:type="paragraph" w:customStyle="1" w:styleId="1056">
    <w:name w:val="样式5 Char"/>
    <w:basedOn w:val="1"/>
    <w:qFormat/>
    <w:uiPriority w:val="0"/>
    <w:pPr>
      <w:spacing w:line="400" w:lineRule="exact"/>
    </w:pPr>
    <w:rPr>
      <w:rFonts w:ascii="Courier New" w:hAnsi="Courier New" w:eastAsia="仿宋_GB2312" w:cs="Courier New"/>
      <w:color w:val="000000"/>
      <w:spacing w:val="20"/>
      <w:sz w:val="24"/>
      <w:szCs w:val="20"/>
    </w:rPr>
  </w:style>
  <w:style w:type="character" w:customStyle="1" w:styleId="1057">
    <w:name w:val="t141"/>
    <w:qFormat/>
    <w:uiPriority w:val="0"/>
    <w:rPr>
      <w:sz w:val="21"/>
      <w:szCs w:val="21"/>
    </w:rPr>
  </w:style>
  <w:style w:type="character" w:customStyle="1" w:styleId="1058">
    <w:name w:val="c131"/>
    <w:qFormat/>
    <w:uiPriority w:val="0"/>
    <w:rPr>
      <w:color w:val="FFFFFF"/>
      <w:sz w:val="18"/>
      <w:szCs w:val="18"/>
    </w:rPr>
  </w:style>
  <w:style w:type="character" w:customStyle="1" w:styleId="1059">
    <w:name w:val="text-s1"/>
    <w:qFormat/>
    <w:uiPriority w:val="0"/>
    <w:rPr>
      <w:sz w:val="18"/>
      <w:szCs w:val="18"/>
    </w:rPr>
  </w:style>
  <w:style w:type="paragraph" w:customStyle="1" w:styleId="1060">
    <w:name w:val="正文楷体"/>
    <w:basedOn w:val="1"/>
    <w:qFormat/>
    <w:uiPriority w:val="0"/>
    <w:rPr>
      <w:rFonts w:ascii="Courier New" w:hAnsi="Courier New" w:eastAsia="华文楷体" w:cs="Courier New"/>
    </w:rPr>
  </w:style>
  <w:style w:type="paragraph" w:customStyle="1" w:styleId="1061">
    <w:name w:val="样式 标题 3 + 小四"/>
    <w:basedOn w:val="8"/>
    <w:qFormat/>
    <w:uiPriority w:val="0"/>
    <w:pPr>
      <w:numPr>
        <w:ilvl w:val="0"/>
        <w:numId w:val="0"/>
      </w:numPr>
      <w:adjustRightInd/>
      <w:spacing w:beforeLines="50" w:afterLines="50" w:line="480" w:lineRule="auto"/>
      <w:textAlignment w:val="auto"/>
    </w:pPr>
    <w:rPr>
      <w:rFonts w:ascii="仿宋_GB2312" w:hAnsi="仿宋_GB2312" w:eastAsia="仿宋_GB2312" w:cs="Courier New"/>
      <w:bCs/>
      <w:kern w:val="2"/>
      <w:sz w:val="24"/>
      <w:szCs w:val="24"/>
    </w:rPr>
  </w:style>
  <w:style w:type="character" w:customStyle="1" w:styleId="1062">
    <w:name w:val="样式 标题 3 + 小四 Char"/>
    <w:qFormat/>
    <w:uiPriority w:val="0"/>
    <w:rPr>
      <w:rFonts w:eastAsia="Arial Unicode MS"/>
      <w:b/>
      <w:bCs/>
      <w:kern w:val="2"/>
      <w:sz w:val="24"/>
      <w:szCs w:val="24"/>
      <w:lang w:val="en-US" w:eastAsia="zh-CN" w:bidi="ar-SA"/>
    </w:rPr>
  </w:style>
  <w:style w:type="paragraph" w:customStyle="1" w:styleId="1063">
    <w:name w:val="kk"/>
    <w:basedOn w:val="4"/>
    <w:qFormat/>
    <w:uiPriority w:val="0"/>
    <w:pPr>
      <w:widowControl/>
      <w:autoSpaceDE/>
      <w:autoSpaceDN/>
      <w:adjustRightInd/>
      <w:spacing w:line="500" w:lineRule="exact"/>
      <w:ind w:firstLine="535" w:firstLineChars="191"/>
      <w:textAlignment w:val="auto"/>
    </w:pPr>
    <w:rPr>
      <w:rFonts w:ascii="仿宋_GB2312" w:hAnsi="仿宋_GB2312" w:eastAsia="仿宋_GB2312" w:cs="仿宋_GB2312"/>
      <w:color w:val="auto"/>
      <w:kern w:val="2"/>
    </w:rPr>
  </w:style>
  <w:style w:type="paragraph" w:customStyle="1" w:styleId="1064">
    <w:name w:val="小Ꮄ"/>
    <w:basedOn w:val="1"/>
    <w:qFormat/>
    <w:uiPriority w:val="0"/>
    <w:pPr>
      <w:spacing w:before="60" w:after="60" w:line="360" w:lineRule="auto"/>
    </w:pPr>
    <w:rPr>
      <w:rFonts w:ascii="Courier New" w:hAnsi="Courier New" w:eastAsia="仿宋_GB2312" w:cs="Courier New"/>
      <w:szCs w:val="21"/>
    </w:rPr>
  </w:style>
  <w:style w:type="character" w:customStyle="1" w:styleId="1065">
    <w:name w:val="style441"/>
    <w:qFormat/>
    <w:uiPriority w:val="0"/>
    <w:rPr>
      <w:sz w:val="18"/>
      <w:szCs w:val="18"/>
    </w:rPr>
  </w:style>
  <w:style w:type="paragraph" w:customStyle="1" w:styleId="1066">
    <w:name w:val="新正文"/>
    <w:basedOn w:val="1"/>
    <w:qFormat/>
    <w:uiPriority w:val="0"/>
    <w:pPr>
      <w:spacing w:line="480" w:lineRule="exact"/>
      <w:ind w:firstLine="482"/>
    </w:pPr>
    <w:rPr>
      <w:rFonts w:hint="eastAsia" w:hAnsi="Courier New" w:cs="Courier New"/>
      <w:bCs/>
      <w:kern w:val="0"/>
      <w:sz w:val="28"/>
      <w:szCs w:val="20"/>
    </w:rPr>
  </w:style>
  <w:style w:type="character" w:customStyle="1" w:styleId="1067">
    <w:name w:val="nava61"/>
    <w:qFormat/>
    <w:uiPriority w:val="0"/>
    <w:rPr>
      <w:color w:val="000000"/>
      <w:sz w:val="21"/>
      <w:szCs w:val="21"/>
      <w:u w:val="none"/>
    </w:rPr>
  </w:style>
  <w:style w:type="paragraph" w:customStyle="1" w:styleId="1068">
    <w:name w:val="样式17"/>
    <w:basedOn w:val="220"/>
    <w:qFormat/>
    <w:uiPriority w:val="0"/>
    <w:pPr>
      <w:spacing w:before="0" w:after="0"/>
      <w:outlineLvl w:val="0"/>
    </w:pPr>
    <w:rPr>
      <w:rFonts w:ascii="仿宋_GB2312" w:eastAsia="仿宋_GB2312"/>
      <w:b w:val="0"/>
      <w:color w:val="000000"/>
      <w:sz w:val="24"/>
      <w:szCs w:val="24"/>
    </w:rPr>
  </w:style>
  <w:style w:type="character" w:customStyle="1" w:styleId="1069">
    <w:name w:val="hangju1"/>
    <w:basedOn w:val="134"/>
    <w:qFormat/>
    <w:uiPriority w:val="0"/>
  </w:style>
  <w:style w:type="paragraph" w:customStyle="1" w:styleId="1070">
    <w:name w:val="附录五级条标题"/>
    <w:basedOn w:val="710"/>
    <w:next w:val="1"/>
    <w:qFormat/>
    <w:uiPriority w:val="0"/>
    <w:pPr>
      <w:tabs>
        <w:tab w:val="left" w:pos="435"/>
        <w:tab w:val="clear" w:pos="960"/>
      </w:tabs>
      <w:ind w:left="435" w:hanging="165"/>
      <w:outlineLvl w:val="6"/>
    </w:pPr>
  </w:style>
  <w:style w:type="paragraph" w:customStyle="1" w:styleId="1071">
    <w:name w:val="列项·"/>
    <w:qFormat/>
    <w:uiPriority w:val="0"/>
    <w:pPr>
      <w:numPr>
        <w:ilvl w:val="0"/>
        <w:numId w:val="14"/>
      </w:numPr>
      <w:tabs>
        <w:tab w:val="left" w:pos="840"/>
        <w:tab w:val="clear" w:pos="1140"/>
      </w:tabs>
      <w:ind w:left="840" w:leftChars="200" w:hanging="420" w:hangingChars="200"/>
      <w:jc w:val="both"/>
    </w:pPr>
    <w:rPr>
      <w:rFonts w:ascii="仿宋_GB2312" w:hAnsi="Courier New" w:eastAsia="仿宋_GB2312" w:cs="Courier New"/>
      <w:sz w:val="21"/>
      <w:lang w:val="en-US" w:eastAsia="zh-CN" w:bidi="ar-SA"/>
    </w:rPr>
  </w:style>
  <w:style w:type="paragraph" w:customStyle="1" w:styleId="1072">
    <w:name w:val="Item1"/>
    <w:basedOn w:val="1"/>
    <w:qFormat/>
    <w:uiPriority w:val="0"/>
    <w:pPr>
      <w:tabs>
        <w:tab w:val="left" w:pos="1080"/>
      </w:tabs>
    </w:pPr>
    <w:rPr>
      <w:rFonts w:ascii="Courier New" w:hAnsi="Courier New" w:eastAsia="仿宋_GB2312" w:cs="Courier New"/>
    </w:rPr>
  </w:style>
  <w:style w:type="paragraph" w:customStyle="1" w:styleId="1073">
    <w:name w:val="框图文字1"/>
    <w:basedOn w:val="1"/>
    <w:qFormat/>
    <w:uiPriority w:val="0"/>
    <w:pPr>
      <w:adjustRightInd w:val="0"/>
      <w:snapToGrid w:val="0"/>
      <w:spacing w:beforeLines="25"/>
      <w:jc w:val="center"/>
    </w:pPr>
    <w:rPr>
      <w:rFonts w:ascii="Courier New" w:hAnsi="Courier New" w:eastAsia="仿宋_GB2312" w:cs="Courier New"/>
      <w:sz w:val="18"/>
    </w:rPr>
  </w:style>
  <w:style w:type="paragraph" w:customStyle="1" w:styleId="1074">
    <w:name w:val="hangju"/>
    <w:basedOn w:val="1"/>
    <w:qFormat/>
    <w:uiPriority w:val="0"/>
    <w:pPr>
      <w:widowControl/>
      <w:spacing w:before="100" w:beforeAutospacing="1" w:after="100" w:afterAutospacing="1" w:line="400" w:lineRule="atLeast"/>
      <w:jc w:val="left"/>
    </w:pPr>
    <w:rPr>
      <w:rFonts w:ascii="仿宋_GB2312" w:hAnsi="仿宋_GB2312" w:eastAsia="仿宋_GB2312" w:cs="Courier New"/>
      <w:kern w:val="0"/>
      <w:sz w:val="24"/>
    </w:rPr>
  </w:style>
  <w:style w:type="paragraph" w:customStyle="1" w:styleId="1075">
    <w:name w:val="样式 样式 左侧:  2 字符 段后: 0.5 行 + 首行缩进:  2 字符 段后: 0.5 行"/>
    <w:basedOn w:val="1"/>
    <w:qFormat/>
    <w:uiPriority w:val="0"/>
    <w:pPr>
      <w:spacing w:afterLines="50"/>
      <w:ind w:firstLine="560" w:firstLineChars="200"/>
    </w:pPr>
    <w:rPr>
      <w:rFonts w:ascii="Courier New" w:hAnsi="Courier New" w:cs="Courier New"/>
      <w:sz w:val="28"/>
      <w:szCs w:val="28"/>
    </w:rPr>
  </w:style>
  <w:style w:type="paragraph" w:customStyle="1" w:styleId="1076">
    <w:name w:val="Char1 Char Char Char1 Char Char Char Char Char Char Char Char Char Char Char Char"/>
    <w:basedOn w:val="1"/>
    <w:qFormat/>
    <w:uiPriority w:val="0"/>
    <w:rPr>
      <w:rFonts w:ascii="Courier New" w:hAnsi="Courier New" w:eastAsia="仿宋_GB2312" w:cs="Courier New"/>
      <w:sz w:val="24"/>
    </w:rPr>
  </w:style>
  <w:style w:type="paragraph" w:customStyle="1" w:styleId="1077">
    <w:name w:val="正文-第几条"/>
    <w:basedOn w:val="1"/>
    <w:qFormat/>
    <w:uiPriority w:val="0"/>
    <w:pPr>
      <w:tabs>
        <w:tab w:val="left" w:pos="1021"/>
      </w:tabs>
      <w:spacing w:line="360" w:lineRule="auto"/>
      <w:ind w:left="1021" w:hanging="1021"/>
    </w:pPr>
    <w:rPr>
      <w:rFonts w:ascii="Courier New" w:hAnsi="Courier New" w:eastAsia="仿宋_GB2312" w:cs="Courier New"/>
      <w:sz w:val="24"/>
    </w:rPr>
  </w:style>
  <w:style w:type="paragraph" w:customStyle="1" w:styleId="1078">
    <w:name w:val="ourfont3"/>
    <w:basedOn w:val="1"/>
    <w:qFormat/>
    <w:uiPriority w:val="0"/>
    <w:pPr>
      <w:widowControl/>
      <w:spacing w:before="100" w:beforeAutospacing="1" w:after="100" w:afterAutospacing="1"/>
      <w:jc w:val="left"/>
    </w:pPr>
    <w:rPr>
      <w:rFonts w:ascii="仿宋_GB2312" w:hAnsi="仿宋_GB2312" w:eastAsia="仿宋_GB2312" w:cs="仿宋_GB2312"/>
      <w:kern w:val="0"/>
      <w:sz w:val="24"/>
    </w:rPr>
  </w:style>
  <w:style w:type="paragraph" w:customStyle="1" w:styleId="1079">
    <w:name w:val="indent"/>
    <w:basedOn w:val="1"/>
    <w:qFormat/>
    <w:uiPriority w:val="0"/>
    <w:pPr>
      <w:widowControl/>
      <w:spacing w:before="100" w:beforeAutospacing="1" w:after="100" w:afterAutospacing="1"/>
      <w:ind w:firstLine="525"/>
      <w:jc w:val="left"/>
    </w:pPr>
    <w:rPr>
      <w:rFonts w:ascii="仿宋_GB2312" w:hAnsi="仿宋_GB2312" w:eastAsia="仿宋_GB2312" w:cs="仿宋_GB2312"/>
      <w:kern w:val="0"/>
      <w:sz w:val="24"/>
    </w:rPr>
  </w:style>
  <w:style w:type="paragraph" w:customStyle="1" w:styleId="1080">
    <w:name w:val="小表文居中"/>
    <w:basedOn w:val="1"/>
    <w:qFormat/>
    <w:uiPriority w:val="0"/>
    <w:pPr>
      <w:autoSpaceDE w:val="0"/>
      <w:autoSpaceDN w:val="0"/>
      <w:adjustRightInd w:val="0"/>
      <w:spacing w:before="20"/>
      <w:jc w:val="center"/>
      <w:textAlignment w:val="baseline"/>
    </w:pPr>
    <w:rPr>
      <w:rFonts w:ascii="Courier New" w:hAnsi="Courier New" w:eastAsia="仿宋_GB2312" w:cs="Courier New"/>
      <w:kern w:val="0"/>
      <w:sz w:val="18"/>
      <w:szCs w:val="20"/>
    </w:rPr>
  </w:style>
  <w:style w:type="paragraph" w:customStyle="1" w:styleId="1081">
    <w:name w:val="文-7"/>
    <w:basedOn w:val="1"/>
    <w:qFormat/>
    <w:uiPriority w:val="0"/>
    <w:pPr>
      <w:tabs>
        <w:tab w:val="right" w:leader="dot" w:pos="8789"/>
      </w:tabs>
      <w:spacing w:before="120"/>
      <w:ind w:left="1701" w:firstLine="482"/>
    </w:pPr>
    <w:rPr>
      <w:rFonts w:ascii="Courier New" w:hAnsi="Courier New" w:eastAsia="仿宋_GB2312" w:cs="Courier New"/>
      <w:sz w:val="24"/>
    </w:rPr>
  </w:style>
  <w:style w:type="paragraph" w:customStyle="1" w:styleId="1082">
    <w:name w:val="Char1 Char Char Char1 Char Char Char"/>
    <w:basedOn w:val="1"/>
    <w:qFormat/>
    <w:uiPriority w:val="0"/>
    <w:rPr>
      <w:rFonts w:ascii="Courier New" w:hAnsi="Courier New" w:eastAsia="仿宋_GB2312" w:cs="Courier New"/>
      <w:sz w:val="24"/>
    </w:rPr>
  </w:style>
  <w:style w:type="paragraph" w:customStyle="1" w:styleId="1083">
    <w:name w:val="表文1"/>
    <w:basedOn w:val="483"/>
    <w:qFormat/>
    <w:uiPriority w:val="0"/>
    <w:pPr>
      <w:spacing w:line="500" w:lineRule="exact"/>
      <w:jc w:val="both"/>
    </w:pPr>
    <w:rPr>
      <w:rFonts w:ascii="楷体_GB2312" w:hAnsi="楷体_GB2312"/>
    </w:rPr>
  </w:style>
  <w:style w:type="paragraph" w:customStyle="1" w:styleId="1084">
    <w:name w:val="正文表标题"/>
    <w:next w:val="7"/>
    <w:qFormat/>
    <w:uiPriority w:val="0"/>
    <w:pPr>
      <w:jc w:val="center"/>
    </w:pPr>
    <w:rPr>
      <w:rFonts w:ascii="Arial Unicode MS" w:hAnsi="Courier New" w:eastAsia="Arial Unicode MS" w:cs="Courier New"/>
      <w:sz w:val="21"/>
      <w:lang w:val="en-US" w:eastAsia="zh-CN" w:bidi="ar-SA"/>
    </w:rPr>
  </w:style>
  <w:style w:type="paragraph" w:customStyle="1" w:styleId="1085">
    <w:name w:val="样式 正文文本 + (中文) 黑体 红色 Char Char Char"/>
    <w:basedOn w:val="1"/>
    <w:link w:val="1086"/>
    <w:qFormat/>
    <w:uiPriority w:val="0"/>
    <w:pPr>
      <w:adjustRightInd w:val="0"/>
      <w:snapToGrid w:val="0"/>
      <w:spacing w:before="60" w:after="60" w:line="264" w:lineRule="auto"/>
      <w:ind w:firstLine="200" w:firstLineChars="200"/>
      <w:textAlignment w:val="baseline"/>
    </w:pPr>
    <w:rPr>
      <w:rFonts w:ascii="Courier New" w:hAnsi="Courier New" w:eastAsia="Arial Unicode MS" w:cs="Courier New"/>
      <w:snapToGrid w:val="0"/>
      <w:color w:val="FF0000"/>
      <w:kern w:val="0"/>
      <w:sz w:val="24"/>
    </w:rPr>
  </w:style>
  <w:style w:type="character" w:customStyle="1" w:styleId="1086">
    <w:name w:val="样式 正文文本 + (中文) 黑体 红色 Char Char Char Char"/>
    <w:link w:val="1085"/>
    <w:qFormat/>
    <w:uiPriority w:val="0"/>
    <w:rPr>
      <w:rFonts w:ascii="Courier New" w:hAnsi="Courier New" w:eastAsia="Arial Unicode MS" w:cs="Courier New"/>
      <w:snapToGrid w:val="0"/>
      <w:color w:val="FF0000"/>
      <w:sz w:val="24"/>
      <w:szCs w:val="24"/>
      <w:lang w:val="en-US" w:eastAsia="zh-CN" w:bidi="ar-SA"/>
    </w:rPr>
  </w:style>
  <w:style w:type="character" w:customStyle="1" w:styleId="1087">
    <w:name w:val="正文 Char"/>
    <w:qFormat/>
    <w:uiPriority w:val="0"/>
    <w:rPr>
      <w:rFonts w:eastAsia="仿宋_GB2312"/>
      <w:color w:val="000000"/>
      <w:kern w:val="2"/>
      <w:sz w:val="28"/>
      <w:lang w:val="en-US" w:eastAsia="zh-CN" w:bidi="ar-SA"/>
    </w:rPr>
  </w:style>
  <w:style w:type="paragraph" w:customStyle="1" w:styleId="1088">
    <w:name w:val="表格内正文"/>
    <w:basedOn w:val="1"/>
    <w:link w:val="1089"/>
    <w:qFormat/>
    <w:uiPriority w:val="0"/>
    <w:pPr>
      <w:spacing w:line="360" w:lineRule="auto"/>
      <w:ind w:firstLine="493"/>
    </w:pPr>
    <w:rPr>
      <w:rFonts w:ascii="仿宋_GB2312" w:hAnsi="仿宋_GB2312" w:eastAsia="仿宋_GB2312" w:cs="Courier New"/>
      <w:spacing w:val="4"/>
      <w:kern w:val="18"/>
      <w:sz w:val="24"/>
    </w:rPr>
  </w:style>
  <w:style w:type="character" w:customStyle="1" w:styleId="1089">
    <w:name w:val="表格内正文 Char1"/>
    <w:link w:val="1088"/>
    <w:qFormat/>
    <w:uiPriority w:val="0"/>
    <w:rPr>
      <w:rFonts w:ascii="仿宋_GB2312" w:hAnsi="仿宋_GB2312" w:eastAsia="仿宋_GB2312" w:cs="Courier New"/>
      <w:spacing w:val="4"/>
      <w:kern w:val="18"/>
      <w:sz w:val="24"/>
      <w:szCs w:val="24"/>
      <w:lang w:val="en-US" w:eastAsia="zh-CN" w:bidi="ar-SA"/>
    </w:rPr>
  </w:style>
  <w:style w:type="paragraph" w:customStyle="1" w:styleId="1090">
    <w:name w:val="post_content_p"/>
    <w:basedOn w:val="1"/>
    <w:qFormat/>
    <w:uiPriority w:val="0"/>
    <w:pPr>
      <w:widowControl/>
      <w:wordWrap w:val="0"/>
      <w:spacing w:before="100" w:beforeAutospacing="1" w:after="100" w:afterAutospacing="1"/>
      <w:jc w:val="left"/>
    </w:pPr>
    <w:rPr>
      <w:rFonts w:ascii="仿宋_GB2312" w:hAnsi="仿宋_GB2312" w:eastAsia="仿宋_GB2312" w:cs="仿宋_GB2312"/>
      <w:kern w:val="0"/>
      <w:sz w:val="24"/>
    </w:rPr>
  </w:style>
  <w:style w:type="character" w:customStyle="1" w:styleId="1091">
    <w:name w:val="Header Char"/>
    <w:semiHidden/>
    <w:qFormat/>
    <w:locked/>
    <w:uiPriority w:val="0"/>
    <w:rPr>
      <w:rFonts w:cs="Courier New"/>
      <w:sz w:val="18"/>
      <w:szCs w:val="18"/>
    </w:rPr>
  </w:style>
  <w:style w:type="character" w:customStyle="1" w:styleId="1092">
    <w:name w:val="Char Char19"/>
    <w:qFormat/>
    <w:uiPriority w:val="0"/>
    <w:rPr>
      <w:sz w:val="24"/>
      <w:lang w:val="en-US" w:eastAsia="zh-CN" w:bidi="ar-SA"/>
    </w:rPr>
  </w:style>
  <w:style w:type="character" w:customStyle="1" w:styleId="1093">
    <w:name w:val="font9black"/>
    <w:basedOn w:val="134"/>
    <w:qFormat/>
    <w:uiPriority w:val="0"/>
  </w:style>
  <w:style w:type="character" w:customStyle="1" w:styleId="1094">
    <w:name w:val="流程图 Char1"/>
    <w:semiHidden/>
    <w:qFormat/>
    <w:uiPriority w:val="0"/>
    <w:rPr>
      <w:rFonts w:eastAsia="仿宋_GB2312"/>
      <w:kern w:val="2"/>
      <w:sz w:val="21"/>
      <w:szCs w:val="24"/>
      <w:lang w:val="en-US" w:eastAsia="zh-CN" w:bidi="ar-SA"/>
    </w:rPr>
  </w:style>
  <w:style w:type="character" w:customStyle="1" w:styleId="1095">
    <w:name w:val="正文文字 2 Char Char1"/>
    <w:qFormat/>
    <w:uiPriority w:val="0"/>
    <w:rPr>
      <w:rFonts w:eastAsia="仿宋_GB2312"/>
      <w:kern w:val="2"/>
      <w:sz w:val="24"/>
      <w:lang w:val="en-US" w:eastAsia="zh-CN" w:bidi="ar-SA"/>
    </w:rPr>
  </w:style>
  <w:style w:type="character" w:customStyle="1" w:styleId="1096">
    <w:name w:val="样式1 Char"/>
    <w:qFormat/>
    <w:uiPriority w:val="0"/>
    <w:rPr>
      <w:rFonts w:ascii="仿宋_GB2312" w:hAnsi="仿宋_GB2312" w:eastAsia="仿宋_GB2312"/>
      <w:bCs/>
      <w:kern w:val="2"/>
      <w:sz w:val="24"/>
      <w:szCs w:val="24"/>
      <w:lang w:val="en-US" w:eastAsia="zh-CN" w:bidi="ar-SA"/>
    </w:rPr>
  </w:style>
  <w:style w:type="paragraph" w:customStyle="1" w:styleId="1097">
    <w:name w:val="ld-正文"/>
    <w:basedOn w:val="1"/>
    <w:qFormat/>
    <w:uiPriority w:val="0"/>
    <w:pPr>
      <w:adjustRightInd w:val="0"/>
      <w:snapToGrid w:val="0"/>
      <w:spacing w:line="360" w:lineRule="auto"/>
      <w:ind w:firstLine="560" w:firstLineChars="200"/>
    </w:pPr>
    <w:rPr>
      <w:rFonts w:ascii="TimesNewRomanPSMT" w:hAnsi="TimesNewRomanPSMT" w:eastAsia="仿宋_GB2312" w:cs="TimesNewRomanPSMT"/>
      <w:sz w:val="28"/>
      <w:szCs w:val="28"/>
    </w:rPr>
  </w:style>
  <w:style w:type="character" w:customStyle="1" w:styleId="1098">
    <w:name w:val="表 头 Char"/>
    <w:link w:val="1099"/>
    <w:qFormat/>
    <w:uiPriority w:val="0"/>
    <w:rPr>
      <w:rFonts w:ascii="华文中宋" w:eastAsia="Arial Unicode MS"/>
      <w:b/>
      <w:color w:val="0000FF"/>
      <w:sz w:val="21"/>
      <w:lang w:val="en-US" w:eastAsia="zh-CN" w:bidi="ar-SA"/>
    </w:rPr>
  </w:style>
  <w:style w:type="paragraph" w:customStyle="1" w:styleId="1099">
    <w:name w:val="表 头"/>
    <w:basedOn w:val="1"/>
    <w:link w:val="1098"/>
    <w:qFormat/>
    <w:uiPriority w:val="0"/>
    <w:pPr>
      <w:tabs>
        <w:tab w:val="left" w:pos="1418"/>
      </w:tabs>
      <w:adjustRightInd w:val="0"/>
      <w:spacing w:before="120" w:after="120" w:line="360" w:lineRule="atLeast"/>
      <w:ind w:right="-120"/>
      <w:jc w:val="center"/>
    </w:pPr>
    <w:rPr>
      <w:rFonts w:ascii="华文中宋" w:eastAsia="Arial Unicode MS"/>
      <w:b/>
      <w:color w:val="0000FF"/>
      <w:kern w:val="0"/>
      <w:szCs w:val="20"/>
    </w:rPr>
  </w:style>
  <w:style w:type="paragraph" w:customStyle="1" w:styleId="1100">
    <w:name w:val="表格（5号）"/>
    <w:basedOn w:val="1"/>
    <w:qFormat/>
    <w:uiPriority w:val="0"/>
    <w:pPr>
      <w:tabs>
        <w:tab w:val="left" w:pos="900"/>
      </w:tabs>
      <w:spacing w:line="240" w:lineRule="exact"/>
      <w:jc w:val="center"/>
    </w:pPr>
    <w:rPr>
      <w:rFonts w:ascii="华文中宋" w:hAnsi="华文中宋" w:eastAsia="仿宋_GB2312" w:cs="Courier New"/>
      <w:color w:val="000000"/>
      <w:kern w:val="18"/>
      <w:sz w:val="18"/>
      <w:szCs w:val="20"/>
    </w:rPr>
  </w:style>
  <w:style w:type="character" w:customStyle="1" w:styleId="1101">
    <w:name w:val="无序号，小四黑常规，空两字 Char"/>
    <w:qFormat/>
    <w:uiPriority w:val="0"/>
    <w:rPr>
      <w:rFonts w:ascii="Courier New" w:hAnsi="Courier New" w:eastAsia="仿宋_GB2312" w:cs="Courier New"/>
      <w:b/>
      <w:bCs/>
      <w:sz w:val="28"/>
      <w:szCs w:val="28"/>
    </w:rPr>
  </w:style>
  <w:style w:type="paragraph" w:customStyle="1" w:styleId="1102">
    <w:name w:val="Char Char Char Char Char Char Char1"/>
    <w:basedOn w:val="1"/>
    <w:qFormat/>
    <w:uiPriority w:val="0"/>
    <w:rPr>
      <w:rFonts w:ascii="Courier New" w:hAnsi="Courier New" w:eastAsia="仿宋_GB2312" w:cs="Courier New"/>
    </w:rPr>
  </w:style>
  <w:style w:type="paragraph" w:customStyle="1" w:styleId="1103">
    <w:name w:val="正文文本 211"/>
    <w:basedOn w:val="1"/>
    <w:qFormat/>
    <w:uiPriority w:val="0"/>
    <w:pPr>
      <w:adjustRightInd w:val="0"/>
      <w:spacing w:line="360" w:lineRule="atLeast"/>
      <w:ind w:left="900"/>
      <w:jc w:val="left"/>
      <w:textAlignment w:val="baseline"/>
    </w:pPr>
    <w:rPr>
      <w:rFonts w:ascii="Courier New" w:hAnsi="Courier New" w:eastAsia="仿宋_GB2312" w:cs="Courier New"/>
      <w:kern w:val="0"/>
      <w:sz w:val="28"/>
      <w:szCs w:val="20"/>
    </w:rPr>
  </w:style>
  <w:style w:type="paragraph" w:customStyle="1" w:styleId="1104">
    <w:name w:val="Char Char Char Char Char Char Char Char Char Char Char Char Char Char Char Char1"/>
    <w:basedOn w:val="1"/>
    <w:qFormat/>
    <w:uiPriority w:val="0"/>
    <w:pPr>
      <w:spacing w:line="360" w:lineRule="auto"/>
      <w:ind w:firstLine="200" w:firstLineChars="200"/>
    </w:pPr>
    <w:rPr>
      <w:rFonts w:ascii="仿宋_GB2312" w:hAnsi="仿宋_GB2312" w:eastAsia="仿宋_GB2312" w:cs="仿宋_GB2312"/>
      <w:sz w:val="24"/>
    </w:rPr>
  </w:style>
  <w:style w:type="paragraph" w:customStyle="1" w:styleId="1105">
    <w:name w:val="Char Char Char Char Char Char Char Char2 Char Char Char Char Char Char Char Char Char Char Char Char Char1"/>
    <w:basedOn w:val="1"/>
    <w:next w:val="1"/>
    <w:semiHidden/>
    <w:qFormat/>
    <w:uiPriority w:val="0"/>
    <w:pPr>
      <w:spacing w:line="336" w:lineRule="auto"/>
      <w:ind w:firstLine="200" w:firstLineChars="200"/>
    </w:pPr>
    <w:rPr>
      <w:rFonts w:ascii="仿宋_GB2312" w:hAnsi="仿宋_GB2312" w:eastAsia="MingLiU" w:cs="仿宋_GB2312"/>
      <w:spacing w:val="4"/>
      <w:sz w:val="24"/>
    </w:rPr>
  </w:style>
  <w:style w:type="paragraph" w:customStyle="1" w:styleId="1106">
    <w:name w:val="Char Char Char Char Char Char Char Char Char Char Char1 Char Char Char Char2 Char1"/>
    <w:basedOn w:val="1"/>
    <w:next w:val="1"/>
    <w:semiHidden/>
    <w:qFormat/>
    <w:uiPriority w:val="0"/>
    <w:pPr>
      <w:spacing w:line="336" w:lineRule="auto"/>
      <w:ind w:firstLine="200" w:firstLineChars="200"/>
    </w:pPr>
    <w:rPr>
      <w:rFonts w:ascii="仿宋_GB2312" w:hAnsi="仿宋_GB2312" w:eastAsia="MingLiU" w:cs="仿宋_GB2312"/>
      <w:spacing w:val="4"/>
      <w:sz w:val="24"/>
    </w:rPr>
  </w:style>
  <w:style w:type="paragraph" w:customStyle="1" w:styleId="1107">
    <w:name w:val="图表目录11"/>
    <w:basedOn w:val="576"/>
    <w:next w:val="576"/>
    <w:qFormat/>
    <w:uiPriority w:val="0"/>
    <w:pPr>
      <w:widowControl w:val="0"/>
      <w:tabs>
        <w:tab w:val="right" w:leader="dot" w:pos="8051"/>
        <w:tab w:val="clear" w:pos="1474"/>
      </w:tabs>
      <w:adjustRightInd w:val="0"/>
      <w:spacing w:line="360" w:lineRule="atLeast"/>
      <w:ind w:left="840" w:hanging="840"/>
      <w:textAlignment w:val="baseline"/>
    </w:pPr>
    <w:rPr>
      <w:rFonts w:ascii="仿宋_GB2312"/>
    </w:rPr>
  </w:style>
  <w:style w:type="paragraph" w:customStyle="1" w:styleId="1108">
    <w:name w:val="尾注文本11"/>
    <w:basedOn w:val="576"/>
    <w:qFormat/>
    <w:uiPriority w:val="0"/>
    <w:pPr>
      <w:widowControl w:val="0"/>
      <w:tabs>
        <w:tab w:val="clear" w:pos="1474"/>
      </w:tabs>
      <w:adjustRightInd w:val="0"/>
      <w:spacing w:line="360" w:lineRule="atLeast"/>
      <w:textAlignment w:val="baseline"/>
    </w:pPr>
    <w:rPr>
      <w:rFonts w:ascii="仿宋_GB2312"/>
      <w:sz w:val="21"/>
    </w:rPr>
  </w:style>
  <w:style w:type="character" w:customStyle="1" w:styleId="1109">
    <w:name w:val="信息标题 Char1"/>
    <w:semiHidden/>
    <w:qFormat/>
    <w:uiPriority w:val="0"/>
    <w:rPr>
      <w:rFonts w:ascii="Arial Narrow" w:hAnsi="Arial Narrow" w:eastAsia="仿宋_GB2312" w:cs="Courier New"/>
      <w:sz w:val="24"/>
      <w:szCs w:val="24"/>
      <w:shd w:val="pct20" w:color="auto" w:fill="auto"/>
    </w:rPr>
  </w:style>
  <w:style w:type="paragraph" w:customStyle="1" w:styleId="1110">
    <w:name w:val="Char Char Char1 Char Char Char Char Char Char Char1"/>
    <w:basedOn w:val="1"/>
    <w:semiHidden/>
    <w:qFormat/>
    <w:uiPriority w:val="0"/>
    <w:rPr>
      <w:rFonts w:ascii="Courier New" w:hAnsi="Courier New" w:eastAsia="仿宋_GB2312" w:cs="Courier New"/>
    </w:rPr>
  </w:style>
  <w:style w:type="paragraph" w:customStyle="1" w:styleId="1111">
    <w:name w:val="正文21"/>
    <w:qFormat/>
    <w:uiPriority w:val="0"/>
    <w:pPr>
      <w:adjustRightInd w:val="0"/>
      <w:snapToGrid w:val="0"/>
      <w:spacing w:line="480" w:lineRule="atLeast"/>
      <w:jc w:val="center"/>
    </w:pPr>
    <w:rPr>
      <w:rFonts w:ascii="仿宋_GB2312" w:hAnsi="Courier New" w:eastAsia="仿宋_GB2312" w:cs="Courier New"/>
      <w:snapToGrid w:val="0"/>
      <w:spacing w:val="6"/>
      <w:sz w:val="21"/>
      <w:lang w:val="en-US" w:eastAsia="zh-CN" w:bidi="ar-SA"/>
    </w:rPr>
  </w:style>
  <w:style w:type="character" w:customStyle="1" w:styleId="1112">
    <w:name w:val="Char Char321"/>
    <w:qFormat/>
    <w:uiPriority w:val="0"/>
    <w:rPr>
      <w:rFonts w:eastAsia="仿宋_GB2312"/>
      <w:kern w:val="2"/>
      <w:sz w:val="18"/>
      <w:szCs w:val="18"/>
      <w:lang w:val="en-US" w:eastAsia="zh-CN" w:bidi="ar-SA"/>
    </w:rPr>
  </w:style>
  <w:style w:type="paragraph" w:customStyle="1" w:styleId="1113">
    <w:name w:val="日期11"/>
    <w:basedOn w:val="1"/>
    <w:next w:val="1"/>
    <w:qFormat/>
    <w:uiPriority w:val="0"/>
    <w:pPr>
      <w:autoSpaceDE w:val="0"/>
      <w:autoSpaceDN w:val="0"/>
      <w:adjustRightInd w:val="0"/>
      <w:textAlignment w:val="baseline"/>
    </w:pPr>
    <w:rPr>
      <w:rFonts w:ascii="Courier New" w:hAnsi="Courier New" w:eastAsia="仿宋_GB2312" w:cs="Courier New"/>
      <w:spacing w:val="5"/>
      <w:kern w:val="0"/>
      <w:sz w:val="24"/>
      <w:szCs w:val="20"/>
    </w:rPr>
  </w:style>
  <w:style w:type="paragraph" w:customStyle="1" w:styleId="1114">
    <w:name w:val="Char31"/>
    <w:basedOn w:val="1"/>
    <w:semiHidden/>
    <w:qFormat/>
    <w:uiPriority w:val="0"/>
    <w:pPr>
      <w:widowControl/>
      <w:spacing w:after="160" w:line="240" w:lineRule="exact"/>
      <w:jc w:val="left"/>
    </w:pPr>
    <w:rPr>
      <w:rFonts w:ascii="华文中宋" w:hAnsi="华文中宋" w:eastAsia="Courier New" w:cs="新宋体"/>
      <w:b/>
      <w:kern w:val="0"/>
      <w:sz w:val="24"/>
      <w:lang w:eastAsia="en-US"/>
    </w:rPr>
  </w:style>
  <w:style w:type="character" w:customStyle="1" w:styleId="1115">
    <w:name w:val="Char Char241"/>
    <w:qFormat/>
    <w:uiPriority w:val="0"/>
    <w:rPr>
      <w:rFonts w:eastAsia="仿宋_GB2312"/>
      <w:kern w:val="10"/>
      <w:sz w:val="24"/>
      <w:lang w:val="en-US" w:eastAsia="zh-CN" w:bidi="ar-SA"/>
    </w:rPr>
  </w:style>
  <w:style w:type="paragraph" w:customStyle="1" w:styleId="1116">
    <w:name w:val="Char Char Char Char Char Char2"/>
    <w:basedOn w:val="1"/>
    <w:qFormat/>
    <w:uiPriority w:val="0"/>
    <w:pPr>
      <w:spacing w:line="300" w:lineRule="auto"/>
      <w:ind w:firstLine="200" w:firstLineChars="200"/>
    </w:pPr>
    <w:rPr>
      <w:rFonts w:ascii="Courier New" w:hAnsi="Courier New" w:eastAsia="仿宋_GB2312" w:cs="仿宋_GB2312"/>
      <w:sz w:val="24"/>
    </w:rPr>
  </w:style>
  <w:style w:type="paragraph" w:customStyle="1" w:styleId="1117">
    <w:name w:val="Char Char Char1 Char Char1"/>
    <w:basedOn w:val="1"/>
    <w:semiHidden/>
    <w:qFormat/>
    <w:uiPriority w:val="0"/>
    <w:pPr>
      <w:spacing w:line="240" w:lineRule="exact"/>
      <w:ind w:firstLine="200" w:firstLineChars="200"/>
    </w:pPr>
    <w:rPr>
      <w:rFonts w:ascii="仿宋_GB2312" w:hAnsi="仿宋_GB2312" w:eastAsia="仿宋_GB2312" w:cs="仿宋_GB2312"/>
      <w:sz w:val="24"/>
    </w:rPr>
  </w:style>
  <w:style w:type="character" w:customStyle="1" w:styleId="1118">
    <w:name w:val="Char Char251"/>
    <w:qFormat/>
    <w:uiPriority w:val="0"/>
    <w:rPr>
      <w:rFonts w:ascii="华文行楷" w:hAnsi="华文行楷" w:eastAsia="宋体" w:cs="Courier New"/>
      <w:kern w:val="2"/>
      <w:sz w:val="21"/>
      <w:szCs w:val="24"/>
      <w:lang w:val="en-US" w:eastAsia="zh-CN" w:bidi="ar-SA"/>
    </w:rPr>
  </w:style>
  <w:style w:type="character" w:customStyle="1" w:styleId="1119">
    <w:name w:val="Char Char261"/>
    <w:qFormat/>
    <w:uiPriority w:val="0"/>
    <w:rPr>
      <w:rFonts w:eastAsia="仿宋_GB2312"/>
      <w:kern w:val="10"/>
      <w:sz w:val="24"/>
      <w:lang w:val="en-US" w:eastAsia="zh-CN" w:bidi="ar-SA"/>
    </w:rPr>
  </w:style>
  <w:style w:type="character" w:customStyle="1" w:styleId="1120">
    <w:name w:val="Char Char271"/>
    <w:semiHidden/>
    <w:qFormat/>
    <w:uiPriority w:val="0"/>
    <w:rPr>
      <w:rFonts w:eastAsia="仿宋_GB2312"/>
      <w:kern w:val="2"/>
      <w:sz w:val="18"/>
      <w:szCs w:val="18"/>
      <w:lang w:val="en-US" w:eastAsia="zh-CN" w:bidi="ar-SA"/>
    </w:rPr>
  </w:style>
  <w:style w:type="character" w:customStyle="1" w:styleId="1121">
    <w:name w:val="Char Char211"/>
    <w:semiHidden/>
    <w:qFormat/>
    <w:uiPriority w:val="0"/>
    <w:rPr>
      <w:rFonts w:ascii="Arial Narrow" w:hAnsi="Arial Narrow" w:eastAsia="仿宋_GB2312" w:cs="Courier New"/>
      <w:b/>
      <w:bCs/>
      <w:i/>
      <w:iCs/>
      <w:color w:val="943634"/>
    </w:rPr>
  </w:style>
  <w:style w:type="character" w:customStyle="1" w:styleId="1122">
    <w:name w:val="Char Char201"/>
    <w:semiHidden/>
    <w:qFormat/>
    <w:uiPriority w:val="0"/>
    <w:rPr>
      <w:rFonts w:ascii="Arial Narrow" w:hAnsi="Arial Narrow" w:eastAsia="仿宋_GB2312" w:cs="Courier New"/>
      <w:b/>
      <w:bCs/>
      <w:i/>
      <w:iCs/>
      <w:color w:val="943634"/>
    </w:rPr>
  </w:style>
  <w:style w:type="character" w:customStyle="1" w:styleId="1123">
    <w:name w:val="Char Char311"/>
    <w:qFormat/>
    <w:uiPriority w:val="0"/>
    <w:rPr>
      <w:rFonts w:eastAsia="仿宋_GB2312"/>
      <w:spacing w:val="10"/>
      <w:sz w:val="24"/>
      <w:szCs w:val="21"/>
      <w:lang w:val="en-US" w:eastAsia="zh-CN" w:bidi="ar-SA"/>
    </w:rPr>
  </w:style>
  <w:style w:type="character" w:customStyle="1" w:styleId="1124">
    <w:name w:val="Char Char281"/>
    <w:semiHidden/>
    <w:qFormat/>
    <w:uiPriority w:val="0"/>
    <w:rPr>
      <w:rFonts w:eastAsia="仿宋_GB2312"/>
      <w:kern w:val="2"/>
      <w:sz w:val="21"/>
      <w:szCs w:val="24"/>
      <w:lang w:val="en-US" w:eastAsia="zh-CN" w:bidi="ar-SA"/>
    </w:rPr>
  </w:style>
  <w:style w:type="paragraph" w:customStyle="1" w:styleId="1125">
    <w:name w:val="Char Char2 Char Char Char Char1"/>
    <w:basedOn w:val="1"/>
    <w:semiHidden/>
    <w:qFormat/>
    <w:uiPriority w:val="0"/>
    <w:rPr>
      <w:rFonts w:ascii="Courier New" w:hAnsi="Courier New" w:eastAsia="仿宋_GB2312" w:cs="Courier New"/>
    </w:rPr>
  </w:style>
  <w:style w:type="character" w:customStyle="1" w:styleId="1126">
    <w:name w:val="Char Char301"/>
    <w:qFormat/>
    <w:uiPriority w:val="0"/>
    <w:rPr>
      <w:rFonts w:ascii="华文行楷" w:hAnsi="华文行楷" w:eastAsia="华文行楷"/>
      <w:kern w:val="2"/>
      <w:sz w:val="24"/>
      <w:szCs w:val="24"/>
      <w:lang w:val="en-US" w:eastAsia="zh-CN" w:bidi="ar-SA"/>
    </w:rPr>
  </w:style>
  <w:style w:type="character" w:customStyle="1" w:styleId="1127">
    <w:name w:val="Char Char221"/>
    <w:qFormat/>
    <w:uiPriority w:val="0"/>
    <w:rPr>
      <w:rFonts w:ascii="ˎ̥" w:hAnsi="ˎ̥" w:eastAsia="仿宋_GB2312" w:cs="ˎ̥"/>
      <w:kern w:val="2"/>
      <w:lang w:val="en-US" w:eastAsia="zh-CN" w:bidi="ar-SA"/>
    </w:rPr>
  </w:style>
  <w:style w:type="paragraph" w:customStyle="1" w:styleId="1128">
    <w:name w:val="Char4 Char Char Char Char Char Char11"/>
    <w:basedOn w:val="1"/>
    <w:qFormat/>
    <w:uiPriority w:val="0"/>
    <w:pPr>
      <w:spacing w:line="360" w:lineRule="auto"/>
      <w:ind w:firstLine="200" w:firstLineChars="200"/>
    </w:pPr>
    <w:rPr>
      <w:rFonts w:ascii="仿宋_GB2312" w:hAnsi="仿宋_GB2312" w:eastAsia="仿宋_GB2312" w:cs="仿宋_GB2312"/>
      <w:sz w:val="24"/>
    </w:rPr>
  </w:style>
  <w:style w:type="character" w:customStyle="1" w:styleId="1129">
    <w:name w:val="Char Char341"/>
    <w:qFormat/>
    <w:uiPriority w:val="0"/>
    <w:rPr>
      <w:rFonts w:ascii="ˎ̥" w:hAnsi="ˎ̥" w:eastAsia="仿宋_GB2312" w:cs="ˎ̥"/>
      <w:b/>
      <w:kern w:val="2"/>
      <w:sz w:val="21"/>
      <w:szCs w:val="20"/>
      <w:lang w:val="en-US" w:eastAsia="zh-CN" w:bidi="ar-SA"/>
    </w:rPr>
  </w:style>
  <w:style w:type="character" w:customStyle="1" w:styleId="1130">
    <w:name w:val="Char Char331"/>
    <w:qFormat/>
    <w:uiPriority w:val="0"/>
    <w:rPr>
      <w:rFonts w:eastAsia="仿宋_GB2312"/>
      <w:sz w:val="24"/>
      <w:lang w:val="en-US" w:eastAsia="zh-CN"/>
    </w:rPr>
  </w:style>
  <w:style w:type="character" w:customStyle="1" w:styleId="1131">
    <w:name w:val="Char Char381"/>
    <w:qFormat/>
    <w:uiPriority w:val="0"/>
    <w:rPr>
      <w:rFonts w:ascii="仿宋_GB2312" w:hAnsi="Courier New" w:cs="Courier New"/>
      <w:color w:val="000000"/>
      <w:kern w:val="28"/>
      <w:sz w:val="28"/>
      <w:szCs w:val="20"/>
      <w:lang w:val="en-US" w:eastAsia="zh-CN" w:bidi="ar-SA"/>
    </w:rPr>
  </w:style>
  <w:style w:type="character" w:customStyle="1" w:styleId="1132">
    <w:name w:val="Char Char441"/>
    <w:qFormat/>
    <w:uiPriority w:val="0"/>
    <w:rPr>
      <w:rFonts w:eastAsia="仿宋_GB2312"/>
      <w:b/>
      <w:sz w:val="28"/>
      <w:lang w:val="en-US" w:eastAsia="zh-CN"/>
    </w:rPr>
  </w:style>
  <w:style w:type="character" w:customStyle="1" w:styleId="1133">
    <w:name w:val="Char Char421"/>
    <w:qFormat/>
    <w:uiPriority w:val="0"/>
    <w:rPr>
      <w:rFonts w:eastAsia="仿宋_GB2312"/>
      <w:b/>
      <w:sz w:val="24"/>
      <w:lang w:val="en-US" w:eastAsia="zh-CN"/>
    </w:rPr>
  </w:style>
  <w:style w:type="character" w:customStyle="1" w:styleId="1134">
    <w:name w:val="Char Char451"/>
    <w:qFormat/>
    <w:uiPriority w:val="0"/>
    <w:rPr>
      <w:rFonts w:eastAsia="仿宋_GB2312"/>
      <w:b/>
      <w:kern w:val="2"/>
      <w:sz w:val="32"/>
      <w:lang w:val="en-US" w:eastAsia="zh-CN"/>
    </w:rPr>
  </w:style>
  <w:style w:type="character" w:customStyle="1" w:styleId="1135">
    <w:name w:val="Char Char401"/>
    <w:qFormat/>
    <w:uiPriority w:val="0"/>
    <w:rPr>
      <w:rFonts w:ascii="华文中宋" w:hAnsi="华文中宋" w:eastAsia="Arial Unicode MS"/>
      <w:sz w:val="24"/>
      <w:lang w:val="en-US" w:eastAsia="zh-CN"/>
    </w:rPr>
  </w:style>
  <w:style w:type="character" w:customStyle="1" w:styleId="1136">
    <w:name w:val="Char Char351"/>
    <w:qFormat/>
    <w:uiPriority w:val="0"/>
    <w:rPr>
      <w:rFonts w:eastAsia="Tms Rmn"/>
      <w:color w:val="000000"/>
      <w:sz w:val="24"/>
      <w:lang w:val="en-US" w:eastAsia="zh-CN"/>
    </w:rPr>
  </w:style>
  <w:style w:type="character" w:customStyle="1" w:styleId="1137">
    <w:name w:val="Char Char431"/>
    <w:qFormat/>
    <w:uiPriority w:val="0"/>
    <w:rPr>
      <w:rFonts w:ascii="华文中宋" w:hAnsi="华文中宋" w:eastAsia="Arial Unicode MS"/>
      <w:b/>
      <w:sz w:val="24"/>
      <w:lang w:val="en-US" w:eastAsia="zh-CN"/>
    </w:rPr>
  </w:style>
  <w:style w:type="character" w:customStyle="1" w:styleId="1138">
    <w:name w:val="Char Char461"/>
    <w:qFormat/>
    <w:uiPriority w:val="0"/>
    <w:rPr>
      <w:rFonts w:eastAsia="仿宋_GB2312"/>
      <w:b/>
      <w:kern w:val="2"/>
      <w:sz w:val="32"/>
      <w:lang w:val="en-US" w:eastAsia="zh-CN"/>
    </w:rPr>
  </w:style>
  <w:style w:type="character" w:customStyle="1" w:styleId="1139">
    <w:name w:val="Char Char361"/>
    <w:qFormat/>
    <w:uiPriority w:val="0"/>
    <w:rPr>
      <w:rFonts w:ascii="华文中宋" w:hAnsi="华文中宋" w:eastAsia="仿宋_GB2312"/>
      <w:b/>
      <w:kern w:val="2"/>
      <w:sz w:val="32"/>
      <w:lang w:val="en-US" w:eastAsia="zh-CN"/>
    </w:rPr>
  </w:style>
  <w:style w:type="character" w:customStyle="1" w:styleId="1140">
    <w:name w:val="Char Char371"/>
    <w:qFormat/>
    <w:uiPriority w:val="0"/>
    <w:rPr>
      <w:rFonts w:eastAsia="仿宋_GB2312"/>
      <w:sz w:val="18"/>
      <w:lang w:val="en-US" w:eastAsia="zh-CN"/>
    </w:rPr>
  </w:style>
  <w:style w:type="character" w:customStyle="1" w:styleId="1141">
    <w:name w:val="Char Char391"/>
    <w:qFormat/>
    <w:uiPriority w:val="0"/>
    <w:rPr>
      <w:rFonts w:eastAsia="仿宋_GB2312"/>
      <w:kern w:val="2"/>
      <w:sz w:val="21"/>
      <w:lang w:val="en-US" w:eastAsia="zh-CN"/>
    </w:rPr>
  </w:style>
  <w:style w:type="character" w:customStyle="1" w:styleId="1142">
    <w:name w:val="Char Char411"/>
    <w:qFormat/>
    <w:uiPriority w:val="0"/>
    <w:rPr>
      <w:rFonts w:ascii="华文中宋" w:hAnsi="华文中宋" w:eastAsia="Arial Unicode MS"/>
      <w:sz w:val="24"/>
      <w:lang w:val="en-US" w:eastAsia="zh-CN"/>
    </w:rPr>
  </w:style>
  <w:style w:type="paragraph" w:customStyle="1" w:styleId="1143">
    <w:name w:val="Char Char4 Char Char Char Char1"/>
    <w:basedOn w:val="1"/>
    <w:qFormat/>
    <w:uiPriority w:val="0"/>
    <w:pPr>
      <w:spacing w:line="360" w:lineRule="auto"/>
      <w:ind w:firstLine="200" w:firstLineChars="200"/>
    </w:pPr>
    <w:rPr>
      <w:rFonts w:ascii="仿宋_GB2312" w:hAnsi="仿宋_GB2312" w:eastAsia="仿宋_GB2312" w:cs="Courier New"/>
      <w:sz w:val="24"/>
      <w:szCs w:val="20"/>
    </w:rPr>
  </w:style>
  <w:style w:type="paragraph" w:customStyle="1" w:styleId="1144">
    <w:name w:val="Char Char Char Char3"/>
    <w:basedOn w:val="1"/>
    <w:qFormat/>
    <w:uiPriority w:val="0"/>
    <w:rPr>
      <w:rFonts w:ascii="Courier New" w:hAnsi="Courier New" w:eastAsia="仿宋_GB2312" w:cs="Courier New"/>
      <w:szCs w:val="21"/>
    </w:rPr>
  </w:style>
  <w:style w:type="paragraph" w:customStyle="1" w:styleId="1145">
    <w:name w:val="字元 字元"/>
    <w:basedOn w:val="1"/>
    <w:qFormat/>
    <w:uiPriority w:val="0"/>
    <w:rPr>
      <w:rFonts w:ascii="Courier New" w:hAnsi="Courier New" w:eastAsia="仿宋_GB2312" w:cs="Courier New"/>
    </w:rPr>
  </w:style>
  <w:style w:type="paragraph" w:customStyle="1" w:styleId="1146">
    <w:name w:val="HZZH标题—4"/>
    <w:basedOn w:val="8"/>
    <w:qFormat/>
    <w:uiPriority w:val="0"/>
    <w:pPr>
      <w:numPr>
        <w:ilvl w:val="0"/>
        <w:numId w:val="0"/>
      </w:numPr>
      <w:adjustRightInd/>
      <w:textAlignment w:val="auto"/>
    </w:pPr>
    <w:rPr>
      <w:rFonts w:hAnsi="仿宋_GB2312" w:cs="Courier New"/>
      <w:color w:val="000000"/>
      <w:kern w:val="2"/>
      <w:szCs w:val="28"/>
    </w:rPr>
  </w:style>
  <w:style w:type="character" w:customStyle="1" w:styleId="1147">
    <w:name w:val="正文1 Char1"/>
    <w:link w:val="501"/>
    <w:qFormat/>
    <w:uiPriority w:val="0"/>
    <w:rPr>
      <w:rFonts w:ascii="Courier New" w:hAnsi="Courier New" w:eastAsia="仿宋_GB2312" w:cs="Courier New"/>
      <w:kern w:val="2"/>
      <w:sz w:val="24"/>
      <w:szCs w:val="24"/>
      <w:lang w:val="en-US" w:eastAsia="zh-CN" w:bidi="ar-SA"/>
    </w:rPr>
  </w:style>
  <w:style w:type="paragraph" w:customStyle="1" w:styleId="1148">
    <w:name w:val="插入内容"/>
    <w:basedOn w:val="501"/>
    <w:qFormat/>
    <w:uiPriority w:val="0"/>
    <w:pPr>
      <w:snapToGrid w:val="0"/>
      <w:spacing w:line="360" w:lineRule="exact"/>
      <w:ind w:firstLine="567" w:firstLineChars="0"/>
    </w:pPr>
    <w:rPr>
      <w:sz w:val="21"/>
    </w:rPr>
  </w:style>
  <w:style w:type="paragraph" w:customStyle="1" w:styleId="1149">
    <w:name w:val="样式 正文1 + 段前: 0.1 行1"/>
    <w:basedOn w:val="501"/>
    <w:link w:val="1150"/>
    <w:qFormat/>
    <w:uiPriority w:val="0"/>
    <w:pPr>
      <w:snapToGrid w:val="0"/>
      <w:spacing w:beforeLines="10" w:line="440" w:lineRule="atLeast"/>
      <w:ind w:firstLine="567" w:firstLineChars="0"/>
    </w:pPr>
    <w:rPr>
      <w:kern w:val="0"/>
    </w:rPr>
  </w:style>
  <w:style w:type="character" w:customStyle="1" w:styleId="1150">
    <w:name w:val="样式 正文1 + 段前: 0.1 行1 Char"/>
    <w:link w:val="1149"/>
    <w:qFormat/>
    <w:uiPriority w:val="0"/>
    <w:rPr>
      <w:rFonts w:ascii="Courier New" w:hAnsi="Courier New" w:eastAsia="仿宋_GB2312" w:cs="Courier New"/>
      <w:sz w:val="24"/>
      <w:szCs w:val="24"/>
      <w:lang w:bidi="ar-SA"/>
    </w:rPr>
  </w:style>
  <w:style w:type="character" w:customStyle="1" w:styleId="1151">
    <w:name w:val="datatitle1"/>
    <w:qFormat/>
    <w:uiPriority w:val="0"/>
    <w:rPr>
      <w:b/>
      <w:bCs/>
      <w:color w:val="10619F"/>
      <w:sz w:val="18"/>
      <w:szCs w:val="18"/>
    </w:rPr>
  </w:style>
  <w:style w:type="paragraph" w:customStyle="1" w:styleId="1152">
    <w:name w:val="Char Char Char Char Char Char Char Char Char Char Char Char Char1"/>
    <w:basedOn w:val="1"/>
    <w:semiHidden/>
    <w:qFormat/>
    <w:uiPriority w:val="0"/>
    <w:rPr>
      <w:rFonts w:ascii="Courier New" w:hAnsi="Courier New" w:eastAsia="仿宋_GB2312" w:cs="Courier New"/>
    </w:rPr>
  </w:style>
  <w:style w:type="paragraph" w:customStyle="1" w:styleId="1153">
    <w:name w:val="HZZH标题—3"/>
    <w:basedOn w:val="7"/>
    <w:next w:val="1"/>
    <w:qFormat/>
    <w:uiPriority w:val="0"/>
    <w:pPr>
      <w:numPr>
        <w:ilvl w:val="0"/>
        <w:numId w:val="0"/>
      </w:numPr>
      <w:tabs>
        <w:tab w:val="left" w:pos="-1800"/>
      </w:tabs>
      <w:adjustRightInd/>
      <w:spacing w:before="180" w:after="260"/>
      <w:ind w:right="238"/>
      <w:textAlignment w:val="auto"/>
    </w:pPr>
    <w:rPr>
      <w:rFonts w:hAnsi="仿宋_GB2312" w:cs="仿宋_GB2312"/>
      <w:sz w:val="28"/>
      <w:szCs w:val="28"/>
    </w:rPr>
  </w:style>
  <w:style w:type="paragraph" w:customStyle="1" w:styleId="1154">
    <w:name w:val="HZZH正文"/>
    <w:basedOn w:val="1"/>
    <w:qFormat/>
    <w:uiPriority w:val="0"/>
    <w:pPr>
      <w:overflowPunct w:val="0"/>
      <w:spacing w:line="360" w:lineRule="auto"/>
      <w:ind w:firstLine="592" w:firstLineChars="200"/>
    </w:pPr>
    <w:rPr>
      <w:rFonts w:hAnsi="仿宋_GB2312" w:cs="华文中宋"/>
      <w:spacing w:val="8"/>
      <w:kern w:val="0"/>
      <w:sz w:val="28"/>
      <w:szCs w:val="28"/>
    </w:rPr>
  </w:style>
  <w:style w:type="character" w:customStyle="1" w:styleId="1155">
    <w:name w:val="Char Char210"/>
    <w:qFormat/>
    <w:uiPriority w:val="0"/>
    <w:rPr>
      <w:rFonts w:ascii="华文中宋" w:hAnsi="华文中宋" w:eastAsia="仿宋_GB2312"/>
      <w:b/>
      <w:kern w:val="2"/>
      <w:sz w:val="30"/>
      <w:szCs w:val="24"/>
      <w:lang w:val="en-US" w:eastAsia="zh-CN" w:bidi="ar-SA"/>
    </w:rPr>
  </w:style>
  <w:style w:type="character" w:customStyle="1" w:styleId="1156">
    <w:name w:val="info"/>
    <w:basedOn w:val="134"/>
    <w:semiHidden/>
    <w:qFormat/>
    <w:uiPriority w:val="0"/>
  </w:style>
  <w:style w:type="paragraph" w:customStyle="1" w:styleId="1157">
    <w:name w:val="HZZH标题—2"/>
    <w:basedOn w:val="6"/>
    <w:next w:val="1153"/>
    <w:qFormat/>
    <w:uiPriority w:val="0"/>
    <w:pPr>
      <w:numPr>
        <w:ilvl w:val="0"/>
        <w:numId w:val="0"/>
      </w:numPr>
      <w:tabs>
        <w:tab w:val="left" w:pos="720"/>
      </w:tabs>
      <w:adjustRightInd/>
      <w:spacing w:before="260" w:after="260"/>
      <w:textAlignment w:val="auto"/>
    </w:pPr>
    <w:rPr>
      <w:rFonts w:cs="Courier New"/>
      <w:bCs/>
      <w:kern w:val="2"/>
      <w:sz w:val="30"/>
      <w:szCs w:val="30"/>
    </w:rPr>
  </w:style>
  <w:style w:type="paragraph" w:customStyle="1" w:styleId="1158">
    <w:name w:val="HZZH标题—1"/>
    <w:basedOn w:val="5"/>
    <w:next w:val="1157"/>
    <w:qFormat/>
    <w:uiPriority w:val="0"/>
    <w:pPr>
      <w:pageBreakBefore w:val="0"/>
      <w:numPr>
        <w:numId w:val="0"/>
      </w:numPr>
      <w:adjustRightInd/>
      <w:spacing w:before="480" w:after="480" w:line="240" w:lineRule="auto"/>
      <w:textAlignment w:val="auto"/>
    </w:pPr>
    <w:rPr>
      <w:rFonts w:hAnsi="仿宋_GB2312" w:cs="Courier New"/>
      <w:b/>
      <w:bCs/>
      <w:color w:val="000000"/>
      <w:kern w:val="2"/>
      <w:sz w:val="32"/>
      <w:szCs w:val="32"/>
    </w:rPr>
  </w:style>
  <w:style w:type="paragraph" w:customStyle="1" w:styleId="1159">
    <w:name w:val="样式 样式5 + (符号) Arial"/>
    <w:basedOn w:val="58"/>
    <w:qFormat/>
    <w:uiPriority w:val="0"/>
    <w:pPr>
      <w:spacing w:line="600" w:lineRule="exact"/>
      <w:ind w:firstLine="592"/>
    </w:pPr>
    <w:rPr>
      <w:rFonts w:hAnsi="华文中宋" w:eastAsia="仿宋_GB2312" w:cs="仿宋_GB2312"/>
      <w:color w:val="000000"/>
      <w:sz w:val="28"/>
      <w:szCs w:val="28"/>
    </w:rPr>
  </w:style>
  <w:style w:type="paragraph" w:customStyle="1" w:styleId="1160">
    <w:name w:val="修订1"/>
    <w:hidden/>
    <w:semiHidden/>
    <w:qFormat/>
    <w:uiPriority w:val="0"/>
    <w:rPr>
      <w:rFonts w:ascii="Courier New" w:hAnsi="Courier New" w:eastAsia="仿宋_GB2312" w:cs="Courier New"/>
      <w:kern w:val="2"/>
      <w:sz w:val="21"/>
      <w:lang w:val="en-US" w:eastAsia="zh-CN" w:bidi="ar-SA"/>
    </w:rPr>
  </w:style>
  <w:style w:type="character" w:customStyle="1" w:styleId="1161">
    <w:name w:val="样式 四号"/>
    <w:qFormat/>
    <w:uiPriority w:val="0"/>
    <w:rPr>
      <w:sz w:val="28"/>
    </w:rPr>
  </w:style>
  <w:style w:type="character" w:customStyle="1" w:styleId="1162">
    <w:name w:val="Char Char29"/>
    <w:qFormat/>
    <w:uiPriority w:val="0"/>
    <w:rPr>
      <w:rFonts w:ascii="仿宋_GB2312" w:hAnsi="ˎ̥" w:eastAsia="仿宋_GB2312"/>
      <w:kern w:val="2"/>
      <w:sz w:val="21"/>
      <w:lang w:val="en-US" w:eastAsia="zh-CN"/>
    </w:rPr>
  </w:style>
  <w:style w:type="character" w:customStyle="1" w:styleId="1163">
    <w:name w:val="Char Char10"/>
    <w:qFormat/>
    <w:uiPriority w:val="0"/>
    <w:rPr>
      <w:rFonts w:eastAsia="仿宋_GB2312"/>
      <w:sz w:val="18"/>
      <w:lang w:val="en-US" w:eastAsia="zh-CN"/>
    </w:rPr>
  </w:style>
  <w:style w:type="paragraph" w:customStyle="1" w:styleId="1164">
    <w:name w:val="环评正文 Char Char Char"/>
    <w:link w:val="1165"/>
    <w:semiHidden/>
    <w:qFormat/>
    <w:uiPriority w:val="0"/>
    <w:pPr>
      <w:spacing w:line="360" w:lineRule="exact"/>
      <w:ind w:firstLine="200" w:firstLineChars="200"/>
    </w:pPr>
    <w:rPr>
      <w:rFonts w:ascii="Courier New" w:hAnsi="Courier New" w:eastAsia="仿宋_GB2312" w:cs="Courier New"/>
      <w:color w:val="000000"/>
      <w:kern w:val="21"/>
      <w:sz w:val="24"/>
      <w:szCs w:val="24"/>
      <w:lang w:val="en-US" w:eastAsia="zh-CN" w:bidi="ar-SA"/>
    </w:rPr>
  </w:style>
  <w:style w:type="character" w:customStyle="1" w:styleId="1165">
    <w:name w:val="环评正文 Char Char Char Char"/>
    <w:link w:val="1164"/>
    <w:semiHidden/>
    <w:qFormat/>
    <w:uiPriority w:val="0"/>
    <w:rPr>
      <w:rFonts w:ascii="Courier New" w:hAnsi="Courier New" w:eastAsia="仿宋_GB2312" w:cs="Courier New"/>
      <w:color w:val="000000"/>
      <w:kern w:val="21"/>
      <w:sz w:val="24"/>
      <w:szCs w:val="24"/>
      <w:lang w:val="en-US" w:eastAsia="zh-CN" w:bidi="ar-SA"/>
    </w:rPr>
  </w:style>
  <w:style w:type="paragraph" w:customStyle="1" w:styleId="1166">
    <w:name w:val="【表格】"/>
    <w:next w:val="87"/>
    <w:qFormat/>
    <w:uiPriority w:val="0"/>
    <w:pPr>
      <w:jc w:val="center"/>
    </w:pPr>
    <w:rPr>
      <w:rFonts w:ascii="Courier New" w:hAnsi="Courier New" w:eastAsia="仿宋_GB2312" w:cs="Courier New"/>
      <w:sz w:val="21"/>
      <w:szCs w:val="24"/>
      <w:lang w:val="en-US" w:eastAsia="zh-CN" w:bidi="ar-SA"/>
    </w:rPr>
  </w:style>
  <w:style w:type="paragraph" w:customStyle="1" w:styleId="1167">
    <w:name w:val="Char Char Char1 Char Char Char Char Char"/>
    <w:basedOn w:val="1"/>
    <w:qFormat/>
    <w:uiPriority w:val="0"/>
    <w:pPr>
      <w:widowControl/>
      <w:jc w:val="left"/>
    </w:pPr>
    <w:rPr>
      <w:rFonts w:ascii="仿宋_GB2312" w:hAnsi="仿宋_GB2312" w:eastAsia="仿宋_GB2312" w:cs="仿宋_GB2312"/>
      <w:kern w:val="0"/>
      <w:sz w:val="24"/>
    </w:rPr>
  </w:style>
  <w:style w:type="character" w:customStyle="1" w:styleId="1168">
    <w:name w:val="Char Char23"/>
    <w:qFormat/>
    <w:uiPriority w:val="0"/>
    <w:rPr>
      <w:rFonts w:eastAsia="宋体"/>
      <w:kern w:val="2"/>
      <w:sz w:val="21"/>
      <w:lang w:val="en-US" w:eastAsia="zh-CN" w:bidi="ar-SA"/>
    </w:rPr>
  </w:style>
  <w:style w:type="character" w:customStyle="1" w:styleId="1169">
    <w:name w:val="Char Char291"/>
    <w:semiHidden/>
    <w:qFormat/>
    <w:uiPriority w:val="0"/>
    <w:rPr>
      <w:rFonts w:eastAsia="仿宋_GB2312"/>
      <w:sz w:val="24"/>
      <w:lang w:val="en-US" w:eastAsia="zh-CN" w:bidi="ar-SA"/>
    </w:rPr>
  </w:style>
  <w:style w:type="character" w:customStyle="1" w:styleId="1170">
    <w:name w:val="Char Char47"/>
    <w:qFormat/>
    <w:uiPriority w:val="0"/>
    <w:rPr>
      <w:rFonts w:eastAsia="仿宋_GB2312"/>
      <w:b/>
      <w:kern w:val="44"/>
      <w:sz w:val="44"/>
      <w:lang w:val="en-US" w:eastAsia="zh-CN" w:bidi="ar-SA"/>
    </w:rPr>
  </w:style>
  <w:style w:type="character" w:customStyle="1" w:styleId="1171">
    <w:name w:val="text_edit editable-title"/>
    <w:basedOn w:val="134"/>
    <w:qFormat/>
    <w:uiPriority w:val="0"/>
  </w:style>
  <w:style w:type="character" w:customStyle="1" w:styleId="1172">
    <w:name w:val="headline-content2"/>
    <w:basedOn w:val="134"/>
    <w:qFormat/>
    <w:uiPriority w:val="0"/>
  </w:style>
  <w:style w:type="character" w:customStyle="1" w:styleId="1173">
    <w:name w:val="style1"/>
    <w:basedOn w:val="134"/>
    <w:qFormat/>
    <w:uiPriority w:val="0"/>
  </w:style>
  <w:style w:type="character" w:customStyle="1" w:styleId="1174">
    <w:name w:val="content11"/>
    <w:qFormat/>
    <w:uiPriority w:val="0"/>
    <w:rPr>
      <w:sz w:val="21"/>
      <w:szCs w:val="21"/>
    </w:rPr>
  </w:style>
  <w:style w:type="character" w:customStyle="1" w:styleId="1175">
    <w:name w:val="abc"/>
    <w:basedOn w:val="134"/>
    <w:qFormat/>
    <w:uiPriority w:val="0"/>
  </w:style>
  <w:style w:type="paragraph" w:customStyle="1" w:styleId="1176">
    <w:name w:val="正文4"/>
    <w:basedOn w:val="1"/>
    <w:qFormat/>
    <w:uiPriority w:val="0"/>
    <w:pPr>
      <w:autoSpaceDE w:val="0"/>
      <w:autoSpaceDN w:val="0"/>
      <w:spacing w:after="160" w:line="440" w:lineRule="exact"/>
      <w:ind w:left="567" w:hanging="567"/>
      <w:textAlignment w:val="bottom"/>
    </w:pPr>
    <w:rPr>
      <w:rFonts w:ascii="Courier New" w:hAnsi="Courier New" w:eastAsia="仿宋_GB2312" w:cs="Courier New"/>
      <w:sz w:val="28"/>
      <w:szCs w:val="20"/>
    </w:rPr>
  </w:style>
  <w:style w:type="paragraph" w:customStyle="1" w:styleId="1177">
    <w:name w:val="unnamed6"/>
    <w:basedOn w:val="1"/>
    <w:qFormat/>
    <w:uiPriority w:val="0"/>
    <w:pPr>
      <w:widowControl/>
      <w:spacing w:before="100" w:beforeAutospacing="1" w:after="100" w:afterAutospacing="1"/>
      <w:jc w:val="left"/>
    </w:pPr>
    <w:rPr>
      <w:rFonts w:ascii="Book Antiqua" w:hAnsi="Book Antiqua" w:eastAsia="Book Antiqua" w:cs="Book Antiqua"/>
      <w:b/>
      <w:bCs/>
      <w:color w:val="000000"/>
      <w:kern w:val="0"/>
      <w:sz w:val="18"/>
      <w:szCs w:val="18"/>
    </w:rPr>
  </w:style>
  <w:style w:type="paragraph" w:customStyle="1" w:styleId="1178">
    <w:name w:val="标题新"/>
    <w:basedOn w:val="1"/>
    <w:qFormat/>
    <w:uiPriority w:val="0"/>
    <w:pPr>
      <w:adjustRightInd w:val="0"/>
      <w:snapToGrid w:val="0"/>
      <w:spacing w:line="420" w:lineRule="exact"/>
      <w:jc w:val="center"/>
    </w:pPr>
    <w:rPr>
      <w:rFonts w:ascii="Courier New" w:hAnsi="Courier New" w:eastAsia="Arial Unicode MS" w:cs="Courier New"/>
      <w:sz w:val="24"/>
      <w:szCs w:val="21"/>
    </w:rPr>
  </w:style>
  <w:style w:type="paragraph" w:customStyle="1" w:styleId="1179">
    <w:name w:val="表格填充1"/>
    <w:basedOn w:val="1"/>
    <w:qFormat/>
    <w:uiPriority w:val="0"/>
    <w:pPr>
      <w:adjustRightInd w:val="0"/>
      <w:snapToGrid w:val="0"/>
      <w:spacing w:line="400" w:lineRule="exact"/>
      <w:jc w:val="center"/>
    </w:pPr>
    <w:rPr>
      <w:rFonts w:ascii="Courier New" w:hAnsi="Courier New" w:eastAsia="仿宋_GB2312" w:cs="Courier New"/>
      <w:snapToGrid w:val="0"/>
      <w:szCs w:val="18"/>
    </w:rPr>
  </w:style>
  <w:style w:type="paragraph" w:customStyle="1" w:styleId="1180">
    <w:name w:val="正文文本3"/>
    <w:basedOn w:val="1"/>
    <w:qFormat/>
    <w:uiPriority w:val="0"/>
    <w:pPr>
      <w:autoSpaceDE w:val="0"/>
      <w:autoSpaceDN w:val="0"/>
      <w:spacing w:line="360" w:lineRule="atLeast"/>
      <w:jc w:val="left"/>
      <w:textAlignment w:val="baseline"/>
    </w:pPr>
    <w:rPr>
      <w:rFonts w:ascii="华文细黑" w:hAnsi="华文细黑" w:eastAsia="Courier New" w:cs="Courier New"/>
      <w:kern w:val="0"/>
      <w:szCs w:val="20"/>
    </w:rPr>
  </w:style>
  <w:style w:type="paragraph" w:customStyle="1" w:styleId="1181">
    <w:name w:val="样式 标题 3标题 3 Char Char头 + (西文) Arial Narrow (中文) 黑体 小四 加粗"/>
    <w:basedOn w:val="7"/>
    <w:qFormat/>
    <w:uiPriority w:val="0"/>
    <w:pPr>
      <w:keepLines w:val="0"/>
      <w:numPr>
        <w:numId w:val="0"/>
      </w:numPr>
      <w:spacing w:before="0"/>
      <w:jc w:val="center"/>
    </w:pPr>
    <w:rPr>
      <w:rFonts w:ascii="MS Sans Serif" w:hAnsi="MS Sans Serif" w:eastAsia="Arial Unicode MS" w:cs="Courier New"/>
      <w:bCs/>
      <w:kern w:val="2"/>
      <w:sz w:val="28"/>
      <w:szCs w:val="28"/>
    </w:rPr>
  </w:style>
  <w:style w:type="paragraph" w:customStyle="1" w:styleId="1182">
    <w:name w:val="样式 报告表正文 + 首行缩进:  2 字符 行距: 1.5 倍行距"/>
    <w:basedOn w:val="513"/>
    <w:qFormat/>
    <w:uiPriority w:val="0"/>
    <w:pPr>
      <w:spacing w:line="360" w:lineRule="auto"/>
      <w:ind w:firstLine="480" w:firstLineChars="200"/>
      <w:textAlignment w:val="auto"/>
    </w:pPr>
    <w:rPr>
      <w:rFonts w:cs="仿宋_GB2312"/>
      <w:szCs w:val="24"/>
    </w:rPr>
  </w:style>
  <w:style w:type="paragraph" w:customStyle="1" w:styleId="1183">
    <w:name w:val="法条正文"/>
    <w:basedOn w:val="1"/>
    <w:qFormat/>
    <w:uiPriority w:val="0"/>
    <w:pPr>
      <w:ind w:firstLine="420" w:firstLineChars="200"/>
    </w:pPr>
    <w:rPr>
      <w:rFonts w:ascii="Courier New" w:hAnsi="Courier New" w:eastAsia="仿宋_GB2312" w:cs="Courier New"/>
    </w:rPr>
  </w:style>
  <w:style w:type="paragraph" w:customStyle="1" w:styleId="1184">
    <w:name w:val="TexteR1"/>
    <w:basedOn w:val="1"/>
    <w:qFormat/>
    <w:uiPriority w:val="0"/>
    <w:pPr>
      <w:widowControl/>
      <w:tabs>
        <w:tab w:val="left" w:pos="4962"/>
        <w:tab w:val="left" w:pos="5245"/>
      </w:tabs>
      <w:jc w:val="center"/>
    </w:pPr>
    <w:rPr>
      <w:rFonts w:ascii="Wingdings" w:hAnsi="Wingdings" w:eastAsia="UniversalMath1 BT" w:cs="Courier New"/>
      <w:kern w:val="0"/>
      <w:sz w:val="16"/>
      <w:szCs w:val="20"/>
      <w:lang w:bidi="he-IL"/>
    </w:rPr>
  </w:style>
  <w:style w:type="paragraph" w:customStyle="1" w:styleId="1185">
    <w:name w:val="样式 正文文本缩进正文文字缩进正文文字缩进1 + 首行缩进:  0.98 厘米 Char"/>
    <w:basedOn w:val="35"/>
    <w:qFormat/>
    <w:uiPriority w:val="0"/>
    <w:pPr>
      <w:adjustRightInd/>
      <w:snapToGrid w:val="0"/>
      <w:spacing w:line="240" w:lineRule="auto"/>
      <w:ind w:firstLine="0"/>
      <w:jc w:val="both"/>
      <w:textAlignment w:val="auto"/>
    </w:pPr>
    <w:rPr>
      <w:rFonts w:ascii="Courier New" w:hAnsi="Courier New" w:eastAsia="仿宋_GB2312" w:cs="Courier New"/>
      <w:sz w:val="21"/>
      <w:szCs w:val="21"/>
    </w:rPr>
  </w:style>
  <w:style w:type="paragraph" w:customStyle="1" w:styleId="1186">
    <w:name w:val="Char Char1 Char Char Char Char Char Char Char Char Char Char Char Char Char Char"/>
    <w:basedOn w:val="1"/>
    <w:qFormat/>
    <w:uiPriority w:val="0"/>
    <w:pPr>
      <w:widowControl/>
      <w:spacing w:after="160" w:line="240" w:lineRule="exact"/>
      <w:jc w:val="left"/>
    </w:pPr>
    <w:rPr>
      <w:szCs w:val="20"/>
    </w:rPr>
  </w:style>
  <w:style w:type="character" w:customStyle="1" w:styleId="1187">
    <w:name w:val="bhq正文 Char"/>
    <w:link w:val="1188"/>
    <w:qFormat/>
    <w:uiPriority w:val="0"/>
    <w:rPr>
      <w:rFonts w:ascii="宋体" w:hAnsi="宋体" w:eastAsia="宋体"/>
      <w:kern w:val="2"/>
      <w:sz w:val="28"/>
      <w:lang w:val="en-US" w:eastAsia="zh-CN" w:bidi="ar-SA"/>
    </w:rPr>
  </w:style>
  <w:style w:type="paragraph" w:customStyle="1" w:styleId="1188">
    <w:name w:val="bhq正文"/>
    <w:basedOn w:val="1"/>
    <w:link w:val="1187"/>
    <w:qFormat/>
    <w:uiPriority w:val="0"/>
    <w:pPr>
      <w:adjustRightInd w:val="0"/>
      <w:snapToGrid w:val="0"/>
      <w:spacing w:line="432" w:lineRule="auto"/>
      <w:ind w:firstLine="567"/>
    </w:pPr>
    <w:rPr>
      <w:rFonts w:ascii="宋体" w:hAnsi="宋体"/>
      <w:sz w:val="28"/>
      <w:szCs w:val="20"/>
    </w:rPr>
  </w:style>
  <w:style w:type="paragraph" w:customStyle="1" w:styleId="1189">
    <w:name w:val="1.1"/>
    <w:basedOn w:val="1"/>
    <w:qFormat/>
    <w:uiPriority w:val="0"/>
    <w:pPr>
      <w:spacing w:beforeLines="50" w:afterLines="50" w:line="540" w:lineRule="exact"/>
      <w:outlineLvl w:val="1"/>
    </w:pPr>
    <w:rPr>
      <w:rFonts w:ascii="黑体" w:hAnsi="宋体" w:eastAsia="黑体"/>
      <w:b/>
      <w:sz w:val="32"/>
    </w:rPr>
  </w:style>
  <w:style w:type="character" w:customStyle="1" w:styleId="1190">
    <w:name w:val="标题 3 Char"/>
    <w:qFormat/>
    <w:uiPriority w:val="99"/>
    <w:rPr>
      <w:rFonts w:eastAsia="宋体"/>
      <w:b/>
      <w:sz w:val="32"/>
      <w:lang w:val="en-US" w:eastAsia="zh-CN" w:bidi="ar-SA"/>
    </w:rPr>
  </w:style>
  <w:style w:type="paragraph" w:customStyle="1" w:styleId="1191">
    <w:name w:val="首行缩进"/>
    <w:basedOn w:val="1"/>
    <w:qFormat/>
    <w:uiPriority w:val="0"/>
    <w:pPr>
      <w:snapToGrid w:val="0"/>
      <w:spacing w:line="360" w:lineRule="auto"/>
      <w:ind w:firstLine="499"/>
    </w:pPr>
    <w:rPr>
      <w:rFonts w:ascii="宋体"/>
      <w:sz w:val="24"/>
      <w:szCs w:val="20"/>
    </w:rPr>
  </w:style>
  <w:style w:type="character" w:customStyle="1" w:styleId="1192">
    <w:name w:val="tt4"/>
    <w:qFormat/>
    <w:uiPriority w:val="0"/>
    <w:rPr>
      <w:rFonts w:hint="eastAsia" w:ascii="宋体" w:hAnsi="宋体" w:eastAsia="宋体"/>
    </w:rPr>
  </w:style>
  <w:style w:type="character" w:customStyle="1" w:styleId="1193">
    <w:name w:val="gray2"/>
    <w:qFormat/>
    <w:uiPriority w:val="0"/>
    <w:rPr>
      <w:color w:val="333333"/>
    </w:rPr>
  </w:style>
  <w:style w:type="character" w:customStyle="1" w:styleId="1194">
    <w:name w:val="red2"/>
    <w:qFormat/>
    <w:uiPriority w:val="0"/>
    <w:rPr>
      <w:color w:val="FF0000"/>
    </w:rPr>
  </w:style>
  <w:style w:type="character" w:customStyle="1" w:styleId="1195">
    <w:name w:val="green2"/>
    <w:qFormat/>
    <w:uiPriority w:val="0"/>
    <w:rPr>
      <w:color w:val="009900"/>
    </w:rPr>
  </w:style>
  <w:style w:type="paragraph" w:customStyle="1" w:styleId="1196">
    <w:name w:val="中文报告书样式"/>
    <w:basedOn w:val="1"/>
    <w:qFormat/>
    <w:uiPriority w:val="0"/>
    <w:pPr>
      <w:adjustRightInd w:val="0"/>
      <w:snapToGrid w:val="0"/>
      <w:spacing w:line="480" w:lineRule="atLeast"/>
      <w:ind w:firstLine="200" w:firstLineChars="200"/>
      <w:textAlignment w:val="baseline"/>
    </w:pPr>
    <w:rPr>
      <w:snapToGrid w:val="0"/>
      <w:kern w:val="0"/>
      <w:sz w:val="24"/>
      <w:szCs w:val="20"/>
    </w:rPr>
  </w:style>
  <w:style w:type="paragraph" w:customStyle="1" w:styleId="1197">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1198">
    <w:name w:val="reader-word-layer reader-word-s25-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9">
    <w:name w:val="reader-word-layer reader-word-s25-7"/>
    <w:basedOn w:val="1"/>
    <w:qFormat/>
    <w:uiPriority w:val="0"/>
    <w:pPr>
      <w:widowControl/>
      <w:spacing w:before="100" w:beforeAutospacing="1" w:after="100" w:afterAutospacing="1"/>
      <w:jc w:val="left"/>
    </w:pPr>
    <w:rPr>
      <w:rFonts w:ascii="宋体" w:hAnsi="宋体" w:cs="宋体"/>
      <w:kern w:val="0"/>
      <w:sz w:val="24"/>
    </w:rPr>
  </w:style>
  <w:style w:type="character" w:customStyle="1" w:styleId="1200">
    <w:name w:val="Heading 2 Char"/>
    <w:qFormat/>
    <w:locked/>
    <w:uiPriority w:val="0"/>
    <w:rPr>
      <w:rFonts w:ascii="宋体" w:hAnsi="宋体" w:eastAsia="宋体" w:cs="宋体"/>
      <w:b/>
      <w:bCs/>
      <w:sz w:val="24"/>
      <w:szCs w:val="24"/>
    </w:rPr>
  </w:style>
  <w:style w:type="paragraph" w:customStyle="1" w:styleId="1201">
    <w:name w:val="小于节标题"/>
    <w:basedOn w:val="1"/>
    <w:qFormat/>
    <w:uiPriority w:val="0"/>
    <w:pPr>
      <w:tabs>
        <w:tab w:val="left" w:pos="567"/>
      </w:tabs>
      <w:spacing w:line="360" w:lineRule="auto"/>
      <w:jc w:val="left"/>
    </w:pPr>
    <w:rPr>
      <w:rFonts w:eastAsia="华文中宋"/>
      <w:spacing w:val="20"/>
      <w:sz w:val="24"/>
      <w:szCs w:val="20"/>
    </w:rPr>
  </w:style>
  <w:style w:type="paragraph" w:customStyle="1" w:styleId="1202">
    <w:name w:val="表格文字样式"/>
    <w:basedOn w:val="1"/>
    <w:qFormat/>
    <w:uiPriority w:val="0"/>
    <w:pPr>
      <w:tabs>
        <w:tab w:val="left" w:pos="567"/>
      </w:tabs>
      <w:jc w:val="center"/>
    </w:pPr>
    <w:rPr>
      <w:rFonts w:eastAsia="华文中宋"/>
      <w:spacing w:val="20"/>
      <w:sz w:val="24"/>
      <w:szCs w:val="20"/>
    </w:rPr>
  </w:style>
  <w:style w:type="paragraph" w:customStyle="1" w:styleId="1203">
    <w:name w:val="表格方案样式2"/>
    <w:basedOn w:val="1202"/>
    <w:qFormat/>
    <w:uiPriority w:val="0"/>
    <w:rPr>
      <w:spacing w:val="0"/>
    </w:rPr>
  </w:style>
  <w:style w:type="paragraph" w:customStyle="1" w:styleId="1204">
    <w:name w:val="样式 正正 + (符号) 宋体 四号 首行缩进:  2 字符"/>
    <w:basedOn w:val="1"/>
    <w:qFormat/>
    <w:uiPriority w:val="0"/>
    <w:pPr>
      <w:spacing w:line="312" w:lineRule="auto"/>
      <w:ind w:firstLine="560" w:firstLineChars="200"/>
    </w:pPr>
    <w:rPr>
      <w:rFonts w:hAnsi="宋体" w:cs="宋体"/>
      <w:sz w:val="24"/>
      <w:szCs w:val="20"/>
    </w:rPr>
  </w:style>
  <w:style w:type="paragraph" w:customStyle="1" w:styleId="1205">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1206">
    <w:name w:val="报告表格 Char"/>
    <w:link w:val="702"/>
    <w:qFormat/>
    <w:uiPriority w:val="0"/>
    <w:rPr>
      <w:rFonts w:ascii="Courier New" w:hAnsi="Courier New" w:eastAsia="仿宋_GB2312" w:cs="Courier New"/>
      <w:sz w:val="21"/>
    </w:rPr>
  </w:style>
  <w:style w:type="paragraph" w:customStyle="1" w:styleId="1207">
    <w:name w:val="0级别mzl"/>
    <w:basedOn w:val="5"/>
    <w:qFormat/>
    <w:uiPriority w:val="0"/>
    <w:pPr>
      <w:keepLines w:val="0"/>
      <w:framePr w:w="7138" w:hSpace="180" w:wrap="around" w:vAnchor="page" w:hAnchor="page" w:x="2008" w:y="973"/>
      <w:numPr>
        <w:ilvl w:val="0"/>
        <w:numId w:val="0"/>
      </w:numPr>
      <w:adjustRightInd/>
      <w:spacing w:before="0" w:after="0" w:line="360" w:lineRule="auto"/>
      <w:jc w:val="both"/>
      <w:textAlignment w:val="auto"/>
    </w:pPr>
    <w:rPr>
      <w:rFonts w:ascii="黑体"/>
      <w:bCs/>
      <w:kern w:val="2"/>
      <w:sz w:val="28"/>
      <w:szCs w:val="28"/>
      <w:shd w:val="pct10" w:color="auto" w:fill="FFFFFF"/>
    </w:rPr>
  </w:style>
  <w:style w:type="paragraph" w:customStyle="1" w:styleId="1208">
    <w:name w:val="表格式"/>
    <w:basedOn w:val="67"/>
    <w:qFormat/>
    <w:uiPriority w:val="0"/>
    <w:pPr>
      <w:spacing w:beforeLines="50" w:afterLines="50" w:line="200" w:lineRule="exact"/>
      <w:ind w:left="0" w:firstLine="0" w:firstLineChars="0"/>
      <w:jc w:val="center"/>
    </w:pPr>
    <w:rPr>
      <w:rFonts w:ascii="Times New Roman" w:hAnsi="Times New Roman" w:eastAsia="宋体" w:cs="Times New Roman"/>
      <w:szCs w:val="20"/>
    </w:rPr>
  </w:style>
  <w:style w:type="paragraph" w:customStyle="1" w:styleId="1209">
    <w:name w:val="Char Char Char Char Char Char Char1 Char Char Char Char Char Char"/>
    <w:basedOn w:val="1"/>
    <w:qFormat/>
    <w:uiPriority w:val="0"/>
    <w:pPr>
      <w:keepNext/>
      <w:tabs>
        <w:tab w:val="left" w:pos="425"/>
      </w:tabs>
      <w:autoSpaceDE w:val="0"/>
      <w:autoSpaceDN w:val="0"/>
      <w:adjustRightInd w:val="0"/>
      <w:spacing w:before="80" w:after="80"/>
      <w:ind w:hanging="425"/>
    </w:pPr>
    <w:rPr>
      <w:rFonts w:ascii="Arial" w:hAnsi="Arial" w:cs="Arial"/>
      <w:sz w:val="20"/>
      <w:szCs w:val="20"/>
    </w:rPr>
  </w:style>
  <w:style w:type="paragraph" w:customStyle="1" w:styleId="1210">
    <w:name w:val="标题 2，节"/>
    <w:basedOn w:val="6"/>
    <w:qFormat/>
    <w:uiPriority w:val="0"/>
    <w:pPr>
      <w:numPr>
        <w:ilvl w:val="0"/>
        <w:numId w:val="0"/>
      </w:numPr>
      <w:adjustRightInd/>
      <w:spacing w:beforeLines="50" w:after="260" w:line="416" w:lineRule="auto"/>
      <w:jc w:val="both"/>
      <w:textAlignment w:val="auto"/>
    </w:pPr>
    <w:rPr>
      <w:rFonts w:hAnsi="宋体" w:eastAsia="仿宋_GB2312"/>
      <w:bCs/>
      <w:kern w:val="2"/>
      <w:sz w:val="24"/>
      <w:szCs w:val="32"/>
    </w:rPr>
  </w:style>
  <w:style w:type="paragraph" w:customStyle="1" w:styleId="1211">
    <w:name w:val="正文段落（缩进）"/>
    <w:next w:val="1"/>
    <w:link w:val="1212"/>
    <w:qFormat/>
    <w:uiPriority w:val="0"/>
    <w:pPr>
      <w:adjustRightInd w:val="0"/>
      <w:snapToGrid w:val="0"/>
      <w:spacing w:line="360" w:lineRule="auto"/>
      <w:ind w:firstLine="200" w:firstLineChars="200"/>
    </w:pPr>
    <w:rPr>
      <w:rFonts w:ascii="Times New Roman" w:hAnsi="Times New Roman" w:eastAsia="宋体" w:cs="Times New Roman"/>
      <w:sz w:val="24"/>
      <w:lang w:val="en-US" w:eastAsia="zh-CN" w:bidi="ar-SA"/>
    </w:rPr>
  </w:style>
  <w:style w:type="character" w:customStyle="1" w:styleId="1212">
    <w:name w:val="正文段落（缩进） Char"/>
    <w:link w:val="1211"/>
    <w:qFormat/>
    <w:uiPriority w:val="0"/>
    <w:rPr>
      <w:sz w:val="24"/>
      <w:lang w:bidi="ar-SA"/>
    </w:rPr>
  </w:style>
  <w:style w:type="character" w:customStyle="1" w:styleId="1213">
    <w:name w:val="grame"/>
    <w:basedOn w:val="134"/>
    <w:qFormat/>
    <w:uiPriority w:val="0"/>
  </w:style>
  <w:style w:type="paragraph" w:customStyle="1" w:styleId="121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15">
    <w:name w:val="段落样式"/>
    <w:basedOn w:val="1"/>
    <w:qFormat/>
    <w:uiPriority w:val="0"/>
    <w:pPr>
      <w:tabs>
        <w:tab w:val="left" w:pos="567"/>
      </w:tabs>
      <w:spacing w:line="360" w:lineRule="auto"/>
      <w:ind w:firstLine="567"/>
    </w:pPr>
    <w:rPr>
      <w:spacing w:val="20"/>
      <w:sz w:val="24"/>
      <w:szCs w:val="20"/>
    </w:rPr>
  </w:style>
  <w:style w:type="paragraph" w:customStyle="1" w:styleId="1216">
    <w:name w:val="标-5"/>
    <w:basedOn w:val="1"/>
    <w:qFormat/>
    <w:uiPriority w:val="0"/>
    <w:pPr>
      <w:tabs>
        <w:tab w:val="right" w:leader="dot" w:pos="8789"/>
      </w:tabs>
      <w:spacing w:before="120"/>
      <w:ind w:left="1276" w:hanging="425"/>
    </w:pPr>
    <w:rPr>
      <w:sz w:val="24"/>
    </w:rPr>
  </w:style>
  <w:style w:type="paragraph" w:customStyle="1" w:styleId="1217">
    <w:name w:val="标-7"/>
    <w:basedOn w:val="1"/>
    <w:qFormat/>
    <w:uiPriority w:val="0"/>
    <w:pPr>
      <w:tabs>
        <w:tab w:val="left" w:pos="420"/>
      </w:tabs>
      <w:spacing w:before="120"/>
      <w:ind w:left="1701" w:hanging="425"/>
    </w:pPr>
    <w:rPr>
      <w:sz w:val="24"/>
    </w:rPr>
  </w:style>
  <w:style w:type="paragraph" w:customStyle="1" w:styleId="1218">
    <w:name w:val="xl93"/>
    <w:basedOn w:val="1"/>
    <w:qFormat/>
    <w:uiPriority w:val="0"/>
    <w:pPr>
      <w:widowControl/>
      <w:pBdr>
        <w:left w:val="single" w:color="auto" w:sz="4" w:space="0"/>
        <w:bottom w:val="single" w:color="auto" w:sz="4" w:space="0"/>
      </w:pBdr>
      <w:spacing w:before="100" w:beforeAutospacing="1" w:after="100" w:afterAutospacing="1"/>
    </w:pPr>
    <w:rPr>
      <w:rFonts w:ascii="宋体" w:hAnsi="宋体"/>
      <w:kern w:val="0"/>
      <w:sz w:val="24"/>
    </w:rPr>
  </w:style>
  <w:style w:type="paragraph" w:customStyle="1" w:styleId="1219">
    <w:name w:val="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0">
    <w:name w:val="Char1 Char Char Char1 Char Char Char Char Char Char"/>
    <w:basedOn w:val="1"/>
    <w:qFormat/>
    <w:uiPriority w:val="0"/>
    <w:rPr>
      <w:sz w:val="24"/>
    </w:rPr>
  </w:style>
  <w:style w:type="paragraph" w:customStyle="1" w:styleId="1221">
    <w:name w:val="正文一"/>
    <w:basedOn w:val="1"/>
    <w:qFormat/>
    <w:uiPriority w:val="0"/>
    <w:pPr>
      <w:spacing w:line="360" w:lineRule="auto"/>
      <w:ind w:firstLine="480" w:firstLineChars="200"/>
    </w:pPr>
    <w:rPr>
      <w:sz w:val="24"/>
    </w:rPr>
  </w:style>
  <w:style w:type="paragraph" w:customStyle="1" w:styleId="1222">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23">
    <w:name w:val="图名 Char"/>
    <w:link w:val="209"/>
    <w:qFormat/>
    <w:uiPriority w:val="0"/>
    <w:rPr>
      <w:rFonts w:ascii="Arial Unicode MS" w:hAnsi="Courier New" w:eastAsia="Arial Unicode MS" w:cs="Courier New"/>
      <w:b/>
      <w:color w:val="FF0000"/>
      <w:kern w:val="2"/>
      <w:sz w:val="24"/>
    </w:rPr>
  </w:style>
  <w:style w:type="paragraph" w:customStyle="1" w:styleId="1224">
    <w:name w:val="样式 报告正文——首行缩进:  2 字符1 + 首行缩进:  2 字符"/>
    <w:basedOn w:val="1"/>
    <w:qFormat/>
    <w:uiPriority w:val="0"/>
    <w:pPr>
      <w:spacing w:line="360" w:lineRule="auto"/>
      <w:ind w:firstLine="200" w:firstLineChars="200"/>
    </w:pPr>
    <w:rPr>
      <w:rFonts w:cs="宋体"/>
      <w:sz w:val="28"/>
      <w:szCs w:val="20"/>
    </w:rPr>
  </w:style>
  <w:style w:type="table" w:customStyle="1" w:styleId="1225">
    <w:name w:val="pp"/>
    <w:basedOn w:val="89"/>
    <w:qFormat/>
    <w:uiPriority w:val="0"/>
    <w:pPr>
      <w:jc w:val="center"/>
    </w:pPr>
    <w:rPr>
      <w:sz w:val="18"/>
      <w:szCs w:val="18"/>
    </w:rPr>
    <w:tblPr>
      <w:tblBorders>
        <w:top w:val="single" w:color="auto" w:sz="12" w:space="0"/>
        <w:bottom w:val="single" w:color="auto" w:sz="12" w:space="0"/>
        <w:insideH w:val="single" w:color="auto" w:sz="2" w:space="0"/>
        <w:insideV w:val="single" w:color="auto" w:sz="2" w:space="0"/>
      </w:tblBorders>
    </w:tblPr>
    <w:tblStylePr w:type="firstRow">
      <w:rPr>
        <w:rFonts w:eastAsia="宋体"/>
        <w:b/>
        <w:sz w:val="18"/>
      </w:rPr>
    </w:tblStylePr>
  </w:style>
  <w:style w:type="paragraph" w:customStyle="1" w:styleId="1226">
    <w:name w:val="列表 4F"/>
    <w:basedOn w:val="78"/>
    <w:qFormat/>
    <w:uiPriority w:val="0"/>
    <w:pPr>
      <w:tabs>
        <w:tab w:val="left" w:pos="980"/>
      </w:tabs>
      <w:spacing w:beforeLines="50" w:afterLines="30" w:line="288" w:lineRule="auto"/>
      <w:ind w:left="980" w:leftChars="0" w:hanging="420" w:firstLineChars="0"/>
    </w:pPr>
    <w:rPr>
      <w:rFonts w:eastAsia="宋体" w:cs="仿宋_GB2312"/>
      <w:color w:val="CCFFFF"/>
      <w:sz w:val="24"/>
      <w:szCs w:val="20"/>
    </w:rPr>
  </w:style>
  <w:style w:type="paragraph" w:customStyle="1" w:styleId="1227">
    <w:name w:val="标题 3  cg"/>
    <w:basedOn w:val="7"/>
    <w:qFormat/>
    <w:uiPriority w:val="0"/>
    <w:pPr>
      <w:numPr>
        <w:ilvl w:val="0"/>
        <w:numId w:val="0"/>
      </w:numPr>
      <w:adjustRightInd/>
      <w:spacing w:before="0"/>
      <w:jc w:val="both"/>
    </w:pPr>
    <w:rPr>
      <w:bCs/>
      <w:color w:val="0000FF"/>
      <w:kern w:val="2"/>
      <w:sz w:val="24"/>
      <w:szCs w:val="24"/>
    </w:rPr>
  </w:style>
  <w:style w:type="paragraph" w:customStyle="1" w:styleId="1228">
    <w:name w:val="样式 正文文字缩进 + 行距: 1.5 倍行距 首行缩进:  1.98 字符"/>
    <w:basedOn w:val="35"/>
    <w:qFormat/>
    <w:uiPriority w:val="0"/>
    <w:pPr>
      <w:snapToGrid w:val="0"/>
      <w:spacing w:line="500" w:lineRule="exact"/>
      <w:ind w:firstLine="560"/>
      <w:jc w:val="both"/>
      <w:textAlignment w:val="auto"/>
    </w:pPr>
    <w:rPr>
      <w:kern w:val="2"/>
      <w:szCs w:val="24"/>
    </w:rPr>
  </w:style>
  <w:style w:type="paragraph" w:customStyle="1" w:styleId="1229">
    <w:name w:val="样式 样式19 + 段前: 0.5 行"/>
    <w:basedOn w:val="1"/>
    <w:qFormat/>
    <w:uiPriority w:val="0"/>
    <w:pPr>
      <w:tabs>
        <w:tab w:val="left" w:pos="4755"/>
      </w:tabs>
      <w:spacing w:beforeLines="50" w:line="380" w:lineRule="exact"/>
      <w:jc w:val="center"/>
      <w:textAlignment w:val="center"/>
    </w:pPr>
    <w:rPr>
      <w:rFonts w:cs="宋体"/>
      <w:b/>
      <w:bCs/>
      <w:szCs w:val="20"/>
    </w:rPr>
  </w:style>
  <w:style w:type="paragraph" w:customStyle="1" w:styleId="1230">
    <w:name w:val="样式 样式 样式 黑色 行距: 1.5 倍行距 + 首行缩进:  2 字符 + 自动设置"/>
    <w:basedOn w:val="1"/>
    <w:link w:val="1231"/>
    <w:qFormat/>
    <w:uiPriority w:val="0"/>
    <w:pPr>
      <w:spacing w:line="312" w:lineRule="auto"/>
      <w:ind w:firstLine="200" w:firstLineChars="200"/>
    </w:pPr>
    <w:rPr>
      <w:rFonts w:cs="宋体"/>
      <w:sz w:val="24"/>
      <w:szCs w:val="20"/>
    </w:rPr>
  </w:style>
  <w:style w:type="character" w:customStyle="1" w:styleId="1231">
    <w:name w:val="样式 样式 样式 黑色 行距: 1.5 倍行距 + 首行缩进:  2 字符 + 自动设置 Char"/>
    <w:link w:val="1230"/>
    <w:qFormat/>
    <w:uiPriority w:val="0"/>
    <w:rPr>
      <w:rFonts w:cs="宋体"/>
      <w:kern w:val="2"/>
      <w:sz w:val="24"/>
    </w:rPr>
  </w:style>
  <w:style w:type="character" w:customStyle="1" w:styleId="1232">
    <w:name w:val="纯文本 字符"/>
    <w:link w:val="46"/>
    <w:qFormat/>
    <w:uiPriority w:val="99"/>
    <w:rPr>
      <w:rFonts w:ascii="宋体" w:hAnsi="Courier New"/>
      <w:kern w:val="2"/>
      <w:sz w:val="21"/>
    </w:rPr>
  </w:style>
  <w:style w:type="paragraph" w:customStyle="1" w:styleId="1233">
    <w:name w:val="二级 Char Char Char Char"/>
    <w:basedOn w:val="1"/>
    <w:qFormat/>
    <w:uiPriority w:val="0"/>
    <w:pPr>
      <w:adjustRightInd w:val="0"/>
      <w:spacing w:beforeLines="150" w:afterLines="100" w:line="360" w:lineRule="auto"/>
      <w:ind w:firstLine="200" w:firstLineChars="200"/>
      <w:textAlignment w:val="baseline"/>
    </w:pPr>
    <w:rPr>
      <w:rFonts w:ascii="宋体" w:hAnsi="宋体" w:cs="宋体"/>
      <w:sz w:val="24"/>
      <w:szCs w:val="21"/>
    </w:rPr>
  </w:style>
  <w:style w:type="character" w:customStyle="1" w:styleId="1234">
    <w:name w:val="段落1 Char1"/>
    <w:link w:val="1235"/>
    <w:qFormat/>
    <w:uiPriority w:val="0"/>
    <w:rPr>
      <w:bCs/>
      <w:spacing w:val="6"/>
      <w:sz w:val="24"/>
      <w:szCs w:val="24"/>
    </w:rPr>
  </w:style>
  <w:style w:type="paragraph" w:customStyle="1" w:styleId="1235">
    <w:name w:val="段落1"/>
    <w:basedOn w:val="1"/>
    <w:link w:val="1234"/>
    <w:qFormat/>
    <w:uiPriority w:val="0"/>
    <w:pPr>
      <w:adjustRightInd w:val="0"/>
      <w:spacing w:line="440" w:lineRule="exact"/>
      <w:ind w:firstLine="537" w:firstLineChars="213"/>
      <w:textAlignment w:val="baseline"/>
    </w:pPr>
    <w:rPr>
      <w:bCs/>
      <w:spacing w:val="6"/>
      <w:kern w:val="0"/>
      <w:sz w:val="24"/>
    </w:rPr>
  </w:style>
  <w:style w:type="character" w:customStyle="1" w:styleId="1236">
    <w:name w:val="表头 Char2"/>
    <w:qFormat/>
    <w:uiPriority w:val="0"/>
    <w:rPr>
      <w:rFonts w:eastAsia="黑体"/>
      <w:spacing w:val="10"/>
      <w:sz w:val="28"/>
      <w:lang w:val="en-US" w:eastAsia="zh-CN" w:bidi="ar-SA"/>
    </w:rPr>
  </w:style>
  <w:style w:type="character" w:customStyle="1" w:styleId="1237">
    <w:name w:val="表格文字 Char Char"/>
    <w:qFormat/>
    <w:uiPriority w:val="0"/>
    <w:rPr>
      <w:rFonts w:eastAsia="宋体"/>
    </w:rPr>
  </w:style>
  <w:style w:type="character" w:customStyle="1" w:styleId="1238">
    <w:name w:val="表 头 Char1"/>
    <w:qFormat/>
    <w:uiPriority w:val="0"/>
    <w:rPr>
      <w:rFonts w:eastAsia="黑体"/>
      <w:spacing w:val="10"/>
      <w:sz w:val="24"/>
      <w:lang w:val="en-US" w:eastAsia="zh-CN" w:bidi="ar-SA"/>
    </w:rPr>
  </w:style>
  <w:style w:type="character" w:customStyle="1" w:styleId="1239">
    <w:name w:val="15"/>
    <w:qFormat/>
    <w:uiPriority w:val="0"/>
    <w:rPr>
      <w:rFonts w:hint="default" w:ascii="Calibri" w:hAnsi="Calibri"/>
      <w:b/>
      <w:bCs/>
    </w:rPr>
  </w:style>
  <w:style w:type="paragraph" w:customStyle="1" w:styleId="1240">
    <w:name w:val="~~~正文"/>
    <w:basedOn w:val="1"/>
    <w:qFormat/>
    <w:uiPriority w:val="0"/>
    <w:pPr>
      <w:widowControl/>
      <w:spacing w:line="500" w:lineRule="exact"/>
      <w:ind w:firstLine="200" w:firstLineChars="200"/>
      <w:jc w:val="left"/>
    </w:pPr>
    <w:rPr>
      <w:sz w:val="24"/>
    </w:rPr>
  </w:style>
  <w:style w:type="paragraph" w:customStyle="1" w:styleId="1241">
    <w:name w:val="Q-表格文字"/>
    <w:basedOn w:val="970"/>
    <w:qFormat/>
    <w:uiPriority w:val="0"/>
    <w:pPr>
      <w:widowControl w:val="0"/>
      <w:jc w:val="center"/>
    </w:pPr>
    <w:rPr>
      <w:rFonts w:ascii="Times New Roman" w:hAnsi="Times New Roman" w:eastAsia="宋体" w:cs="宋体"/>
      <w:i w:val="0"/>
      <w:iCs w:val="0"/>
      <w:kern w:val="2"/>
      <w:sz w:val="21"/>
      <w:szCs w:val="21"/>
      <w:lang w:eastAsia="zh-CN" w:bidi="ar-SA"/>
    </w:rPr>
  </w:style>
  <w:style w:type="character" w:customStyle="1" w:styleId="1242">
    <w:name w:val="正文01 Char Char"/>
    <w:link w:val="659"/>
    <w:qFormat/>
    <w:uiPriority w:val="0"/>
    <w:rPr>
      <w:rFonts w:ascii="Courier New" w:hAnsi="Courier New" w:eastAsia="仿宋_GB2312" w:cs="Courier New"/>
      <w:snapToGrid w:val="0"/>
      <w:sz w:val="24"/>
      <w:szCs w:val="24"/>
    </w:rPr>
  </w:style>
  <w:style w:type="character" w:customStyle="1" w:styleId="1243">
    <w:name w:val="样式 样式 样式 样式 样式 样式 样式 样式 样式 样式 样式 首行缩进:  2 字符 + 首行缩进:  2 字符 + 首行缩... Char"/>
    <w:link w:val="1244"/>
    <w:qFormat/>
    <w:uiPriority w:val="0"/>
    <w:rPr>
      <w:rFonts w:ascii="宋体"/>
      <w:kern w:val="2"/>
      <w:sz w:val="24"/>
    </w:rPr>
  </w:style>
  <w:style w:type="paragraph" w:customStyle="1" w:styleId="1244">
    <w:name w:val="样式 样式 样式 样式 样式 样式 样式 样式 样式 样式 样式 首行缩进:  2 字符 + 首行缩进:  2 字符 + 首行缩..."/>
    <w:basedOn w:val="1"/>
    <w:link w:val="1243"/>
    <w:qFormat/>
    <w:uiPriority w:val="0"/>
    <w:pPr>
      <w:spacing w:line="360" w:lineRule="auto"/>
      <w:ind w:firstLine="480"/>
    </w:pPr>
    <w:rPr>
      <w:rFonts w:ascii="宋体"/>
      <w:sz w:val="24"/>
      <w:szCs w:val="20"/>
    </w:rPr>
  </w:style>
  <w:style w:type="paragraph" w:customStyle="1" w:styleId="1245">
    <w:name w:val="正"/>
    <w:basedOn w:val="1"/>
    <w:qFormat/>
    <w:uiPriority w:val="0"/>
    <w:pPr>
      <w:spacing w:beforeLines="25" w:afterLines="25" w:line="440" w:lineRule="exact"/>
      <w:ind w:firstLine="200" w:firstLineChars="200"/>
    </w:pPr>
  </w:style>
  <w:style w:type="character" w:customStyle="1" w:styleId="1246">
    <w:name w:val="正文文本 Char1"/>
    <w:qFormat/>
    <w:uiPriority w:val="0"/>
    <w:rPr>
      <w:rFonts w:ascii="宋体" w:eastAsia="宋体"/>
      <w:color w:val="000000"/>
      <w:sz w:val="24"/>
      <w:lang w:val="en-US" w:eastAsia="zh-CN" w:bidi="ar-SA"/>
    </w:rPr>
  </w:style>
  <w:style w:type="character" w:customStyle="1" w:styleId="1247">
    <w:name w:val="表格内容 Char"/>
    <w:link w:val="489"/>
    <w:qFormat/>
    <w:uiPriority w:val="0"/>
    <w:rPr>
      <w:rFonts w:ascii="Courier New" w:hAnsi="Courier New" w:eastAsia="仿宋_GB2312" w:cs="Courier New"/>
      <w:snapToGrid w:val="0"/>
      <w:color w:val="000000"/>
      <w:spacing w:val="-10"/>
      <w:sz w:val="28"/>
    </w:rPr>
  </w:style>
  <w:style w:type="paragraph" w:customStyle="1" w:styleId="1248">
    <w:name w:val="Table Paragraph"/>
    <w:basedOn w:val="1"/>
    <w:unhideWhenUsed/>
    <w:qFormat/>
    <w:uiPriority w:val="1"/>
    <w:rPr>
      <w:rFonts w:ascii="Calibri" w:hAnsi="Calibri"/>
      <w:sz w:val="24"/>
      <w:szCs w:val="22"/>
    </w:rPr>
  </w:style>
  <w:style w:type="character" w:customStyle="1" w:styleId="1249">
    <w:name w:val="样式 正文缩进 + 小三 首行缩进:  2 字符 行距: 固定值 29 磅 Char"/>
    <w:link w:val="1250"/>
    <w:qFormat/>
    <w:uiPriority w:val="0"/>
    <w:rPr>
      <w:rFonts w:ascii="仿宋_GB2312" w:hAnsi="宋体" w:eastAsia="仿宋_GB2312" w:cs="宋体"/>
      <w:sz w:val="28"/>
      <w:szCs w:val="24"/>
    </w:rPr>
  </w:style>
  <w:style w:type="paragraph" w:customStyle="1" w:styleId="1250">
    <w:name w:val="样式 正文缩进 + 小三 首行缩进:  2 字符 行距: 固定值 29 磅"/>
    <w:basedOn w:val="2"/>
    <w:link w:val="1249"/>
    <w:qFormat/>
    <w:uiPriority w:val="0"/>
    <w:pPr>
      <w:spacing w:line="580" w:lineRule="exact"/>
      <w:ind w:firstLine="560" w:firstLineChars="200"/>
    </w:pPr>
    <w:rPr>
      <w:rFonts w:ascii="仿宋_GB2312" w:hAnsi="宋体" w:eastAsia="仿宋_GB2312" w:cs="宋体"/>
      <w:kern w:val="0"/>
      <w:sz w:val="28"/>
      <w:szCs w:val="24"/>
    </w:rPr>
  </w:style>
  <w:style w:type="paragraph" w:customStyle="1" w:styleId="1251">
    <w:name w:val="2"/>
    <w:basedOn w:val="1"/>
    <w:next w:val="46"/>
    <w:qFormat/>
    <w:uiPriority w:val="0"/>
    <w:rPr>
      <w:rFonts w:ascii="宋体" w:hAnsi="Courier New"/>
      <w:kern w:val="0"/>
      <w:sz w:val="34"/>
      <w:szCs w:val="20"/>
    </w:rPr>
  </w:style>
  <w:style w:type="paragraph" w:customStyle="1" w:styleId="1252">
    <w:name w:val="正文3"/>
    <w:qFormat/>
    <w:uiPriority w:val="0"/>
    <w:pPr>
      <w:jc w:val="both"/>
    </w:pPr>
    <w:rPr>
      <w:rFonts w:ascii="Calibri" w:hAnsi="Calibri" w:eastAsia="宋体" w:cs="宋体"/>
      <w:kern w:val="2"/>
      <w:sz w:val="21"/>
      <w:szCs w:val="21"/>
      <w:lang w:val="en-US" w:eastAsia="zh-CN" w:bidi="ar-SA"/>
    </w:rPr>
  </w:style>
  <w:style w:type="paragraph" w:customStyle="1" w:styleId="1253">
    <w:name w:val="zhang正文 + 仿宋_GB2312"/>
    <w:basedOn w:val="1"/>
    <w:qFormat/>
    <w:uiPriority w:val="0"/>
    <w:pPr>
      <w:adjustRightInd w:val="0"/>
      <w:spacing w:before="50" w:after="50" w:line="500" w:lineRule="exact"/>
      <w:ind w:firstLine="620" w:firstLineChars="200"/>
    </w:pPr>
    <w:rPr>
      <w:rFonts w:ascii="仿宋_GB2312" w:hAnsi="宋体" w:eastAsia="仿宋_GB2312" w:cs="宋体"/>
      <w:spacing w:val="15"/>
      <w:kern w:val="0"/>
      <w:sz w:val="28"/>
      <w:szCs w:val="28"/>
    </w:rPr>
  </w:style>
  <w:style w:type="paragraph" w:customStyle="1" w:styleId="1254">
    <w:name w:val="正文5"/>
    <w:qFormat/>
    <w:uiPriority w:val="0"/>
    <w:pPr>
      <w:jc w:val="both"/>
    </w:pPr>
    <w:rPr>
      <w:rFonts w:ascii="Times New Roman" w:hAnsi="Times New Roman" w:eastAsia="宋体" w:cs="Times New Roman"/>
      <w:kern w:val="2"/>
      <w:sz w:val="21"/>
      <w:szCs w:val="21"/>
      <w:lang w:val="en-US" w:eastAsia="zh-CN" w:bidi="ar-SA"/>
    </w:rPr>
  </w:style>
  <w:style w:type="paragraph" w:customStyle="1" w:styleId="1255">
    <w:name w:val="正文-欣欣"/>
    <w:basedOn w:val="1"/>
    <w:qFormat/>
    <w:uiPriority w:val="0"/>
    <w:pPr>
      <w:adjustRightInd w:val="0"/>
      <w:snapToGrid w:val="0"/>
      <w:ind w:firstLine="200" w:firstLineChars="200"/>
    </w:pPr>
    <w:rPr>
      <w:sz w:val="24"/>
      <w:szCs w:val="30"/>
    </w:rPr>
  </w:style>
  <w:style w:type="paragraph" w:customStyle="1" w:styleId="1256">
    <w:name w:val="++++++++正文"/>
    <w:basedOn w:val="1"/>
    <w:qFormat/>
    <w:uiPriority w:val="0"/>
    <w:pPr>
      <w:autoSpaceDE w:val="0"/>
      <w:autoSpaceDN w:val="0"/>
      <w:adjustRightInd w:val="0"/>
      <w:ind w:firstLine="200" w:firstLineChars="200"/>
    </w:pPr>
    <w:rPr>
      <w:sz w:val="24"/>
    </w:rPr>
  </w:style>
  <w:style w:type="paragraph" w:customStyle="1" w:styleId="1257">
    <w:name w:val="表格首行"/>
    <w:basedOn w:val="1"/>
    <w:next w:val="5"/>
    <w:qFormat/>
    <w:uiPriority w:val="0"/>
    <w:pPr>
      <w:adjustRightInd w:val="0"/>
      <w:jc w:val="center"/>
    </w:pPr>
    <w:rPr>
      <w:rFonts w:cs="宋体"/>
      <w:b/>
      <w:szCs w:val="20"/>
    </w:rPr>
  </w:style>
  <w:style w:type="table" w:customStyle="1" w:styleId="1258">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259">
    <w:name w:val="列出段落5"/>
    <w:basedOn w:val="1"/>
    <w:unhideWhenUsed/>
    <w:qFormat/>
    <w:uiPriority w:val="99"/>
    <w:pPr>
      <w:spacing w:line="240" w:lineRule="auto"/>
      <w:ind w:firstLine="420" w:firstLineChars="200"/>
    </w:pPr>
    <w:rPr>
      <w:rFonts w:ascii="Times New Roman" w:hAnsi="Times New Roman" w:eastAsia="宋体" w:cs="Times New Roman"/>
      <w:szCs w:val="24"/>
    </w:rPr>
  </w:style>
  <w:style w:type="paragraph" w:customStyle="1" w:styleId="1260">
    <w:name w:val="列出段落8"/>
    <w:basedOn w:val="1"/>
    <w:qFormat/>
    <w:uiPriority w:val="1"/>
    <w:pPr>
      <w:spacing w:line="240" w:lineRule="auto"/>
      <w:ind w:firstLine="420" w:firstLineChars="200"/>
    </w:pPr>
    <w:rPr>
      <w:szCs w:val="22"/>
    </w:rPr>
  </w:style>
  <w:style w:type="paragraph" w:customStyle="1" w:styleId="1261">
    <w:name w:val="真·正文"/>
    <w:basedOn w:val="1"/>
    <w:next w:val="691"/>
    <w:qFormat/>
    <w:uiPriority w:val="0"/>
    <w:pPr>
      <w:ind w:firstLine="200"/>
    </w:pPr>
    <w:rPr>
      <w:rFonts w:ascii="Calibri"/>
    </w:rPr>
  </w:style>
  <w:style w:type="paragraph" w:customStyle="1" w:styleId="126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263">
    <w:name w:val="Normal_0_0"/>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仿宋" w:cs="Times New Roman"/>
      <w:kern w:val="2"/>
      <w:sz w:val="28"/>
      <w:szCs w:val="21"/>
      <w:lang w:val="en-US" w:eastAsia="zh-CN" w:bidi="ar"/>
    </w:rPr>
  </w:style>
  <w:style w:type="paragraph" w:customStyle="1" w:styleId="1264">
    <w:name w:val="表后第一段不加粗"/>
    <w:basedOn w:val="1"/>
    <w:qFormat/>
    <w:uiPriority w:val="0"/>
    <w:pPr>
      <w:adjustRightInd w:val="0"/>
      <w:snapToGrid w:val="0"/>
      <w:spacing w:beforeLines="50" w:after="100" w:afterAutospacing="1"/>
    </w:pPr>
  </w:style>
  <w:style w:type="paragraph" w:customStyle="1" w:styleId="1265">
    <w:name w:val="书正文"/>
    <w:basedOn w:val="1"/>
    <w:qFormat/>
    <w:uiPriority w:val="0"/>
  </w:style>
  <w:style w:type="paragraph" w:customStyle="1" w:styleId="1266">
    <w:name w:val="文本（正文）"/>
    <w:basedOn w:val="1"/>
    <w:qFormat/>
    <w:uiPriority w:val="0"/>
    <w:pPr>
      <w:adjustRightInd w:val="0"/>
      <w:snapToGrid w:val="0"/>
    </w:pPr>
    <w:rPr>
      <w:bCs/>
    </w:rPr>
  </w:style>
  <w:style w:type="paragraph" w:customStyle="1" w:styleId="1267">
    <w:name w:val="CCGL正文"/>
    <w:basedOn w:val="1"/>
    <w:unhideWhenUsed/>
    <w:qFormat/>
    <w:uiPriority w:val="0"/>
    <w:pPr>
      <w:spacing w:beforeLines="0" w:afterLines="0" w:line="460" w:lineRule="exact"/>
      <w:ind w:firstLine="420" w:firstLineChars="200"/>
    </w:pPr>
    <w:rPr>
      <w:rFonts w:hint="eastAsia" w:ascii="宋体" w:hAnsi="宋体" w:eastAsia="宋体"/>
      <w:kern w:val="0"/>
      <w:sz w:val="26"/>
    </w:rPr>
  </w:style>
  <w:style w:type="paragraph" w:customStyle="1" w:styleId="1268">
    <w:name w:val="rpt_表项"/>
    <w:basedOn w:val="1"/>
    <w:qFormat/>
    <w:uiPriority w:val="0"/>
    <w:pPr>
      <w:spacing w:before="60" w:after="60"/>
      <w:jc w:val="center"/>
    </w:pPr>
    <w:rPr>
      <w:rFonts w:cs="宋体"/>
      <w:sz w:val="22"/>
      <w:szCs w:val="20"/>
    </w:rPr>
  </w:style>
  <w:style w:type="table" w:customStyle="1" w:styleId="1269">
    <w:name w:val="Table Grid_0"/>
    <w:basedOn w:val="89"/>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footer" Target="footer4.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65.jpeg"/><Relationship Id="rId85" Type="http://schemas.openxmlformats.org/officeDocument/2006/relationships/image" Target="media/image64.png"/><Relationship Id="rId84" Type="http://schemas.openxmlformats.org/officeDocument/2006/relationships/image" Target="media/image63.jpeg"/><Relationship Id="rId83" Type="http://schemas.openxmlformats.org/officeDocument/2006/relationships/image" Target="media/image62.jpeg"/><Relationship Id="rId82" Type="http://schemas.openxmlformats.org/officeDocument/2006/relationships/image" Target="media/image61.jpeg"/><Relationship Id="rId81" Type="http://schemas.openxmlformats.org/officeDocument/2006/relationships/image" Target="media/image60.jpeg"/><Relationship Id="rId80" Type="http://schemas.openxmlformats.org/officeDocument/2006/relationships/image" Target="media/image59.jpeg"/><Relationship Id="rId8" Type="http://schemas.openxmlformats.org/officeDocument/2006/relationships/header" Target="header3.xml"/><Relationship Id="rId79" Type="http://schemas.openxmlformats.org/officeDocument/2006/relationships/image" Target="media/image58.jpeg"/><Relationship Id="rId78" Type="http://schemas.openxmlformats.org/officeDocument/2006/relationships/image" Target="media/image57.jpeg"/><Relationship Id="rId77" Type="http://schemas.openxmlformats.org/officeDocument/2006/relationships/image" Target="media/image56.jpeg"/><Relationship Id="rId76" Type="http://schemas.openxmlformats.org/officeDocument/2006/relationships/image" Target="media/image55.jpeg"/><Relationship Id="rId75" Type="http://schemas.openxmlformats.org/officeDocument/2006/relationships/image" Target="media/image54.jpeg"/><Relationship Id="rId74" Type="http://schemas.openxmlformats.org/officeDocument/2006/relationships/image" Target="media/image53.jpeg"/><Relationship Id="rId73" Type="http://schemas.openxmlformats.org/officeDocument/2006/relationships/image" Target="media/image52.jpeg"/><Relationship Id="rId72" Type="http://schemas.openxmlformats.org/officeDocument/2006/relationships/image" Target="media/image51.jpeg"/><Relationship Id="rId71" Type="http://schemas.openxmlformats.org/officeDocument/2006/relationships/image" Target="media/image50.jpeg"/><Relationship Id="rId70" Type="http://schemas.openxmlformats.org/officeDocument/2006/relationships/image" Target="media/image49.jpeg"/><Relationship Id="rId7" Type="http://schemas.openxmlformats.org/officeDocument/2006/relationships/footer" Target="footer3.xml"/><Relationship Id="rId69" Type="http://schemas.openxmlformats.org/officeDocument/2006/relationships/image" Target="media/image48.jpeg"/><Relationship Id="rId68" Type="http://schemas.openxmlformats.org/officeDocument/2006/relationships/image" Target="media/image47.jpeg"/><Relationship Id="rId67" Type="http://schemas.openxmlformats.org/officeDocument/2006/relationships/image" Target="media/image46.jpeg"/><Relationship Id="rId66" Type="http://schemas.openxmlformats.org/officeDocument/2006/relationships/image" Target="media/image45.jpeg"/><Relationship Id="rId65" Type="http://schemas.openxmlformats.org/officeDocument/2006/relationships/image" Target="media/image44.jpeg"/><Relationship Id="rId64" Type="http://schemas.openxmlformats.org/officeDocument/2006/relationships/image" Target="media/image43.jpeg"/><Relationship Id="rId63" Type="http://schemas.openxmlformats.org/officeDocument/2006/relationships/image" Target="media/image42.jpeg"/><Relationship Id="rId62" Type="http://schemas.openxmlformats.org/officeDocument/2006/relationships/image" Target="media/image41.jpeg"/><Relationship Id="rId61" Type="http://schemas.openxmlformats.org/officeDocument/2006/relationships/image" Target="media/image40.jpeg"/><Relationship Id="rId60" Type="http://schemas.openxmlformats.org/officeDocument/2006/relationships/image" Target="media/image39.jpeg"/><Relationship Id="rId6" Type="http://schemas.openxmlformats.org/officeDocument/2006/relationships/header" Target="header2.xml"/><Relationship Id="rId59" Type="http://schemas.openxmlformats.org/officeDocument/2006/relationships/image" Target="media/image38.jpe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jpe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footer" Target="footer2.xml"/><Relationship Id="rId49" Type="http://schemas.openxmlformats.org/officeDocument/2006/relationships/image" Target="media/image28.jpe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jpe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emf"/><Relationship Id="rId32" Type="http://schemas.openxmlformats.org/officeDocument/2006/relationships/oleObject" Target="embeddings/oleObject6.bin"/><Relationship Id="rId31" Type="http://schemas.openxmlformats.org/officeDocument/2006/relationships/image" Target="media/image11.e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emf"/><Relationship Id="rId27" Type="http://schemas.openxmlformats.org/officeDocument/2006/relationships/oleObject" Target="embeddings/oleObject4.bin"/><Relationship Id="rId26" Type="http://schemas.openxmlformats.org/officeDocument/2006/relationships/image" Target="media/image8.emf"/><Relationship Id="rId25" Type="http://schemas.openxmlformats.org/officeDocument/2006/relationships/oleObject" Target="embeddings/oleObject3.bin"/><Relationship Id="rId24" Type="http://schemas.openxmlformats.org/officeDocument/2006/relationships/image" Target="media/image7.png"/><Relationship Id="rId23" Type="http://schemas.openxmlformats.org/officeDocument/2006/relationships/image" Target="media/image6.wmf"/><Relationship Id="rId22" Type="http://schemas.openxmlformats.org/officeDocument/2006/relationships/oleObject" Target="embeddings/oleObject2.bin"/><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w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83FA1E-B967-44B1-9888-83CE1BCD29F6}">
  <ds:schemaRefs/>
</ds:datastoreItem>
</file>

<file path=docProps/app.xml><?xml version="1.0" encoding="utf-8"?>
<Properties xmlns="http://schemas.openxmlformats.org/officeDocument/2006/extended-properties" xmlns:vt="http://schemas.openxmlformats.org/officeDocument/2006/docPropsVTypes">
  <Template>Normal.dotm</Template>
  <Company>qrs</Company>
  <Pages>153</Pages>
  <Words>96004</Words>
  <Characters>111690</Characters>
  <Lines>962</Lines>
  <Paragraphs>271</Paragraphs>
  <TotalTime>16</TotalTime>
  <ScaleCrop>false</ScaleCrop>
  <LinksUpToDate>false</LinksUpToDate>
  <CharactersWithSpaces>112713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2017-08-17T04:16:00Z</dcterms:created>
  <dc:creator>海蓝</dc:creator>
  <cp:lastModifiedBy>Administrator</cp:lastModifiedBy>
  <cp:lastPrinted>2020-11-25T07:17:00Z</cp:lastPrinted>
  <dcterms:modified xsi:type="dcterms:W3CDTF">2023-05-22T00:49:37Z</dcterms:modified>
  <dc:title>目     录</dc:title>
  <cp:revision>763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A50F69903ABC4D17B19C7D817C928880_13</vt:lpwstr>
  </property>
</Properties>
</file>