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160"/>
        </w:tabs>
        <w:ind w:left="798" w:hanging="798" w:hangingChars="300"/>
        <w:rPr>
          <w:rFonts w:ascii="Times New Roman" w:hAnsi="Times New Roman" w:eastAsia="方正仿宋_GBK" w:cs="Times New Roman"/>
          <w:color w:val="333333"/>
          <w:spacing w:val="0"/>
          <w:sz w:val="32"/>
          <w:szCs w:val="32"/>
          <w:shd w:val="clear" w:color="auto" w:fill="FFFFFF"/>
          <w:lang w:bidi="ar-SA"/>
        </w:rPr>
      </w:pPr>
      <w:bookmarkStart w:id="0" w:name="_GoBack"/>
      <w:r>
        <w:rPr>
          <w:rFonts w:ascii="Times New Roman" w:hAnsi="Times New Roman" w:eastAsia="方正仿宋_GBK" w:cs="Times New Roman"/>
          <w:color w:val="333333"/>
          <w:spacing w:val="0"/>
          <w:w w:val="95"/>
          <w:sz w:val="28"/>
          <w:szCs w:val="28"/>
          <w:shd w:val="clear" w:color="auto" w:fill="FFFFFF"/>
          <w:lang w:bidi="ar-SA"/>
        </w:rPr>
        <w:t>四川洁安环境科技有限公司油气田废水处理厂入河排污口项目</w:t>
      </w:r>
    </w:p>
    <w:bookmarkEnd w:id="0"/>
    <w:tbl>
      <w:tblPr>
        <w:tblStyle w:val="3"/>
        <w:tblW w:w="86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60"/>
        <w:gridCol w:w="445"/>
        <w:gridCol w:w="511"/>
        <w:gridCol w:w="1204"/>
        <w:gridCol w:w="837"/>
        <w:gridCol w:w="820"/>
        <w:gridCol w:w="276"/>
        <w:gridCol w:w="407"/>
        <w:gridCol w:w="74"/>
        <w:gridCol w:w="19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申请单位</w:t>
            </w:r>
            <w:r>
              <w:rPr>
                <w:rFonts w:ascii="Times New Roman" w:hAnsi="Times New Roman" w:eastAsia="仿宋_GB2312"/>
                <w:bCs/>
                <w:color w:val="auto"/>
                <w:sz w:val="30"/>
                <w:szCs w:val="30"/>
                <w:vertAlign w:val="superscript"/>
              </w:rPr>
              <w:t>1</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仿宋_GB2312" w:cs="Times New Roman"/>
                <w:color w:val="auto"/>
                <w:szCs w:val="21"/>
                <w:lang w:val="en-US" w:eastAsia="zh-CN" w:bidi="ar-SA"/>
              </w:rPr>
            </w:pPr>
            <w:r>
              <w:rPr>
                <w:rFonts w:hint="default" w:ascii="Times New Roman" w:hAnsi="Times New Roman" w:eastAsia="仿宋_GB2312" w:cs="Times New Roman"/>
                <w:color w:val="auto"/>
                <w:szCs w:val="21"/>
                <w:lang w:val="en-US" w:eastAsia="zh-CN" w:bidi="ar-SA"/>
              </w:rPr>
              <w:t>四川洁安环境科技有限公司</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法人代表</w:t>
            </w:r>
            <w:r>
              <w:rPr>
                <w:rFonts w:ascii="Times New Roman" w:hAnsi="Times New Roman" w:eastAsia="仿宋_GB2312"/>
                <w:bCs/>
                <w:color w:val="auto"/>
                <w:sz w:val="30"/>
                <w:szCs w:val="30"/>
                <w:vertAlign w:val="superscript"/>
              </w:rPr>
              <w:t>2</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default" w:ascii="Times New Roman" w:hAnsi="Times New Roman" w:eastAsia="宋体" w:cs="Times New Roman"/>
                <w:color w:val="auto"/>
                <w:sz w:val="21"/>
                <w:szCs w:val="21"/>
                <w:lang w:val="en-US" w:eastAsia="en-US" w:bidi="zh-CN"/>
              </w:rPr>
              <w:t>张红飞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详细地址</w:t>
            </w:r>
            <w:r>
              <w:rPr>
                <w:rFonts w:ascii="Times New Roman" w:hAnsi="Times New Roman" w:eastAsia="仿宋_GB2312"/>
                <w:bCs/>
                <w:color w:val="auto"/>
                <w:sz w:val="30"/>
                <w:szCs w:val="30"/>
                <w:vertAlign w:val="superscript"/>
              </w:rPr>
              <w:t>3</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仿宋_GB2312" w:cs="Times New Roman"/>
                <w:color w:val="auto"/>
                <w:szCs w:val="21"/>
                <w:lang w:val="en-US" w:eastAsia="zh-CN" w:bidi="ar-SA"/>
              </w:rPr>
            </w:pPr>
            <w:r>
              <w:rPr>
                <w:rFonts w:hint="default" w:ascii="Times New Roman" w:hAnsi="Times New Roman" w:eastAsia="仿宋_GB2312" w:cs="Times New Roman"/>
                <w:color w:val="auto"/>
                <w:szCs w:val="21"/>
                <w:lang w:val="en-US" w:eastAsia="zh-CN" w:bidi="ar-SA"/>
              </w:rPr>
              <w:t>巴中市固废循环经济产业园</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邮政编码</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default" w:ascii="Times New Roman" w:hAnsi="Times New Roman" w:eastAsia="宋体" w:cs="Times New Roman"/>
                <w:color w:val="auto"/>
                <w:sz w:val="21"/>
                <w:szCs w:val="21"/>
                <w:lang w:bidi="zh-CN"/>
              </w:rPr>
              <w:t>636000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单位性质</w:t>
            </w:r>
            <w:r>
              <w:rPr>
                <w:rFonts w:ascii="Times New Roman" w:hAnsi="Times New Roman" w:eastAsia="仿宋_GB2312"/>
                <w:bCs/>
                <w:color w:val="auto"/>
                <w:sz w:val="30"/>
                <w:szCs w:val="30"/>
                <w:vertAlign w:val="superscript"/>
              </w:rPr>
              <w:t>4</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仿宋_GB2312"/>
                <w:color w:val="auto"/>
                <w:szCs w:val="20"/>
                <w:lang w:eastAsia="zh-CN"/>
              </w:rPr>
            </w:pPr>
            <w:r>
              <w:rPr>
                <w:rFonts w:hint="eastAsia" w:ascii="Times New Roman" w:hAnsi="Times New Roman" w:eastAsia="仿宋_GB2312"/>
                <w:color w:val="auto"/>
                <w:szCs w:val="21"/>
                <w:lang w:val="en-US" w:eastAsia="zh-CN"/>
              </w:rPr>
              <w:t>民营企业</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主管机关</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Times New Roman" w:hAnsi="Times New Roman" w:eastAsia="仿宋_GB2312"/>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仿宋_GB2312"/>
                <w:color w:val="auto"/>
              </w:rPr>
            </w:pPr>
            <w:r>
              <w:rPr>
                <w:rFonts w:hint="eastAsia" w:ascii="Times New Roman" w:hAnsi="Times New Roman" w:eastAsia="仿宋_GB2312"/>
                <w:color w:val="auto"/>
              </w:rPr>
              <w:t>是否</w:t>
            </w:r>
            <w:r>
              <w:rPr>
                <w:rFonts w:ascii="Times New Roman" w:hAnsi="Times New Roman" w:eastAsia="仿宋_GB2312"/>
                <w:color w:val="auto"/>
              </w:rPr>
              <w:t>涉密</w:t>
            </w:r>
          </w:p>
          <w:p>
            <w:pPr>
              <w:jc w:val="center"/>
              <w:rPr>
                <w:rFonts w:hint="eastAsia" w:ascii="Times New Roman" w:hAnsi="Times New Roman" w:eastAsia="仿宋_GB2312"/>
                <w:color w:val="auto"/>
              </w:rPr>
            </w:pPr>
            <w:r>
              <w:rPr>
                <w:rFonts w:hint="eastAsia" w:ascii="Times New Roman" w:hAnsi="Times New Roman" w:eastAsia="仿宋_GB2312"/>
                <w:color w:val="auto"/>
              </w:rPr>
              <w:t>（涉密</w:t>
            </w:r>
            <w:r>
              <w:rPr>
                <w:rFonts w:ascii="Times New Roman" w:hAnsi="Times New Roman" w:eastAsia="仿宋_GB2312"/>
                <w:color w:val="auto"/>
              </w:rPr>
              <w:t>种类）</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Times New Roman" w:hAnsi="Times New Roman" w:eastAsia="仿宋_GB2312"/>
                <w:color w:val="auto"/>
                <w:szCs w:val="20"/>
              </w:rPr>
            </w:pPr>
            <w:r>
              <w:rPr>
                <w:rFonts w:ascii="Times New Roman" w:hAnsi="Times New Roman" w:eastAsia="仿宋_GB2312"/>
                <w:color w:val="auto"/>
                <w:szCs w:val="20"/>
              </w:rPr>
              <w:t>否</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Times New Roman" w:hAnsi="Times New Roman" w:eastAsia="仿宋_GB2312"/>
                <w:color w:val="auto"/>
              </w:rPr>
            </w:pPr>
            <w:r>
              <w:rPr>
                <w:rFonts w:hint="eastAsia" w:ascii="Times New Roman" w:hAnsi="Times New Roman" w:eastAsia="仿宋_GB2312"/>
                <w:color w:val="auto"/>
              </w:rPr>
              <w:t>是否</w:t>
            </w:r>
            <w:r>
              <w:rPr>
                <w:rFonts w:ascii="Times New Roman" w:hAnsi="Times New Roman" w:eastAsia="仿宋_GB2312"/>
                <w:color w:val="auto"/>
              </w:rPr>
              <w:t>同意公开</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Times New Roman" w:hAnsi="Times New Roman" w:eastAsia="仿宋_GB2312"/>
                <w:color w:val="auto"/>
                <w:szCs w:val="20"/>
              </w:rPr>
            </w:pPr>
            <w:r>
              <w:rPr>
                <w:rFonts w:hint="eastAsia" w:ascii="Times New Roman" w:hAnsi="Times New Roman" w:eastAsia="仿宋_GB2312"/>
                <w:color w:val="auto"/>
                <w:szCs w:val="20"/>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before="156"/>
              <w:ind w:firstLine="210" w:firstLineChars="100"/>
              <w:jc w:val="center"/>
              <w:rPr>
                <w:rFonts w:ascii="Times New Roman" w:hAnsi="Times New Roman" w:eastAsia="仿宋_GB2312"/>
                <w:color w:val="auto"/>
              </w:rPr>
            </w:pPr>
            <w:r>
              <w:rPr>
                <w:rFonts w:hint="eastAsia" w:ascii="Times New Roman" w:hAnsi="Times New Roman" w:eastAsia="仿宋_GB2312"/>
                <w:color w:val="auto"/>
              </w:rPr>
              <w:t>取用水量</w:t>
            </w:r>
          </w:p>
          <w:p>
            <w:pPr>
              <w:spacing w:before="156"/>
              <w:ind w:firstLine="210" w:firstLineChars="100"/>
              <w:jc w:val="center"/>
              <w:rPr>
                <w:rFonts w:hint="eastAsia" w:ascii="Times New Roman" w:hAnsi="Times New Roman" w:eastAsia="仿宋_GB2312"/>
                <w:color w:val="auto"/>
              </w:rPr>
            </w:pPr>
            <w:r>
              <w:rPr>
                <w:rFonts w:hint="eastAsia" w:ascii="Times New Roman" w:hAnsi="Times New Roman" w:eastAsia="仿宋_GB2312"/>
                <w:color w:val="auto"/>
              </w:rPr>
              <w:t>（万t</w:t>
            </w:r>
            <w:r>
              <w:rPr>
                <w:rFonts w:ascii="Times New Roman" w:hAnsi="Times New Roman" w:eastAsia="仿宋_GB2312"/>
                <w:color w:val="auto"/>
              </w:rPr>
              <w:t>/年）</w:t>
            </w:r>
            <w:r>
              <w:rPr>
                <w:rFonts w:ascii="Times New Roman" w:hAnsi="Times New Roman" w:eastAsia="仿宋_GB2312"/>
                <w:bCs/>
                <w:color w:val="auto"/>
                <w:sz w:val="30"/>
                <w:szCs w:val="30"/>
                <w:vertAlign w:val="superscript"/>
              </w:rPr>
              <w:t>5</w:t>
            </w: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Times New Roman" w:hAnsi="Times New Roman" w:eastAsia="仿宋_GB2312"/>
                <w:color w:val="auto"/>
                <w:szCs w:val="20"/>
                <w:lang w:eastAsia="zh-CN"/>
              </w:rPr>
            </w:pPr>
            <w:r>
              <w:rPr>
                <w:rFonts w:hint="eastAsia" w:ascii="Times New Roman" w:hAnsi="Times New Roman" w:eastAsia="仿宋_GB2312"/>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8"/>
              </w:rPr>
            </w:pPr>
            <w:r>
              <w:rPr>
                <w:rFonts w:hint="eastAsia" w:ascii="Times New Roman" w:hAnsi="Times New Roman" w:eastAsia="仿宋_GB2312"/>
                <w:color w:val="auto"/>
                <w:szCs w:val="28"/>
              </w:rPr>
              <w:t>服务面积（</w:t>
            </w:r>
            <w:r>
              <w:rPr>
                <w:rFonts w:ascii="Times New Roman" w:hAnsi="Times New Roman" w:eastAsia="仿宋_GB2312"/>
                <w:color w:val="auto"/>
                <w:szCs w:val="28"/>
              </w:rPr>
              <w:t>km</w:t>
            </w:r>
            <w:r>
              <w:rPr>
                <w:rFonts w:ascii="Times New Roman" w:hAnsi="Times New Roman" w:eastAsia="仿宋_GB2312"/>
                <w:bCs/>
                <w:color w:val="auto"/>
                <w:sz w:val="30"/>
                <w:szCs w:val="30"/>
                <w:vertAlign w:val="superscript"/>
              </w:rPr>
              <w:t>2</w:t>
            </w:r>
            <w:r>
              <w:rPr>
                <w:rFonts w:ascii="Times New Roman" w:hAnsi="Times New Roman" w:eastAsia="仿宋_GB2312"/>
                <w:color w:val="auto"/>
                <w:szCs w:val="28"/>
              </w:rPr>
              <w:t>）</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仿宋_GB2312"/>
                <w:color w:val="auto"/>
                <w:szCs w:val="28"/>
              </w:rPr>
            </w:pPr>
            <w:r>
              <w:rPr>
                <w:rFonts w:hint="eastAsia" w:ascii="Times New Roman" w:hAnsi="Times New Roman" w:eastAsia="仿宋_GB2312"/>
                <w:color w:val="auto"/>
                <w:szCs w:val="21"/>
                <w:lang w:val="en-US" w:eastAsia="zh-CN"/>
              </w:rPr>
              <w:t>/</w:t>
            </w:r>
          </w:p>
        </w:tc>
        <w:tc>
          <w:tcPr>
            <w:tcW w:w="1657"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8"/>
              </w:rPr>
            </w:pPr>
            <w:r>
              <w:rPr>
                <w:rFonts w:hint="eastAsia" w:ascii="Times New Roman" w:hAnsi="Times New Roman" w:eastAsia="仿宋_GB2312"/>
                <w:color w:val="auto"/>
                <w:szCs w:val="28"/>
              </w:rPr>
              <w:t>服务人口</w:t>
            </w:r>
          </w:p>
        </w:tc>
        <w:tc>
          <w:tcPr>
            <w:tcW w:w="2719"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仿宋_GB2312"/>
                <w:color w:val="auto"/>
                <w:szCs w:val="28"/>
              </w:rPr>
            </w:pPr>
            <w:r>
              <w:rPr>
                <w:rFonts w:hint="eastAsia" w:ascii="Times New Roman" w:hAnsi="Times New Roman" w:eastAsia="仿宋_GB2312"/>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排污口设置类型</w:t>
            </w:r>
            <w:r>
              <w:rPr>
                <w:rFonts w:ascii="Times New Roman" w:hAnsi="Times New Roman" w:eastAsia="仿宋_GB2312"/>
                <w:bCs/>
                <w:color w:val="auto"/>
                <w:sz w:val="30"/>
                <w:szCs w:val="30"/>
                <w:vertAlign w:val="superscript"/>
              </w:rPr>
              <w:t>6</w:t>
            </w: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新建</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b/>
                <w:color w:val="auto"/>
                <w:szCs w:val="20"/>
              </w:rPr>
            </w:pPr>
            <w:r>
              <w:rPr>
                <w:rFonts w:hint="eastAsia" w:ascii="Times New Roman" w:hAnsi="Times New Roman" w:eastAsia="仿宋_GB2312"/>
                <w:color w:val="auto"/>
                <w:sz w:val="24"/>
              </w:rPr>
              <w:t>√</w:t>
            </w:r>
          </w:p>
        </w:tc>
        <w:tc>
          <w:tcPr>
            <w:tcW w:w="165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排污口分类</w:t>
            </w:r>
            <w:r>
              <w:rPr>
                <w:rFonts w:ascii="Times New Roman" w:hAnsi="Times New Roman" w:eastAsia="仿宋_GB2312"/>
                <w:bCs/>
                <w:color w:val="auto"/>
                <w:sz w:val="30"/>
                <w:szCs w:val="30"/>
                <w:vertAlign w:val="superscript"/>
              </w:rPr>
              <w:t>6</w:t>
            </w:r>
          </w:p>
        </w:tc>
        <w:tc>
          <w:tcPr>
            <w:tcW w:w="757"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工业</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b/>
                <w:color w:val="auto"/>
                <w:szCs w:val="20"/>
              </w:rPr>
            </w:pPr>
            <w:r>
              <w:rPr>
                <w:rFonts w:hint="eastAsia" w:ascii="Times New Roman" w:hAnsi="Times New Roman" w:eastAsia="仿宋_GB2312"/>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改建</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p>
        </w:tc>
        <w:tc>
          <w:tcPr>
            <w:tcW w:w="16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tc>
        <w:tc>
          <w:tcPr>
            <w:tcW w:w="757"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生活</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扩大</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p>
        </w:tc>
        <w:tc>
          <w:tcPr>
            <w:tcW w:w="16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tc>
        <w:tc>
          <w:tcPr>
            <w:tcW w:w="757"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混合</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排放方式</w:t>
            </w:r>
            <w:r>
              <w:rPr>
                <w:rFonts w:ascii="Times New Roman" w:hAnsi="Times New Roman" w:eastAsia="仿宋_GB2312"/>
                <w:bCs/>
                <w:color w:val="auto"/>
                <w:sz w:val="30"/>
                <w:szCs w:val="30"/>
                <w:vertAlign w:val="superscript"/>
              </w:rPr>
              <w:t>6</w:t>
            </w: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连续</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p>
        </w:tc>
        <w:tc>
          <w:tcPr>
            <w:tcW w:w="165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210" w:firstLineChars="100"/>
              <w:jc w:val="center"/>
              <w:rPr>
                <w:rFonts w:ascii="Times New Roman" w:hAnsi="Times New Roman" w:eastAsia="仿宋_GB2312"/>
                <w:color w:val="auto"/>
                <w:szCs w:val="20"/>
              </w:rPr>
            </w:pPr>
            <w:r>
              <w:rPr>
                <w:rFonts w:hint="eastAsia" w:ascii="Times New Roman" w:hAnsi="Times New Roman" w:eastAsia="仿宋_GB2312"/>
                <w:color w:val="auto"/>
              </w:rPr>
              <w:t>入河方式</w:t>
            </w:r>
            <w:r>
              <w:rPr>
                <w:rFonts w:ascii="Times New Roman" w:hAnsi="Times New Roman" w:eastAsia="仿宋_GB2312"/>
                <w:bCs/>
                <w:color w:val="auto"/>
                <w:sz w:val="30"/>
                <w:szCs w:val="30"/>
                <w:vertAlign w:val="superscript"/>
              </w:rPr>
              <w:t>6</w:t>
            </w:r>
          </w:p>
        </w:tc>
        <w:tc>
          <w:tcPr>
            <w:tcW w:w="2719"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仿宋_GB2312"/>
                <w:color w:val="auto"/>
              </w:rPr>
            </w:pPr>
            <w:r>
              <w:rPr>
                <w:rFonts w:hint="eastAsia" w:ascii="Times New Roman" w:hAnsi="Times New Roman" w:eastAsia="仿宋_GB2312"/>
                <w:color w:val="auto"/>
              </w:rPr>
              <w:t>明渠（）、暗管（</w:t>
            </w:r>
            <w:r>
              <w:rPr>
                <w:rFonts w:hint="eastAsia" w:ascii="Times New Roman" w:hAnsi="Times New Roman" w:eastAsia="仿宋_GB2312"/>
                <w:color w:val="auto"/>
                <w:sz w:val="24"/>
              </w:rPr>
              <w:t>√</w:t>
            </w:r>
            <w:r>
              <w:rPr>
                <w:rFonts w:hint="eastAsia" w:ascii="Times New Roman" w:hAnsi="Times New Roman" w:eastAsia="仿宋_GB2312"/>
                <w:color w:val="auto"/>
              </w:rPr>
              <w:t>）</w:t>
            </w:r>
          </w:p>
          <w:p>
            <w:pPr>
              <w:jc w:val="center"/>
              <w:rPr>
                <w:rFonts w:ascii="Times New Roman" w:hAnsi="Times New Roman" w:eastAsia="仿宋_GB2312"/>
                <w:color w:val="auto"/>
              </w:rPr>
            </w:pPr>
            <w:r>
              <w:rPr>
                <w:rFonts w:hint="eastAsia" w:ascii="Times New Roman" w:hAnsi="Times New Roman" w:eastAsia="仿宋_GB2312"/>
                <w:color w:val="auto"/>
              </w:rPr>
              <w:t>泵站（）、涵闸（）</w:t>
            </w:r>
          </w:p>
          <w:p>
            <w:pPr>
              <w:jc w:val="center"/>
              <w:rPr>
                <w:rFonts w:ascii="Times New Roman" w:hAnsi="Times New Roman" w:eastAsia="仿宋_GB2312"/>
                <w:color w:val="auto"/>
                <w:szCs w:val="20"/>
              </w:rPr>
            </w:pPr>
            <w:r>
              <w:rPr>
                <w:rFonts w:hint="eastAsia" w:ascii="Times New Roman" w:hAnsi="Times New Roman" w:eastAsia="仿宋_GB2312"/>
                <w:color w:val="auto"/>
              </w:rPr>
              <w:t>潜没（）、其他（）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间歇</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sz w:val="24"/>
              </w:rPr>
              <w:t>√</w:t>
            </w:r>
          </w:p>
        </w:tc>
        <w:tc>
          <w:tcPr>
            <w:tcW w:w="16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tc>
        <w:tc>
          <w:tcPr>
            <w:tcW w:w="2719" w:type="dxa"/>
            <w:gridSpan w:val="4"/>
            <w:vMerge w:val="continue"/>
            <w:tcBorders>
              <w:top w:val="single" w:color="auto" w:sz="4" w:space="0"/>
              <w:left w:val="single" w:color="auto" w:sz="4" w:space="0"/>
              <w:bottom w:val="single" w:color="auto" w:sz="4" w:space="0"/>
              <w:right w:val="single" w:color="auto" w:sz="4" w:space="0"/>
            </w:tcBorders>
            <w:noWrap w:val="0"/>
            <w:vAlign w:val="center"/>
          </w:tc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入河排污口位置</w:t>
            </w: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spacing w:line="600" w:lineRule="exact"/>
              <w:jc w:val="left"/>
              <w:rPr>
                <w:rFonts w:hint="default" w:ascii="Times New Roman" w:hAnsi="Times New Roman" w:eastAsia="仿宋_GB2312"/>
                <w:color w:val="auto"/>
                <w:szCs w:val="20"/>
                <w:lang w:val="en-US" w:eastAsia="zh-CN"/>
              </w:rPr>
            </w:pPr>
            <w:r>
              <w:rPr>
                <w:rFonts w:hint="eastAsia" w:ascii="Times New Roman" w:hAnsi="Times New Roman" w:eastAsia="仿宋_GB2312"/>
                <w:color w:val="auto"/>
              </w:rPr>
              <w:t>所在行政区</w:t>
            </w:r>
            <w:r>
              <w:rPr>
                <w:rFonts w:ascii="Times New Roman" w:hAnsi="Times New Roman" w:eastAsia="仿宋_GB2312"/>
                <w:bCs/>
                <w:color w:val="auto"/>
                <w:sz w:val="30"/>
                <w:szCs w:val="30"/>
                <w:vertAlign w:val="superscript"/>
              </w:rPr>
              <w:t>7</w:t>
            </w:r>
            <w:r>
              <w:rPr>
                <w:rFonts w:hint="eastAsia" w:ascii="Times New Roman" w:hAnsi="Times New Roman" w:eastAsia="仿宋_GB2312"/>
                <w:color w:val="auto"/>
              </w:rPr>
              <w:t>：</w:t>
            </w:r>
            <w:r>
              <w:rPr>
                <w:rFonts w:hint="eastAsia" w:ascii="Times New Roman" w:hAnsi="Times New Roman" w:eastAsia="仿宋_GB2312"/>
                <w:color w:val="auto"/>
                <w:szCs w:val="21"/>
                <w:lang w:val="en-US" w:eastAsia="zh-CN"/>
              </w:rPr>
              <w:t>巴中市巴州区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spacing w:line="600" w:lineRule="exact"/>
              <w:jc w:val="left"/>
              <w:rPr>
                <w:rFonts w:hint="default" w:ascii="Times New Roman" w:hAnsi="Times New Roman" w:eastAsia="仿宋_GB2312"/>
                <w:color w:val="auto"/>
                <w:szCs w:val="20"/>
                <w:lang w:val="en-US" w:eastAsia="zh-CN"/>
              </w:rPr>
            </w:pPr>
            <w:r>
              <w:rPr>
                <w:rFonts w:hint="eastAsia" w:ascii="Times New Roman" w:hAnsi="Times New Roman" w:eastAsia="仿宋_GB2312"/>
                <w:color w:val="auto"/>
              </w:rPr>
              <w:t>排入水体名称</w:t>
            </w:r>
            <w:r>
              <w:rPr>
                <w:rFonts w:ascii="Times New Roman" w:hAnsi="Times New Roman" w:eastAsia="仿宋_GB2312"/>
                <w:bCs/>
                <w:color w:val="auto"/>
                <w:sz w:val="30"/>
                <w:szCs w:val="30"/>
                <w:vertAlign w:val="superscript"/>
              </w:rPr>
              <w:t>8</w:t>
            </w:r>
            <w:r>
              <w:rPr>
                <w:rFonts w:hint="eastAsia" w:ascii="Times New Roman" w:hAnsi="Times New Roman" w:eastAsia="仿宋_GB2312"/>
                <w:color w:val="auto"/>
              </w:rPr>
              <w:t>：</w:t>
            </w:r>
            <w:r>
              <w:rPr>
                <w:rFonts w:hint="eastAsia" w:ascii="Times New Roman" w:hAnsi="Times New Roman" w:eastAsia="仿宋_GB2312"/>
                <w:color w:val="auto"/>
                <w:lang w:val="en-US" w:eastAsia="zh-CN"/>
              </w:rPr>
              <w:t>南江河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spacing w:line="600" w:lineRule="exact"/>
              <w:jc w:val="left"/>
              <w:rPr>
                <w:rFonts w:ascii="Times New Roman" w:hAnsi="Times New Roman" w:eastAsia="仿宋_GB2312"/>
                <w:color w:val="auto"/>
                <w:szCs w:val="20"/>
              </w:rPr>
            </w:pPr>
            <w:r>
              <w:rPr>
                <w:rFonts w:hint="eastAsia" w:ascii="Times New Roman" w:hAnsi="Times New Roman" w:eastAsia="仿宋_GB2312"/>
                <w:color w:val="auto"/>
              </w:rPr>
              <w:t>排入的水功能区名称</w:t>
            </w:r>
            <w:r>
              <w:rPr>
                <w:rFonts w:ascii="Times New Roman" w:hAnsi="Times New Roman" w:eastAsia="仿宋_GB2312"/>
                <w:bCs/>
                <w:color w:val="auto"/>
                <w:sz w:val="30"/>
                <w:szCs w:val="30"/>
                <w:vertAlign w:val="superscript"/>
              </w:rPr>
              <w:t>9</w:t>
            </w:r>
            <w:r>
              <w:rPr>
                <w:rFonts w:hint="eastAsia" w:ascii="Times New Roman" w:hAnsi="Times New Roman" w:eastAsia="仿宋_GB2312"/>
                <w:color w:val="auto"/>
              </w:rPr>
              <w:t>：渠江巴中、平昌保留区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仿宋_GB2312"/>
                <w:color w:val="auto"/>
              </w:rPr>
            </w:pPr>
            <w:r>
              <w:rPr>
                <w:rFonts w:hint="default" w:ascii="Times New Roman" w:hAnsi="Times New Roman" w:eastAsia="仿宋_GB2312"/>
                <w:color w:val="auto"/>
              </w:rPr>
              <w:t>东经</w:t>
            </w:r>
            <w:r>
              <w:rPr>
                <w:rFonts w:hint="eastAsia" w:ascii="Times New Roman" w:hAnsi="Times New Roman" w:eastAsia="仿宋_GB2312"/>
                <w:color w:val="auto"/>
              </w:rPr>
              <w:t>106°45′41.22″</w:t>
            </w:r>
            <w:r>
              <w:rPr>
                <w:rFonts w:hint="default" w:ascii="Times New Roman" w:hAnsi="Times New Roman" w:eastAsia="仿宋_GB2312"/>
                <w:color w:val="auto"/>
              </w:rPr>
              <w:t>，北纬</w:t>
            </w:r>
            <w:r>
              <w:rPr>
                <w:rFonts w:hint="eastAsia" w:ascii="Times New Roman" w:hAnsi="Times New Roman" w:eastAsia="仿宋_GB2312"/>
                <w:color w:val="auto"/>
              </w:rPr>
              <w:t>31°46′43.34″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仿宋_GB2312"/>
                <w:color w:val="auto"/>
                <w:szCs w:val="20"/>
              </w:rPr>
            </w:pPr>
            <w:r>
              <w:rPr>
                <w:rFonts w:hint="eastAsia" w:ascii="Times New Roman" w:hAnsi="Times New Roman" w:eastAsia="仿宋_GB2312"/>
                <w:color w:val="auto"/>
              </w:rPr>
              <w:t>设计排污能力（t</w:t>
            </w:r>
            <w:r>
              <w:rPr>
                <w:rFonts w:ascii="Times New Roman" w:hAnsi="Times New Roman" w:eastAsia="仿宋_GB2312"/>
                <w:color w:val="auto"/>
              </w:rPr>
              <w:t>/</w:t>
            </w:r>
            <w:r>
              <w:rPr>
                <w:rFonts w:hint="eastAsia" w:ascii="Times New Roman" w:hAnsi="Times New Roman" w:eastAsia="仿宋_GB2312"/>
                <w:color w:val="auto"/>
              </w:rPr>
              <w:t>d</w:t>
            </w:r>
            <w:r>
              <w:rPr>
                <w:rFonts w:ascii="Times New Roman" w:hAnsi="Times New Roman" w:eastAsia="仿宋_GB2312"/>
                <w:color w:val="auto"/>
              </w:rPr>
              <w:t>）</w:t>
            </w:r>
            <w:r>
              <w:rPr>
                <w:rFonts w:ascii="Times New Roman" w:hAnsi="Times New Roman" w:eastAsia="仿宋_GB2312"/>
                <w:bCs/>
                <w:color w:val="auto"/>
                <w:sz w:val="30"/>
                <w:szCs w:val="30"/>
                <w:vertAlign w:val="superscript"/>
              </w:rPr>
              <w:t>10</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1"/>
                <w:lang w:val="en-US" w:eastAsia="zh-CN"/>
              </w:rPr>
              <w:t>600</w:t>
            </w:r>
          </w:p>
        </w:tc>
        <w:tc>
          <w:tcPr>
            <w:tcW w:w="193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8"/>
              </w:rPr>
            </w:pPr>
            <w:r>
              <w:rPr>
                <w:rFonts w:hint="eastAsia" w:ascii="Times New Roman" w:hAnsi="Times New Roman" w:eastAsia="仿宋_GB2312"/>
                <w:color w:val="auto"/>
                <w:szCs w:val="28"/>
              </w:rPr>
              <w:t>排污口大小</w:t>
            </w: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default" w:ascii="Times New Roman" w:hAnsi="Times New Roman" w:eastAsia="仿宋_GB2312"/>
                <w:color w:val="auto"/>
                <w:szCs w:val="28"/>
                <w:lang w:val="en-US" w:eastAsia="zh-CN"/>
              </w:rPr>
            </w:pPr>
            <w:r>
              <w:rPr>
                <w:rFonts w:hint="eastAsia" w:ascii="Times New Roman" w:hAnsi="Times New Roman" w:eastAsia="仿宋_GB2312"/>
                <w:color w:val="auto"/>
                <w:szCs w:val="28"/>
                <w:lang w:val="en-US" w:eastAsia="zh-CN"/>
              </w:rPr>
              <w:t>DN250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工业废水排放量（t</w:t>
            </w:r>
            <w:r>
              <w:rPr>
                <w:rFonts w:ascii="Times New Roman" w:hAnsi="Times New Roman" w:eastAsia="仿宋_GB2312"/>
                <w:color w:val="auto"/>
              </w:rPr>
              <w:t>/</w:t>
            </w:r>
            <w:r>
              <w:rPr>
                <w:rFonts w:hint="eastAsia" w:ascii="Times New Roman" w:hAnsi="Times New Roman" w:eastAsia="仿宋_GB2312"/>
                <w:color w:val="auto"/>
              </w:rPr>
              <w:t>d</w:t>
            </w:r>
            <w:r>
              <w:rPr>
                <w:rFonts w:ascii="Times New Roman" w:hAnsi="Times New Roman" w:eastAsia="仿宋_GB2312"/>
                <w:color w:val="auto"/>
              </w:rPr>
              <w:t>）</w:t>
            </w:r>
            <w:r>
              <w:rPr>
                <w:rFonts w:ascii="Times New Roman" w:hAnsi="Times New Roman" w:eastAsia="仿宋_GB2312"/>
                <w:bCs/>
                <w:color w:val="auto"/>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1"/>
                <w:lang w:val="en-US" w:eastAsia="zh-CN"/>
              </w:rPr>
              <w:t>600</w:t>
            </w:r>
          </w:p>
        </w:tc>
        <w:tc>
          <w:tcPr>
            <w:tcW w:w="1933"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p>
          <w:p>
            <w:pPr>
              <w:spacing w:line="600" w:lineRule="exact"/>
              <w:jc w:val="center"/>
              <w:rPr>
                <w:rFonts w:ascii="Times New Roman" w:hAnsi="Times New Roman" w:eastAsia="仿宋_GB2312"/>
                <w:color w:val="auto"/>
                <w:szCs w:val="28"/>
              </w:rPr>
            </w:pPr>
            <w:r>
              <w:rPr>
                <w:rFonts w:hint="eastAsia" w:ascii="Times New Roman" w:hAnsi="Times New Roman" w:eastAsia="仿宋_GB2312"/>
                <w:color w:val="auto"/>
                <w:szCs w:val="28"/>
              </w:rPr>
              <w:t>年排放污水总量（万t）</w:t>
            </w:r>
            <w:r>
              <w:rPr>
                <w:rFonts w:ascii="Times New Roman" w:hAnsi="Times New Roman" w:eastAsia="仿宋_GB2312"/>
                <w:bCs/>
                <w:color w:val="auto"/>
                <w:sz w:val="30"/>
                <w:szCs w:val="30"/>
                <w:vertAlign w:val="superscript"/>
              </w:rPr>
              <w:t>11</w:t>
            </w:r>
          </w:p>
        </w:tc>
        <w:tc>
          <w:tcPr>
            <w:tcW w:w="2443"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default" w:ascii="Times New Roman" w:hAnsi="Times New Roman" w:eastAsia="仿宋_GB2312"/>
                <w:b/>
                <w:color w:val="auto"/>
                <w:szCs w:val="20"/>
                <w:lang w:val="en-US" w:eastAsia="zh-CN"/>
              </w:rPr>
            </w:pPr>
            <w:r>
              <w:rPr>
                <w:rFonts w:hint="eastAsia" w:ascii="Times New Roman" w:hAnsi="Times New Roman" w:eastAsia="仿宋_GB2312"/>
                <w:color w:val="auto"/>
                <w:szCs w:val="21"/>
                <w:lang w:val="en-US" w:eastAsia="zh-CN"/>
              </w:rPr>
              <w:t>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生活污水排放量（t</w:t>
            </w:r>
            <w:r>
              <w:rPr>
                <w:rFonts w:ascii="Times New Roman" w:hAnsi="Times New Roman" w:eastAsia="仿宋_GB2312"/>
                <w:color w:val="auto"/>
              </w:rPr>
              <w:t>/</w:t>
            </w:r>
            <w:r>
              <w:rPr>
                <w:rFonts w:hint="eastAsia" w:ascii="Times New Roman" w:hAnsi="Times New Roman" w:eastAsia="仿宋_GB2312"/>
                <w:color w:val="auto"/>
              </w:rPr>
              <w:t>d</w:t>
            </w:r>
            <w:r>
              <w:rPr>
                <w:rFonts w:ascii="Times New Roman" w:hAnsi="Times New Roman" w:eastAsia="仿宋_GB2312"/>
                <w:color w:val="auto"/>
              </w:rPr>
              <w:t>）</w:t>
            </w:r>
            <w:r>
              <w:rPr>
                <w:rFonts w:ascii="Times New Roman" w:hAnsi="Times New Roman" w:eastAsia="仿宋_GB2312"/>
                <w:bCs/>
                <w:color w:val="auto"/>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w:t>
            </w:r>
          </w:p>
        </w:tc>
        <w:tc>
          <w:tcPr>
            <w:tcW w:w="193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24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rPr>
            </w:pPr>
            <w:r>
              <w:rPr>
                <w:rFonts w:hint="eastAsia" w:ascii="Times New Roman" w:hAnsi="Times New Roman" w:eastAsia="仿宋_GB2312"/>
                <w:color w:val="auto"/>
              </w:rPr>
              <w:t>混合污水排放量（t</w:t>
            </w:r>
            <w:r>
              <w:rPr>
                <w:rFonts w:ascii="Times New Roman" w:hAnsi="Times New Roman" w:eastAsia="仿宋_GB2312"/>
                <w:color w:val="auto"/>
              </w:rPr>
              <w:t>/</w:t>
            </w:r>
            <w:r>
              <w:rPr>
                <w:rFonts w:hint="eastAsia" w:ascii="Times New Roman" w:hAnsi="Times New Roman" w:eastAsia="仿宋_GB2312"/>
                <w:color w:val="auto"/>
              </w:rPr>
              <w:t>d</w:t>
            </w:r>
            <w:r>
              <w:rPr>
                <w:rFonts w:ascii="Times New Roman" w:hAnsi="Times New Roman" w:eastAsia="仿宋_GB2312"/>
                <w:color w:val="auto"/>
              </w:rPr>
              <w:t>）</w:t>
            </w:r>
            <w:r>
              <w:rPr>
                <w:rFonts w:ascii="Times New Roman" w:hAnsi="Times New Roman" w:eastAsia="仿宋_GB2312"/>
                <w:bCs/>
                <w:color w:val="auto"/>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w:t>
            </w:r>
          </w:p>
        </w:tc>
        <w:tc>
          <w:tcPr>
            <w:tcW w:w="193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24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其它污水排放量（t</w:t>
            </w:r>
            <w:r>
              <w:rPr>
                <w:rFonts w:ascii="Times New Roman" w:hAnsi="Times New Roman" w:eastAsia="仿宋_GB2312"/>
                <w:color w:val="auto"/>
              </w:rPr>
              <w:t>/</w:t>
            </w:r>
            <w:r>
              <w:rPr>
                <w:rFonts w:hint="eastAsia" w:ascii="Times New Roman" w:hAnsi="Times New Roman" w:eastAsia="仿宋_GB2312"/>
                <w:color w:val="auto"/>
              </w:rPr>
              <w:t>d</w:t>
            </w:r>
            <w:r>
              <w:rPr>
                <w:rFonts w:ascii="Times New Roman" w:hAnsi="Times New Roman" w:eastAsia="仿宋_GB2312"/>
                <w:color w:val="auto"/>
              </w:rPr>
              <w:t>）</w:t>
            </w:r>
            <w:r>
              <w:rPr>
                <w:rFonts w:ascii="Times New Roman" w:hAnsi="Times New Roman" w:eastAsia="仿宋_GB2312"/>
                <w:bCs/>
                <w:color w:val="auto"/>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w:t>
            </w:r>
          </w:p>
        </w:tc>
        <w:tc>
          <w:tcPr>
            <w:tcW w:w="193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24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r>
    </w:tbl>
    <w:p>
      <w:pPr>
        <w:rPr>
          <w:vanish/>
          <w:color w:val="auto"/>
        </w:rPr>
      </w:pPr>
    </w:p>
    <w:tbl>
      <w:tblPr>
        <w:tblStyle w:val="3"/>
        <w:tblpPr w:leftFromText="180" w:rightFromText="180" w:vertAnchor="text" w:horzAnchor="margin" w:tblpXSpec="center" w:tblpY="-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58"/>
        <w:gridCol w:w="82"/>
        <w:gridCol w:w="1746"/>
        <w:gridCol w:w="306"/>
        <w:gridCol w:w="1791"/>
        <w:gridCol w:w="85"/>
        <w:gridCol w:w="20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2340"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污水是否经过处理</w:t>
            </w:r>
          </w:p>
        </w:tc>
        <w:tc>
          <w:tcPr>
            <w:tcW w:w="1746"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hint="eastAsia" w:ascii="Times New Roman" w:hAnsi="Times New Roman" w:eastAsia="仿宋_GB2312"/>
                <w:color w:val="auto"/>
                <w:szCs w:val="20"/>
                <w:lang w:eastAsia="zh-CN"/>
              </w:rPr>
            </w:pPr>
            <w:r>
              <w:rPr>
                <w:rFonts w:hint="eastAsia" w:ascii="Times New Roman" w:hAnsi="Times New Roman" w:eastAsia="仿宋_GB2312"/>
                <w:color w:val="auto"/>
                <w:szCs w:val="20"/>
                <w:lang w:val="en-US" w:eastAsia="zh-CN"/>
              </w:rPr>
              <w:t>是</w:t>
            </w:r>
          </w:p>
        </w:tc>
        <w:tc>
          <w:tcPr>
            <w:tcW w:w="2097"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污水处理方式</w:t>
            </w:r>
            <w:r>
              <w:rPr>
                <w:rFonts w:ascii="Times New Roman" w:hAnsi="Times New Roman" w:eastAsia="仿宋_GB2312"/>
                <w:bCs/>
                <w:color w:val="auto"/>
                <w:sz w:val="30"/>
                <w:szCs w:val="30"/>
                <w:vertAlign w:val="superscript"/>
              </w:rPr>
              <w:t>12</w:t>
            </w:r>
          </w:p>
        </w:tc>
        <w:tc>
          <w:tcPr>
            <w:tcW w:w="2097"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1"/>
                <w:lang w:val="en-US" w:eastAsia="zh-CN"/>
              </w:rPr>
              <w:t>工业废水处理工艺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8280" w:type="dxa"/>
            <w:gridSpan w:val="7"/>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vertAlign w:val="superscript"/>
              </w:rPr>
            </w:pPr>
            <w:r>
              <w:rPr>
                <w:rFonts w:hint="eastAsia" w:ascii="Times New Roman" w:hAnsi="Times New Roman" w:eastAsia="仿宋_GB2312"/>
                <w:color w:val="auto"/>
              </w:rPr>
              <w:t>主要污染物排放浓度及排放总量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1" w:hRule="atLeast"/>
        </w:trPr>
        <w:tc>
          <w:tcPr>
            <w:tcW w:w="225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项目名称</w:t>
            </w:r>
            <w:r>
              <w:rPr>
                <w:rFonts w:ascii="Times New Roman" w:hAnsi="Times New Roman" w:eastAsia="仿宋_GB2312"/>
                <w:bCs/>
                <w:color w:val="auto"/>
                <w:sz w:val="30"/>
                <w:szCs w:val="30"/>
                <w:vertAlign w:val="superscript"/>
              </w:rPr>
              <w:t>13</w:t>
            </w:r>
          </w:p>
        </w:tc>
        <w:tc>
          <w:tcPr>
            <w:tcW w:w="213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仿宋_GB2312"/>
                <w:color w:val="auto"/>
                <w:szCs w:val="20"/>
              </w:rPr>
            </w:pPr>
            <w:r>
              <w:rPr>
                <w:rFonts w:hint="eastAsia" w:ascii="Times New Roman" w:hAnsi="Times New Roman" w:eastAsia="仿宋_GB2312"/>
                <w:color w:val="auto"/>
              </w:rPr>
              <w:t>排放浓度（</w:t>
            </w:r>
            <w:r>
              <w:rPr>
                <w:rFonts w:ascii="Times New Roman" w:hAnsi="Times New Roman" w:eastAsia="仿宋_GB2312"/>
                <w:color w:val="auto"/>
              </w:rPr>
              <w:t>mg/</w:t>
            </w:r>
            <w:r>
              <w:rPr>
                <w:rFonts w:hint="eastAsia" w:ascii="Times New Roman" w:hAnsi="Times New Roman" w:eastAsia="仿宋_GB2312"/>
                <w:color w:val="auto"/>
              </w:rPr>
              <w:t>L</w:t>
            </w:r>
            <w:r>
              <w:rPr>
                <w:rFonts w:ascii="Times New Roman" w:hAnsi="Times New Roman" w:eastAsia="仿宋_GB2312"/>
                <w:color w:val="auto"/>
              </w:rPr>
              <w:t>）</w:t>
            </w:r>
            <w:r>
              <w:rPr>
                <w:rFonts w:ascii="Times New Roman" w:hAnsi="Times New Roman" w:eastAsia="仿宋_GB2312"/>
                <w:bCs/>
                <w:color w:val="auto"/>
                <w:sz w:val="30"/>
                <w:szCs w:val="30"/>
                <w:vertAlign w:val="superscript"/>
              </w:rPr>
              <w:t>14</w:t>
            </w:r>
          </w:p>
        </w:tc>
        <w:tc>
          <w:tcPr>
            <w:tcW w:w="3888" w:type="dxa"/>
            <w:gridSpan w:val="3"/>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总</w:t>
            </w:r>
            <w:r>
              <w:rPr>
                <w:rFonts w:ascii="Times New Roman" w:hAnsi="Times New Roman" w:eastAsia="仿宋_GB2312"/>
                <w:color w:val="auto"/>
              </w:rPr>
              <w:t xml:space="preserve">      量（</w:t>
            </w:r>
            <w:r>
              <w:rPr>
                <w:rFonts w:hint="eastAsia" w:ascii="Times New Roman" w:hAnsi="Times New Roman" w:eastAsia="仿宋_GB2312"/>
                <w:color w:val="auto"/>
              </w:rPr>
              <w:t>t</w:t>
            </w:r>
            <w:r>
              <w:rPr>
                <w:rFonts w:ascii="Times New Roman" w:hAnsi="Times New Roman" w:eastAsia="仿宋_GB2312"/>
                <w:color w:val="auto"/>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258"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2134"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1876"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日排放总量</w:t>
            </w:r>
            <w:r>
              <w:rPr>
                <w:rFonts w:ascii="Times New Roman" w:hAnsi="Times New Roman" w:eastAsia="仿宋_GB2312"/>
                <w:bCs/>
                <w:color w:val="auto"/>
                <w:sz w:val="30"/>
                <w:szCs w:val="30"/>
                <w:vertAlign w:val="superscript"/>
              </w:rPr>
              <w:t>15</w:t>
            </w:r>
          </w:p>
        </w:tc>
        <w:tc>
          <w:tcPr>
            <w:tcW w:w="2012"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r>
              <w:rPr>
                <w:rFonts w:hint="eastAsia" w:ascii="Times New Roman" w:hAnsi="Times New Roman" w:eastAsia="仿宋_GB2312"/>
                <w:color w:val="auto"/>
              </w:rPr>
              <w:t>年排放总量</w:t>
            </w:r>
            <w:r>
              <w:rPr>
                <w:rFonts w:ascii="Times New Roman" w:hAnsi="Times New Roman" w:eastAsia="仿宋_GB2312"/>
                <w:bCs/>
                <w:color w:val="auto"/>
                <w:sz w:val="30"/>
                <w:szCs w:val="30"/>
                <w:vertAlign w:val="superscript"/>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仿宋_GB2312"/>
                <w:color w:val="auto"/>
                <w:szCs w:val="20"/>
              </w:rPr>
            </w:pPr>
            <w:r>
              <w:rPr>
                <w:rFonts w:ascii="Times New Roman" w:hAnsi="Times New Roman" w:eastAsia="仿宋_GB2312"/>
                <w:color w:val="auto"/>
              </w:rPr>
              <w:t>COD</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1"/>
                <w:lang w:val="en-US" w:eastAsia="zh-CN"/>
              </w:rPr>
              <w:t>50</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0.03</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仿宋_GB2312"/>
                <w:color w:val="auto"/>
                <w:szCs w:val="20"/>
              </w:rPr>
            </w:pPr>
            <w:r>
              <w:rPr>
                <w:rFonts w:hint="eastAsia" w:ascii="Times New Roman" w:hAnsi="Times New Roman" w:eastAsia="仿宋_GB2312"/>
                <w:color w:val="auto"/>
              </w:rPr>
              <w:t>氨氮</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5</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0.003</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仿宋_GB2312"/>
                <w:color w:val="auto"/>
                <w:szCs w:val="20"/>
              </w:rPr>
            </w:pPr>
            <w:r>
              <w:rPr>
                <w:rFonts w:hint="eastAsia" w:ascii="Times New Roman" w:hAnsi="Times New Roman"/>
                <w:color w:val="auto"/>
                <w:kern w:val="0"/>
              </w:rPr>
              <w:t>BOD</w:t>
            </w:r>
            <w:r>
              <w:rPr>
                <w:rFonts w:hint="eastAsia" w:ascii="Times New Roman" w:hAnsi="Times New Roman"/>
                <w:color w:val="auto"/>
                <w:kern w:val="0"/>
                <w:szCs w:val="21"/>
                <w:vertAlign w:val="subscript"/>
              </w:rPr>
              <w:t>5</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10</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0.006</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olor w:val="auto"/>
              </w:rPr>
            </w:pPr>
            <w:r>
              <w:rPr>
                <w:rFonts w:hint="eastAsia" w:ascii="Times New Roman" w:hAnsi="Times New Roman" w:eastAsia="仿宋_GB2312"/>
                <w:color w:val="auto"/>
              </w:rPr>
              <w:t>总磷</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0.5</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0.0003</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0.108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eastAsia="仿宋_GB2312"/>
                <w:color w:val="auto"/>
                <w:kern w:val="0"/>
                <w:lang w:eastAsia="zh-CN"/>
              </w:rPr>
            </w:pPr>
            <w:r>
              <w:rPr>
                <w:rFonts w:hint="eastAsia" w:ascii="仿宋_GB2312" w:eastAsia="仿宋_GB2312"/>
                <w:color w:val="auto"/>
                <w:kern w:val="0"/>
                <w:lang w:val="en-US" w:eastAsia="zh-CN"/>
              </w:rPr>
              <w:t>氯离子</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350</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0.21</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olor w:val="auto"/>
                <w:szCs w:val="20"/>
                <w:lang w:val="en-US" w:eastAsia="zh-CN"/>
              </w:rPr>
            </w:pPr>
            <w:r>
              <w:rPr>
                <w:rFonts w:hint="eastAsia" w:ascii="Times New Roman" w:hAnsi="Times New Roman" w:eastAsia="仿宋_GB2312"/>
                <w:color w:val="auto"/>
                <w:szCs w:val="20"/>
                <w:lang w:val="en-US" w:eastAsia="zh-CN"/>
              </w:rPr>
              <w:t>75.6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kern w:val="0"/>
              </w:rPr>
            </w:pP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rPr>
            </w:pPr>
          </w:p>
        </w:tc>
        <w:tc>
          <w:tcPr>
            <w:tcW w:w="1876"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p>
        </w:tc>
        <w:tc>
          <w:tcPr>
            <w:tcW w:w="2012"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olor w:val="auto"/>
                <w:szCs w:val="20"/>
              </w:rPr>
            </w:pPr>
          </w:p>
        </w:tc>
        <w:tc>
          <w:tcPr>
            <w:tcW w:w="2134" w:type="dxa"/>
            <w:gridSpan w:val="3"/>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p>
        </w:tc>
        <w:tc>
          <w:tcPr>
            <w:tcW w:w="1876"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p>
        </w:tc>
        <w:tc>
          <w:tcPr>
            <w:tcW w:w="2012"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ascii="Times New Roman" w:hAnsi="Times New Roman" w:eastAsia="仿宋_GB2312"/>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0" w:type="dxa"/>
            <w:gridSpan w:val="7"/>
            <w:tcBorders>
              <w:top w:val="single" w:color="auto" w:sz="4" w:space="0"/>
              <w:left w:val="single" w:color="auto" w:sz="4" w:space="0"/>
              <w:bottom w:val="single" w:color="auto" w:sz="4" w:space="0"/>
              <w:right w:val="single" w:color="auto" w:sz="4" w:space="0"/>
            </w:tcBorders>
            <w:noWrap w:val="0"/>
            <w:vAlign w:val="top"/>
          </w:tcPr>
          <w:p>
            <w:pPr>
              <w:spacing w:line="600" w:lineRule="exact"/>
              <w:rPr>
                <w:rFonts w:ascii="Times New Roman" w:hAnsi="Times New Roman" w:eastAsia="仿宋_GB2312"/>
                <w:b/>
                <w:bCs/>
                <w:color w:val="auto"/>
                <w:sz w:val="28"/>
                <w:szCs w:val="20"/>
                <w:vertAlign w:val="superscript"/>
              </w:rPr>
            </w:pPr>
            <w:r>
              <w:drawing>
                <wp:anchor distT="0" distB="0" distL="114300" distR="114300" simplePos="0" relativeHeight="251659264" behindDoc="0" locked="0" layoutInCell="1" allowOverlap="1">
                  <wp:simplePos x="0" y="0"/>
                  <wp:positionH relativeFrom="column">
                    <wp:posOffset>-19685</wp:posOffset>
                  </wp:positionH>
                  <wp:positionV relativeFrom="paragraph">
                    <wp:posOffset>424815</wp:posOffset>
                  </wp:positionV>
                  <wp:extent cx="5110480" cy="2887345"/>
                  <wp:effectExtent l="0" t="0" r="13970" b="8255"/>
                  <wp:wrapTopAndBottom/>
                  <wp:docPr id="1" name="图片 4" descr="1858690271682560353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858690271682560353983.png"/>
                          <pic:cNvPicPr>
                            <a:picLocks noChangeAspect="1"/>
                          </pic:cNvPicPr>
                        </pic:nvPicPr>
                        <pic:blipFill>
                          <a:blip r:embed="rId4"/>
                          <a:stretch>
                            <a:fillRect/>
                          </a:stretch>
                        </pic:blipFill>
                        <pic:spPr>
                          <a:xfrm>
                            <a:off x="0" y="0"/>
                            <a:ext cx="5110480" cy="2887345"/>
                          </a:xfrm>
                          <a:prstGeom prst="rect">
                            <a:avLst/>
                          </a:prstGeom>
                          <a:noFill/>
                          <a:ln>
                            <a:noFill/>
                          </a:ln>
                        </pic:spPr>
                      </pic:pic>
                    </a:graphicData>
                  </a:graphic>
                </wp:anchor>
              </w:drawing>
            </w:r>
            <w:r>
              <w:rPr>
                <w:rFonts w:hint="eastAsia" w:ascii="Times New Roman" w:hAnsi="Times New Roman" w:eastAsia="仿宋_GB2312"/>
                <w:color w:val="auto"/>
                <w:sz w:val="28"/>
              </w:rPr>
              <w:t>排污河道、入河排污口平面位置示意图</w:t>
            </w:r>
            <w:r>
              <w:rPr>
                <w:rFonts w:ascii="Times New Roman" w:hAnsi="Times New Roman" w:eastAsia="仿宋_GB2312"/>
                <w:bCs/>
                <w:color w:val="auto"/>
                <w:sz w:val="30"/>
                <w:szCs w:val="30"/>
                <w:vertAlign w:val="superscript"/>
              </w:rPr>
              <w:t>17</w:t>
            </w:r>
            <w:r>
              <w:rPr>
                <w:rFonts w:ascii="Times New Roman" w:hAnsi="Times New Roman" w:eastAsia="仿宋_GB2312"/>
                <w:b/>
                <w:bCs/>
                <w:color w:val="auto"/>
                <w:sz w:val="28"/>
                <w:vertAlign w:val="superscript"/>
              </w:rPr>
              <w:t>：</w:t>
            </w:r>
          </w:p>
          <w:p>
            <w:pPr>
              <w:spacing w:line="600" w:lineRule="exact"/>
              <w:rPr>
                <w:rFonts w:ascii="Times New Roman" w:hAnsi="Times New Roman" w:eastAsia="仿宋_GB2312"/>
                <w:color w:val="auto"/>
                <w:sz w:val="28"/>
                <w:szCs w:val="20"/>
              </w:rPr>
            </w:pPr>
          </w:p>
          <w:p>
            <w:pPr>
              <w:spacing w:line="600" w:lineRule="exact"/>
              <w:rPr>
                <w:rFonts w:hint="eastAsia" w:ascii="Times New Roman" w:hAnsi="Times New Roman" w:eastAsia="仿宋_GB2312"/>
                <w:color w:val="auto"/>
                <w:sz w:val="28"/>
                <w:szCs w:val="20"/>
              </w:rPr>
            </w:pPr>
          </w:p>
          <w:p>
            <w:pPr>
              <w:spacing w:line="600" w:lineRule="exact"/>
              <w:rPr>
                <w:rFonts w:hint="eastAsia" w:ascii="Times New Roman" w:hAnsi="Times New Roman" w:eastAsia="仿宋_GB2312"/>
                <w:color w:val="auto"/>
                <w:sz w:val="28"/>
                <w:szCs w:val="20"/>
              </w:rPr>
            </w:pPr>
          </w:p>
          <w:p>
            <w:pPr>
              <w:spacing w:line="600" w:lineRule="exact"/>
              <w:jc w:val="center"/>
              <w:rPr>
                <w:rFonts w:ascii="Times New Roman" w:hAnsi="Times New Roman" w:eastAsia="仿宋_GB2312"/>
                <w:color w:val="auto"/>
                <w:szCs w:val="20"/>
              </w:rPr>
            </w:pPr>
          </w:p>
        </w:tc>
      </w:tr>
    </w:tbl>
    <w:p>
      <w:pPr>
        <w:rPr>
          <w:rFonts w:ascii="Times New Roman" w:hAnsi="Times New Roman"/>
          <w:vanish/>
          <w:color w:val="auto"/>
        </w:rPr>
      </w:pPr>
    </w:p>
    <w:tbl>
      <w:tblPr>
        <w:tblStyle w:val="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8280" w:type="dxa"/>
            <w:tcBorders>
              <w:top w:val="single" w:color="000000" w:sz="12" w:space="0"/>
              <w:left w:val="single" w:color="000000" w:sz="12" w:space="0"/>
              <w:bottom w:val="single" w:color="000000" w:sz="12"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仿宋_GB2312"/>
                <w:color w:val="auto"/>
                <w:sz w:val="28"/>
                <w:szCs w:val="20"/>
              </w:rPr>
            </w:pPr>
            <w:r>
              <w:rPr>
                <w:rFonts w:hint="eastAsia" w:ascii="Times New Roman" w:hAnsi="Times New Roman" w:eastAsia="仿宋_GB2312"/>
                <w:color w:val="auto"/>
                <w:sz w:val="28"/>
              </w:rPr>
              <w:t>申请理由</w:t>
            </w:r>
            <w:r>
              <w:rPr>
                <w:rFonts w:ascii="Times New Roman" w:hAnsi="Times New Roman" w:eastAsia="仿宋_GB2312"/>
                <w:bCs/>
                <w:color w:val="auto"/>
                <w:sz w:val="30"/>
                <w:szCs w:val="30"/>
                <w:vertAlign w:val="superscript"/>
              </w:rPr>
              <w:t>18</w:t>
            </w:r>
            <w:r>
              <w:rPr>
                <w:rFonts w:hint="eastAsia" w:ascii="Times New Roman" w:hAnsi="Times New Roman" w:eastAsia="仿宋_GB2312"/>
                <w:color w:val="auto"/>
                <w:sz w:val="28"/>
              </w:rPr>
              <w:t>：</w:t>
            </w:r>
            <w:r>
              <w:rPr>
                <w:rFonts w:ascii="Times New Roman" w:hAnsi="Times New Roman" w:eastAsia="仿宋_GB2312"/>
                <w:color w:val="auto"/>
                <w:sz w:val="28"/>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仿宋_GB2312" w:cs="Times New Roman"/>
                <w:color w:val="auto"/>
                <w:sz w:val="28"/>
                <w:lang w:val="en-US" w:eastAsia="zh-CN" w:bidi="ar-SA"/>
              </w:rPr>
            </w:pPr>
            <w:r>
              <w:rPr>
                <w:rFonts w:hint="eastAsia" w:ascii="Times New Roman" w:hAnsi="Times New Roman" w:eastAsia="仿宋_GB2312" w:cs="Times New Roman"/>
                <w:color w:val="auto"/>
                <w:sz w:val="28"/>
                <w:lang w:eastAsia="zh-CN" w:bidi="ar-SA"/>
              </w:rPr>
              <w:t>四川洁安环境科技有限公司油气田废水处理厂建设项目</w:t>
            </w:r>
            <w:r>
              <w:rPr>
                <w:rFonts w:hint="eastAsia" w:ascii="Times New Roman" w:hAnsi="Times New Roman" w:eastAsia="仿宋_GB2312" w:cs="Times New Roman"/>
                <w:color w:val="auto"/>
                <w:sz w:val="28"/>
                <w:lang w:val="en-US" w:eastAsia="zh-CN" w:bidi="ar-SA"/>
              </w:rPr>
              <w:t>位于巴中循环经济产业园，占地面积10亩，主要建设一座油气田污水处理厂，服务范围为巴中区域油气田开采项目，处理对象为巴中区域内油气田井压裂液、返排水等油气田废水。项目设计处理规模为1200m</w:t>
            </w:r>
            <w:r>
              <w:rPr>
                <w:rFonts w:hint="eastAsia" w:ascii="Times New Roman" w:hAnsi="Times New Roman" w:eastAsia="仿宋_GB2312" w:cs="Times New Roman"/>
                <w:color w:val="auto"/>
                <w:sz w:val="28"/>
                <w:vertAlign w:val="superscript"/>
                <w:lang w:val="en-US" w:eastAsia="zh-CN" w:bidi="ar-SA"/>
              </w:rPr>
              <w:t>3</w:t>
            </w:r>
            <w:r>
              <w:rPr>
                <w:rFonts w:hint="eastAsia" w:ascii="Times New Roman" w:hAnsi="Times New Roman" w:eastAsia="仿宋_GB2312" w:cs="Times New Roman"/>
                <w:color w:val="auto"/>
                <w:sz w:val="28"/>
                <w:lang w:val="en-US" w:eastAsia="zh-CN" w:bidi="ar-SA"/>
              </w:rPr>
              <w:t>/d，排放规模600m</w:t>
            </w:r>
            <w:r>
              <w:rPr>
                <w:rFonts w:hint="eastAsia" w:ascii="Times New Roman" w:hAnsi="Times New Roman" w:eastAsia="仿宋_GB2312" w:cs="Times New Roman"/>
                <w:color w:val="auto"/>
                <w:sz w:val="28"/>
                <w:vertAlign w:val="superscript"/>
                <w:lang w:val="en-US" w:eastAsia="zh-CN" w:bidi="ar-SA"/>
              </w:rPr>
              <w:t>3</w:t>
            </w:r>
            <w:r>
              <w:rPr>
                <w:rFonts w:hint="eastAsia" w:ascii="Times New Roman" w:hAnsi="Times New Roman" w:eastAsia="仿宋_GB2312" w:cs="Times New Roman"/>
                <w:color w:val="auto"/>
                <w:sz w:val="28"/>
                <w:lang w:val="en-US" w:eastAsia="zh-CN" w:bidi="ar-SA"/>
              </w:rPr>
              <w:t>/d，处理工艺为：（1200m</w:t>
            </w:r>
            <w:r>
              <w:rPr>
                <w:rFonts w:hint="eastAsia" w:ascii="Times New Roman" w:hAnsi="Times New Roman" w:eastAsia="仿宋_GB2312" w:cs="Times New Roman"/>
                <w:color w:val="auto"/>
                <w:sz w:val="28"/>
                <w:vertAlign w:val="superscript"/>
                <w:lang w:val="en-US" w:eastAsia="zh-CN" w:bidi="ar-SA"/>
              </w:rPr>
              <w:t>3</w:t>
            </w:r>
            <w:r>
              <w:rPr>
                <w:rFonts w:hint="eastAsia" w:ascii="Times New Roman" w:hAnsi="Times New Roman" w:eastAsia="仿宋_GB2312" w:cs="Times New Roman"/>
                <w:color w:val="auto"/>
                <w:sz w:val="28"/>
                <w:lang w:val="en-US" w:eastAsia="zh-CN" w:bidi="ar-SA"/>
              </w:rPr>
              <w:t>/d）含油废水→调节隔油→溶气气浮→混凝沉淀→两级过滤（达到回注标准）→（600m3/d）高级氧化→超滤→多级反渗透→（浓水）浓缩蒸发结晶产盐→（淡水）精制反渗透→产水达标排放”。处理后出水水质达到《城镇污水处理厂污染物排放标准》（GB18918-2002）一级A标准（其中氯化物出水限值350mg/L）后通过罐车运输至新建排口处外排巴河。</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Times New Roman" w:hAnsi="Times New Roman" w:eastAsia="仿宋_GB2312"/>
                <w:color w:val="auto"/>
                <w:sz w:val="28"/>
                <w:szCs w:val="20"/>
              </w:rPr>
            </w:pPr>
            <w:r>
              <w:rPr>
                <w:rFonts w:hint="eastAsia" w:ascii="Times New Roman" w:hAnsi="Times New Roman" w:eastAsia="仿宋_GB2312" w:cs="Times New Roman"/>
                <w:color w:val="auto"/>
                <w:sz w:val="28"/>
                <w:lang w:bidi="ar-SA"/>
              </w:rPr>
              <w:t>受</w:t>
            </w:r>
            <w:r>
              <w:rPr>
                <w:rFonts w:hint="eastAsia" w:ascii="Times New Roman" w:hAnsi="Times New Roman" w:eastAsia="仿宋_GB2312" w:cs="Times New Roman"/>
                <w:color w:val="auto"/>
                <w:sz w:val="28"/>
                <w:lang w:eastAsia="zh-CN" w:bidi="ar-SA"/>
              </w:rPr>
              <w:t>四川洁安环境科技有限公司</w:t>
            </w:r>
            <w:r>
              <w:rPr>
                <w:rFonts w:hint="eastAsia" w:ascii="Times New Roman" w:hAnsi="Times New Roman" w:eastAsia="仿宋_GB2312" w:cs="Times New Roman"/>
                <w:color w:val="auto"/>
                <w:sz w:val="28"/>
                <w:lang w:bidi="ar-SA"/>
              </w:rPr>
              <w:t>委托，四川俊岭生态环境咨询服务有限公司承担</w:t>
            </w:r>
            <w:r>
              <w:rPr>
                <w:rFonts w:hint="eastAsia" w:ascii="Times New Roman" w:hAnsi="Times New Roman" w:eastAsia="仿宋_GB2312" w:cs="Times New Roman"/>
                <w:color w:val="auto"/>
                <w:sz w:val="28"/>
                <w:lang w:eastAsia="zh-CN" w:bidi="ar-SA"/>
              </w:rPr>
              <w:t>四川洁安环境科技有限公司油气田废水处理厂建设项目</w:t>
            </w:r>
            <w:r>
              <w:rPr>
                <w:rFonts w:hint="eastAsia" w:ascii="Times New Roman" w:hAnsi="Times New Roman" w:eastAsia="仿宋_GB2312" w:cs="Times New Roman"/>
                <w:color w:val="auto"/>
                <w:sz w:val="28"/>
                <w:lang w:bidi="ar-SA"/>
              </w:rPr>
              <w:t>入河排污口设置论证工作，并依据《入河排污口管理技术导则》（SL532-2011），参考《入河排污口设置论证基本要求》（试行），在全面分析入河排污口所涉及水域的社会、经济、水文、水质、水生态和水功能区划成果等资料的基础上，结合</w:t>
            </w:r>
            <w:r>
              <w:rPr>
                <w:rFonts w:hint="eastAsia" w:ascii="Times New Roman" w:hAnsi="Times New Roman" w:eastAsia="仿宋_GB2312" w:cs="Times New Roman"/>
                <w:color w:val="auto"/>
                <w:sz w:val="28"/>
                <w:lang w:val="en-US" w:eastAsia="zh-CN" w:bidi="ar-SA"/>
              </w:rPr>
              <w:t>项目</w:t>
            </w:r>
            <w:r>
              <w:rPr>
                <w:rFonts w:hint="eastAsia" w:ascii="Times New Roman" w:hAnsi="Times New Roman" w:eastAsia="仿宋_GB2312" w:cs="Times New Roman"/>
                <w:color w:val="auto"/>
                <w:sz w:val="28"/>
                <w:lang w:bidi="ar-SA"/>
              </w:rPr>
              <w:t>所在区域实际情况，合理布局监测断面，进行水质及水文补充调查监测，采用河流水质模型对排污口设置后废污水的影响范围及程度进行了模拟预测，论证排污口设置对所在水域水质、水生态及对有利害关系的第三方产生的影响，最后综合分析了排污口设置的合理性。特申请设置项目入河排污口。</w:t>
            </w:r>
          </w:p>
        </w:tc>
      </w:tr>
    </w:tbl>
    <w:p>
      <w:pPr>
        <w:tabs>
          <w:tab w:val="left" w:pos="1160"/>
        </w:tabs>
        <w:rPr>
          <w:rFonts w:eastAsia="方正仿宋_GBK"/>
          <w:color w:val="333333"/>
          <w:sz w:val="32"/>
          <w:szCs w:val="32"/>
          <w:shd w:val="clear" w:color="auto" w:fill="FFFFFF"/>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1YjM3OTVhNDdiNDkzZDkyYTdiMjQzNmVhMGI4OWIifQ=="/>
  </w:docVars>
  <w:rsids>
    <w:rsidRoot w:val="5948679D"/>
    <w:rsid w:val="59486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cs="Courier New"/>
      <w:szCs w:val="21"/>
      <w:lang w:bidi="ar-SA"/>
    </w:rPr>
  </w:style>
  <w:style w:type="paragraph" w:customStyle="1" w:styleId="5">
    <w:name w:val="表格文字"/>
    <w:basedOn w:val="1"/>
    <w:qFormat/>
    <w:uiPriority w:val="0"/>
    <w:pPr>
      <w:tabs>
        <w:tab w:val="left" w:pos="1217"/>
        <w:tab w:val="left" w:pos="2434"/>
        <w:tab w:val="left" w:pos="3651"/>
        <w:tab w:val="left" w:pos="4868"/>
        <w:tab w:val="left" w:pos="8522"/>
      </w:tabs>
      <w:jc w:val="center"/>
    </w:pPr>
    <w:rPr>
      <w:szCs w:val="2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2023-04-27T06:48:00Z</dcterms:created>
  <dc:creator>Administrator</dc:creator>
  <cp:lastModifiedBy>Administrator</cp:lastModifiedBy>
  <dcterms:modified xsi:type="dcterms:W3CDTF">2023-04-27T06:49:16Z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3836C983744942FEA30E5914582E6D03_11</vt:lpwstr>
  </property>
</Properties>
</file>