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0"/>
        </w:tabs>
        <w:rPr>
          <w:rFonts w:ascii="Times New Roman" w:hAnsi="Times New Roman" w:eastAsia="方正仿宋_GBK" w:cs="Times New Roman"/>
          <w:color w:val="333333"/>
          <w:spacing w:val="0"/>
          <w:sz w:val="32"/>
          <w:szCs w:val="32"/>
          <w:shd w:val="clear" w:color="auto" w:fill="FFFFFF"/>
          <w:lang w:bidi="ar-SA"/>
        </w:rPr>
      </w:pPr>
      <w:bookmarkStart w:id="0" w:name="_GoBack"/>
      <w:r>
        <w:rPr>
          <w:rFonts w:ascii="Times New Roman" w:hAnsi="Times New Roman" w:eastAsia="方正仿宋_GBK" w:cs="Times New Roman"/>
          <w:color w:val="333333"/>
          <w:spacing w:val="0"/>
          <w:sz w:val="32"/>
          <w:szCs w:val="32"/>
          <w:shd w:val="clear" w:color="auto" w:fill="FFFFFF"/>
          <w:lang w:bidi="ar-SA"/>
        </w:rPr>
        <w:t>巴州区光辉镇污水处理站入河排污口项目</w:t>
      </w:r>
    </w:p>
    <w:bookmarkEnd w:id="0"/>
    <w:tbl>
      <w:tblPr>
        <w:tblStyle w:val="4"/>
        <w:tblW w:w="8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445"/>
        <w:gridCol w:w="511"/>
        <w:gridCol w:w="1204"/>
        <w:gridCol w:w="837"/>
        <w:gridCol w:w="820"/>
        <w:gridCol w:w="276"/>
        <w:gridCol w:w="407"/>
        <w:gridCol w:w="7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申请单位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2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巴中汇鑫发展有限公司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法人代表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李苑华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详细地址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巴中市巴州区光辉镇石庙社区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邮政编码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636029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单位性质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2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国有企业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主管机关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巴中市巴州区政府国有资产监督管理</w:t>
            </w:r>
            <w:r>
              <w:rPr>
                <w:rFonts w:hint="eastAsia" w:eastAsia="仿宋_GB2312"/>
                <w:color w:val="000000"/>
                <w:szCs w:val="20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是否</w:t>
            </w:r>
            <w:r>
              <w:rPr>
                <w:rFonts w:eastAsia="仿宋_GB2312"/>
                <w:color w:val="000000"/>
              </w:rPr>
              <w:t>涉密</w:t>
            </w:r>
          </w:p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（涉密</w:t>
            </w:r>
            <w:r>
              <w:rPr>
                <w:rFonts w:eastAsia="仿宋_GB2312"/>
                <w:color w:val="000000"/>
              </w:rPr>
              <w:t>种类）</w:t>
            </w:r>
          </w:p>
        </w:tc>
        <w:tc>
          <w:tcPr>
            <w:tcW w:w="2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否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是否</w:t>
            </w:r>
            <w:r>
              <w:rPr>
                <w:rFonts w:eastAsia="仿宋_GB2312"/>
                <w:color w:val="000000"/>
              </w:rPr>
              <w:t>同意公开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取用水量（万t</w:t>
            </w:r>
            <w:r>
              <w:rPr>
                <w:rFonts w:eastAsia="仿宋_GB2312"/>
                <w:color w:val="000000"/>
              </w:rPr>
              <w:t>/年）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6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服务面积（</w:t>
            </w:r>
            <w:r>
              <w:rPr>
                <w:rFonts w:eastAsia="仿宋_GB2312"/>
                <w:color w:val="000000"/>
                <w:szCs w:val="28"/>
              </w:rPr>
              <w:t>km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2</w:t>
            </w:r>
            <w:r>
              <w:rPr>
                <w:rFonts w:eastAsia="仿宋_GB2312"/>
                <w:color w:val="000000"/>
                <w:szCs w:val="28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0.1</w:t>
            </w:r>
            <w:r>
              <w:rPr>
                <w:rFonts w:eastAsia="仿宋_GB2312"/>
                <w:color w:val="000000"/>
                <w:szCs w:val="28"/>
              </w:rPr>
              <w:t>4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服务人口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35</w:t>
            </w:r>
            <w:r>
              <w:rPr>
                <w:rFonts w:hint="eastAsia" w:eastAsia="仿宋_GB2312"/>
                <w:color w:val="000000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排污口设置类型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新建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√</w:t>
            </w: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排污口分类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6</w:t>
            </w:r>
          </w:p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工业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color w:val="000000"/>
                <w:szCs w:val="20"/>
              </w:rPr>
            </w:pPr>
            <w:r>
              <w:rPr>
                <w:rFonts w:hint="eastAsia" w:eastAsia="仿宋_GB2312"/>
                <w:b/>
                <w:color w:val="00000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改建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生活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扩大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混合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排放方式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连续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√</w:t>
            </w: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210" w:firstLineChars="100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入河方式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6</w:t>
            </w:r>
          </w:p>
        </w:tc>
        <w:tc>
          <w:tcPr>
            <w:tcW w:w="27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明渠（</w:t>
            </w:r>
            <w:r>
              <w:rPr>
                <w:rFonts w:hint="eastAsia" w:eastAsia="仿宋_GB2312"/>
                <w:color w:val="000000"/>
                <w:szCs w:val="20"/>
              </w:rPr>
              <w:t>√</w:t>
            </w:r>
            <w:r>
              <w:rPr>
                <w:rFonts w:hint="eastAsia" w:eastAsia="仿宋_GB2312"/>
                <w:color w:val="000000"/>
              </w:rPr>
              <w:t>）、暗管（）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泵站（）、涵闸（）</w:t>
            </w:r>
          </w:p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潜没（）、其他（）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间歇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7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入河排污口位置</w:t>
            </w:r>
          </w:p>
        </w:tc>
        <w:tc>
          <w:tcPr>
            <w:tcW w:w="6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所在行政区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7</w:t>
            </w:r>
            <w:r>
              <w:rPr>
                <w:rFonts w:hint="eastAsia" w:eastAsia="仿宋_GB2312"/>
                <w:color w:val="000000"/>
              </w:rPr>
              <w:t>：巴中市巴州区光辉镇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排入水体名称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8</w:t>
            </w:r>
            <w:r>
              <w:rPr>
                <w:rFonts w:hint="eastAsia" w:eastAsia="仿宋_GB2312"/>
                <w:color w:val="000000"/>
              </w:rPr>
              <w:t>：恩阳河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排入的水功能区名称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9</w:t>
            </w:r>
            <w:r>
              <w:rPr>
                <w:rFonts w:hint="eastAsia" w:eastAsia="仿宋_GB2312"/>
                <w:color w:val="000000"/>
              </w:rPr>
              <w:t>：恩阳河旺苍巴中保留区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经度（准确到″）：106°42′53.57″E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纬度（准确到″）：31°47′26.62″N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设计排污能力（t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hint="eastAsia" w:eastAsia="仿宋_GB2312"/>
                <w:color w:val="000000"/>
              </w:rPr>
              <w:t>d</w:t>
            </w:r>
            <w:r>
              <w:rPr>
                <w:rFonts w:eastAsia="仿宋_GB2312"/>
                <w:color w:val="000000"/>
              </w:rPr>
              <w:t>）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500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排污口大小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8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DN300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工业废水排放量（t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hint="eastAsia" w:eastAsia="仿宋_GB2312"/>
                <w:color w:val="000000"/>
              </w:rPr>
              <w:t>d</w:t>
            </w:r>
            <w:r>
              <w:rPr>
                <w:rFonts w:eastAsia="仿宋_GB2312"/>
                <w:color w:val="000000"/>
              </w:rPr>
              <w:t>）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/</w:t>
            </w:r>
          </w:p>
        </w:tc>
        <w:tc>
          <w:tcPr>
            <w:tcW w:w="19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/>
                <w:color w:val="000000"/>
                <w:szCs w:val="28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年排放污水总量（万t）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11</w:t>
            </w:r>
          </w:p>
        </w:tc>
        <w:tc>
          <w:tcPr>
            <w:tcW w:w="24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18.25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生活污水排放量（t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hint="eastAsia" w:eastAsia="仿宋_GB2312"/>
                <w:color w:val="000000"/>
              </w:rPr>
              <w:t>d</w:t>
            </w:r>
            <w:r>
              <w:rPr>
                <w:rFonts w:eastAsia="仿宋_GB2312"/>
                <w:color w:val="000000"/>
              </w:rPr>
              <w:t>）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500</w:t>
            </w:r>
          </w:p>
        </w:tc>
        <w:tc>
          <w:tcPr>
            <w:tcW w:w="19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混合污水排放量（t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hint="eastAsia" w:eastAsia="仿宋_GB2312"/>
                <w:color w:val="000000"/>
              </w:rPr>
              <w:t>d</w:t>
            </w:r>
            <w:r>
              <w:rPr>
                <w:rFonts w:eastAsia="仿宋_GB2312"/>
                <w:color w:val="000000"/>
              </w:rPr>
              <w:t>）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19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其它污水排放量（t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hint="eastAsia" w:eastAsia="仿宋_GB2312"/>
                <w:color w:val="000000"/>
              </w:rPr>
              <w:t>d</w:t>
            </w:r>
            <w:r>
              <w:rPr>
                <w:rFonts w:eastAsia="仿宋_GB2312"/>
                <w:color w:val="000000"/>
              </w:rPr>
              <w:t>）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19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-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82"/>
        <w:gridCol w:w="1746"/>
        <w:gridCol w:w="306"/>
        <w:gridCol w:w="1791"/>
        <w:gridCol w:w="8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污水是否经过处理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是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污水处理方式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12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三级处理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  <w:vertAlign w:val="superscript"/>
              </w:rPr>
            </w:pPr>
            <w:r>
              <w:rPr>
                <w:rFonts w:hint="eastAsia" w:eastAsia="仿宋_GB2312"/>
                <w:color w:val="000000"/>
              </w:rPr>
              <w:t>主要污染物排放浓度及排放总量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项目名称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13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排放浓度（</w:t>
            </w:r>
            <w:r>
              <w:rPr>
                <w:rFonts w:eastAsia="仿宋_GB2312"/>
                <w:color w:val="000000"/>
              </w:rPr>
              <w:t>mg/</w:t>
            </w:r>
            <w:r>
              <w:rPr>
                <w:rFonts w:hint="eastAsia" w:eastAsia="仿宋_GB2312"/>
                <w:color w:val="000000"/>
              </w:rPr>
              <w:t>L</w:t>
            </w:r>
            <w:r>
              <w:rPr>
                <w:rFonts w:eastAsia="仿宋_GB2312"/>
                <w:color w:val="000000"/>
              </w:rPr>
              <w:t>）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14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总</w:t>
            </w:r>
            <w:r>
              <w:rPr>
                <w:rFonts w:eastAsia="仿宋_GB2312"/>
                <w:color w:val="000000"/>
              </w:rPr>
              <w:t xml:space="preserve">      量（</w:t>
            </w:r>
            <w:r>
              <w:rPr>
                <w:rFonts w:hint="eastAsia" w:eastAsia="仿宋_GB2312"/>
                <w:color w:val="000000"/>
              </w:rPr>
              <w:t>t</w:t>
            </w:r>
            <w:r>
              <w:rPr>
                <w:rFonts w:eastAsia="仿宋_GB2312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日排放总量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15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年排放总量</w:t>
            </w:r>
            <w:r>
              <w:rPr>
                <w:rFonts w:eastAsia="仿宋_GB2312"/>
                <w:bCs/>
                <w:color w:val="000000"/>
                <w:sz w:val="30"/>
                <w:szCs w:val="30"/>
                <w:vertAlign w:val="superscript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</w:rPr>
              <w:t>COD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50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0.025342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</w:rPr>
              <w:t>氨氮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0.002534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0.925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/>
                <w:color w:val="000000"/>
                <w:kern w:val="0"/>
              </w:rPr>
              <w:t>BOD</w:t>
            </w:r>
            <w:r>
              <w:rPr>
                <w:rFonts w:hint="eastAsia"/>
                <w:color w:val="000000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eastAsia="仿宋_GB2312"/>
                <w:color w:val="000000"/>
                <w:szCs w:val="20"/>
              </w:rPr>
              <w:t>10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0.005068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总磷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0.000253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0.0925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其他特征污染物（请说明种类）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温升（排放温排水的）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/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Cs w:val="20"/>
              </w:rPr>
              <w:t>有毒有机污染物、重金属或持久性有毒化学污染物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Cs w:val="20"/>
              </w:rPr>
            </w:pPr>
            <w:r>
              <w:rPr>
                <w:rFonts w:hint="eastAsia" w:eastAsia="仿宋_GB2312"/>
                <w:color w:val="00000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排污河道、入河排污口平面位置示意图</w:t>
            </w:r>
            <w:r>
              <w:t>17</w:t>
            </w:r>
            <w:r>
              <w:rPr>
                <w:rFonts w:hint="eastAsia"/>
              </w:rPr>
              <w:t>：</w:t>
            </w:r>
          </w:p>
          <w:p>
            <w:pPr>
              <w:pStyle w:val="3"/>
            </w:pPr>
            <w:r>
              <w:drawing>
                <wp:inline distT="0" distB="0" distL="114300" distR="114300">
                  <wp:extent cx="5123815" cy="3637915"/>
                  <wp:effectExtent l="0" t="0" r="635" b="635"/>
                  <wp:docPr id="6" name="图片 1" descr="5807447131682560354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5807447131682560354136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815" cy="363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Times New Roman" w:hAnsi="Times New Roman" w:eastAsia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</w:rPr>
              <w:t xml:space="preserve">申请理由18：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lang w:bidi="ar-SA"/>
              </w:rPr>
              <w:t xml:space="preserve">巴中市巴州区光辉镇污水处理站位于巴中市巴州区光辉镇石庙社区，服务巴州区光辉镇居民住户。排污口所在河段恩阳河旺苍巴中保留区，巴中市巴州区生态环境局于2021年1月4日出具了《关于“巴中市巴州区光辉镇污水处理站及配套管网建设项目”环境影响报告表的批复》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lang w:bidi="ar-SA"/>
              </w:rPr>
              <w:t>本项目污水处理达到《城镇污水处理厂污染物排放标准》（GB18918-2002）一级A标后再排入恩阳河，极大地截留了污染物的入河量，同时也便于对光辉镇场镇区污水集中处理及管理，确保达标排放，保护恩阳河流域生态环境的改善，其环境效益显著。因此，本项目的建设符合水资源管理、环保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lang w:bidi="ar-SA"/>
              </w:rPr>
              <w:t>根据预测结果，CODCr和NH3-N可达《地表水环境质量标准》（GB3838-2002）中的Ⅲ类水体水质标准。恩阳河流量远大于污水处理厂的排水量，自净能力较强，污水进入恩阳河后下游10km范围内无集中饮用水源保护地，不会造成饮用水安全隐患，因此，废水正常排放不会改变恩阳河的水体功能，对工程河段水质影响较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lang w:bidi="ar-SA"/>
              </w:rPr>
              <w:t>综上所述，本项目入河排污口设置，符合水功能区管理要求，与第三者需求相兼容，对水生生物基本无影响。因此，该项目排污口设置基本合理。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YjM3OTVhNDdiNDkzZDkyYTdiMjQzNmVhMGI4OWIifQ=="/>
  </w:docVars>
  <w:rsids>
    <w:rsidRoot w:val="5948679D"/>
    <w:rsid w:val="0E750A6F"/>
    <w:rsid w:val="53BA4805"/>
    <w:rsid w:val="5948679D"/>
    <w:rsid w:val="63C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  <w:lang w:bidi="ar-SA"/>
    </w:rPr>
  </w:style>
  <w:style w:type="paragraph" w:styleId="3">
    <w:name w:val="Body Text"/>
    <w:next w:val="1"/>
    <w:qFormat/>
    <w:uiPriority w:val="0"/>
    <w:pPr>
      <w:widowControl w:val="0"/>
      <w:spacing w:after="12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表格文字"/>
    <w:basedOn w:val="1"/>
    <w:qFormat/>
    <w:uiPriority w:val="0"/>
    <w:pPr>
      <w:tabs>
        <w:tab w:val="left" w:pos="1217"/>
        <w:tab w:val="left" w:pos="2434"/>
        <w:tab w:val="left" w:pos="3651"/>
        <w:tab w:val="left" w:pos="4868"/>
        <w:tab w:val="left" w:pos="8522"/>
      </w:tabs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1446</Words>
  <Characters>1648</Characters>
  <Lines>0</Lines>
  <Paragraphs>0</Paragraphs>
  <TotalTime>1</TotalTime>
  <ScaleCrop>false</ScaleCrop>
  <LinksUpToDate>false</LinksUpToDate>
  <CharactersWithSpaces>1659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2023-04-27T06:48:00Z</dcterms:created>
  <dc:creator>Administrator</dc:creator>
  <cp:lastModifiedBy>Administrator</cp:lastModifiedBy>
  <dcterms:modified xsi:type="dcterms:W3CDTF">2023-04-27T06:50:43Z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85E8DCE677DB462DA59F99259E56DD9C_13</vt:lpwstr>
  </property>
</Properties>
</file>