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《2020年巴中市重点排污单位名录》的公示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right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根据《重点排污单位名录管理规定（试行）》（环办监测﹝2017﹞86号）筛选要求，并结合我市生态环境保护工作实际，在充分征求各区县和市级相关部门意见的基础上形成《2020年巴中市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重点排污单位名录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现予以公示。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附件：2020年巴中市重点排污单位名录</w:t>
      </w:r>
      <w:bookmarkStart w:id="0" w:name="_GoBack"/>
      <w:bookmarkEnd w:id="0"/>
    </w:p>
    <w:p>
      <w:pPr>
        <w:widowControl w:val="0"/>
        <w:overflowPunct w:val="0"/>
        <w:topLinePunct/>
        <w:ind w:right="1920" w:rightChars="600" w:firstLine="640" w:firstLineChars="200"/>
        <w:jc w:val="right"/>
        <w:rPr>
          <w:rFonts w:ascii="Times New Roman" w:hAnsi="Times New Roman"/>
        </w:rPr>
      </w:pPr>
    </w:p>
    <w:p>
      <w:pPr>
        <w:widowControl w:val="0"/>
        <w:overflowPunct w:val="0"/>
        <w:topLinePunct/>
        <w:ind w:right="1920" w:rightChars="600" w:firstLine="640" w:firstLineChars="200"/>
        <w:jc w:val="right"/>
        <w:rPr>
          <w:rFonts w:ascii="Times New Roman" w:hAnsi="Times New Roman"/>
        </w:rPr>
      </w:pPr>
    </w:p>
    <w:p>
      <w:pPr>
        <w:widowControl w:val="0"/>
        <w:overflowPunct w:val="0"/>
        <w:topLinePunct/>
        <w:rPr>
          <w:rFonts w:ascii="Times New Roman" w:hAnsi="Times New Roma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88" w:bottom="1985" w:left="158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435" w:charSpace="0"/>
        </w:sectPr>
      </w:pPr>
    </w:p>
    <w:p>
      <w:pPr>
        <w:widowControl w:val="0"/>
        <w:overflowPunct w:val="0"/>
        <w:topLinePunct/>
        <w:spacing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巴中市</w:t>
      </w:r>
      <w:r>
        <w:rPr>
          <w:rFonts w:ascii="Times New Roman" w:hAnsi="Times New Roman" w:eastAsia="方正小标宋简体"/>
          <w:sz w:val="44"/>
          <w:szCs w:val="44"/>
        </w:rPr>
        <w:t>重点排污单位名录</w:t>
      </w:r>
    </w:p>
    <w:p>
      <w:pPr>
        <w:widowControl w:val="0"/>
        <w:overflowPunct w:val="0"/>
        <w:topLinePunct/>
        <w:spacing w:line="540" w:lineRule="exact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一、水环境重点排污单位名录</w:t>
      </w:r>
    </w:p>
    <w:tbl>
      <w:tblPr>
        <w:tblStyle w:val="7"/>
        <w:tblW w:w="1496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6"/>
        <w:gridCol w:w="5035"/>
        <w:gridCol w:w="886"/>
        <w:gridCol w:w="1037"/>
        <w:gridCol w:w="2072"/>
        <w:gridCol w:w="2578"/>
        <w:gridCol w:w="1841"/>
        <w:gridCol w:w="101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tblHeader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  <w:t>排污单位名称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  <w:t>所在县（市、区）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  <w:t>社会信用服务码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  <w:t>组织机构</w:t>
            </w:r>
          </w:p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color w:val="auto"/>
                <w:kern w:val="0"/>
                <w:sz w:val="22"/>
                <w:szCs w:val="22"/>
              </w:rPr>
              <w:t>代码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黑体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color w:val="auto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巴中市洁原固体废物处理有限公司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危险废物治理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91511900MA66LUQR6E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巴中市污水处理厂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城市生活污水处理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51190K34988980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巴中温氏畜牧有限公司二龙种猪场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畜禽养殖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91511902MA62D1YN84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巴中市星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/>
              </w:rPr>
              <w:t>臣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食品有限公司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牲畜屠宰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91511902083391659U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四川好彩头食品有限公司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食品制造业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91511903MA62D3EH7X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巴中市恩阳区城市生活污水处理厂（巴中桑德水务有限公司）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水污染治理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91511900329585542P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经开区污水处理厂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巴中兴蓉环境有限公司）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污水处理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</w:rPr>
              <w:t>91511900052188877F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  <w:t>(01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K3498898-0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巴中市巴山牧业股份有限公司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牲畜屠宰、养殖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915119215752738006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四川仁智石化科技有限责任公司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工业污水集中处理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9151070076231556XM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四川兴澳环境技术服务有限公司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工业污水集中处理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91510000309385324C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通江县城市污水处理厂（平武县环保工程有限公司）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生活污水集中处理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91510727746927347J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南江县雾源污水处理有限公司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城市生活污水处理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91511922592777189C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平昌县城市污水处理有限公司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城市生活污水处理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91511923765055871U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平昌温氏灵山种猪场（平昌温氏畜牧有限公司）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畜禽养殖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91511923MA62D2PX5Y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平昌温氏畜牧有限公司五木扩繁场（平昌温氏畜牧有限公司）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畜禽养殖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91511923MA62D2PX5Y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平昌温氏元山种猪场（平昌温氏畜牧有限公司）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畜禽养殖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91511923MA62D2PX5Y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平昌县德源食品公司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牲畜屠宰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91511923MA62D3HN5W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平昌县第二污水处理厂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平昌海天水务有限公司）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城市生活污水处理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91511923MA62D43F37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  <w:t>(01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hint="default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</w:rPr>
              <w:t>平昌星光工业园污水处理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/>
              </w:rPr>
              <w:t>厂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  <w:t>工业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污水处理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91511923MA62D43F37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val="en-US" w:eastAsia="zh-CN"/>
              </w:rPr>
              <w:t>(02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通江县恒业食品有限公司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牲畜屠宰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69480515-2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南江县正通食品有限公司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牲畜屠宰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91511922671404372E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巴中市污水处理厂迁建工程</w:t>
            </w: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 w:val="22"/>
              </w:rPr>
              <w:t>巴中兴蓉环境有限责任公司）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巴中市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巴州区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城市生活污水处理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91511900052188877F</w:t>
            </w: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>(02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32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巴中威澳环保发电有限公司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生活垃圾发电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91511900054139075Q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通江县城市生活垃圾处理场（四川京联市政环保工程股份有限公司通江分公司）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生活垃圾集中处理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915119215656804538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 w:val="0"/>
        <w:overflowPunct w:val="0"/>
        <w:topLinePunct/>
        <w:spacing w:line="540" w:lineRule="exact"/>
        <w:rPr>
          <w:rFonts w:ascii="Times New Roman" w:hAnsi="Times New Roman" w:eastAsia="黑体"/>
        </w:rPr>
      </w:pPr>
      <w:r>
        <w:rPr>
          <w:rFonts w:ascii="Times New Roman" w:hAnsi="Times New Roman"/>
        </w:rPr>
        <w:br w:type="page"/>
      </w:r>
      <w:r>
        <w:rPr>
          <w:rFonts w:hint="eastAsia" w:ascii="Times New Roman" w:hAnsi="Times New Roman" w:eastAsia="黑体"/>
        </w:rPr>
        <w:t>二、大气环境重点排污单位名录</w:t>
      </w:r>
    </w:p>
    <w:tbl>
      <w:tblPr>
        <w:tblStyle w:val="7"/>
        <w:tblW w:w="5866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4"/>
        <w:gridCol w:w="4441"/>
        <w:gridCol w:w="945"/>
        <w:gridCol w:w="1050"/>
        <w:gridCol w:w="1890"/>
        <w:gridCol w:w="2970"/>
        <w:gridCol w:w="1441"/>
        <w:gridCol w:w="16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4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排污单位名称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所在县（区）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社会信用服务码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组织机构</w:t>
            </w:r>
          </w:p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巴中威澳环保发电有限公司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生活垃圾发电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91511900054139075Q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巴中意科碳素股份有限公司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经开区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碳素石墨制品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915119000521938281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巴中海螺水泥有限责任公司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91511922592773639N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四川南威水泥有限公司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水泥制造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915119226674339395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南江煤电有限责任公司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煤炭开采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915119227334083451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>
      <w:pPr>
        <w:widowControl w:val="0"/>
        <w:overflowPunct w:val="0"/>
        <w:topLinePunct/>
        <w:spacing w:line="240" w:lineRule="auto"/>
        <w:rPr>
          <w:rFonts w:hint="eastAsia" w:ascii="Times New Roman" w:hAnsi="Times New Roman" w:eastAsia="黑体"/>
        </w:rPr>
      </w:pPr>
    </w:p>
    <w:p>
      <w:pPr>
        <w:widowControl w:val="0"/>
        <w:overflowPunct w:val="0"/>
        <w:topLinePunct/>
        <w:spacing w:line="240" w:lineRule="auto"/>
        <w:rPr>
          <w:rFonts w:hint="eastAsia" w:ascii="Times New Roman" w:hAnsi="Times New Roman" w:eastAsia="黑体"/>
        </w:rPr>
      </w:pPr>
    </w:p>
    <w:p>
      <w:pPr>
        <w:widowControl w:val="0"/>
        <w:overflowPunct w:val="0"/>
        <w:topLinePunct/>
        <w:spacing w:line="240" w:lineRule="auto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三、土壤环境污染重点监管单位名录</w:t>
      </w:r>
    </w:p>
    <w:tbl>
      <w:tblPr>
        <w:tblStyle w:val="7"/>
        <w:tblW w:w="5854" w:type="pct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65"/>
        <w:gridCol w:w="4270"/>
        <w:gridCol w:w="975"/>
        <w:gridCol w:w="960"/>
        <w:gridCol w:w="2025"/>
        <w:gridCol w:w="2625"/>
        <w:gridCol w:w="1665"/>
        <w:gridCol w:w="181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2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排污单位名称</w:t>
            </w:r>
          </w:p>
        </w:tc>
        <w:tc>
          <w:tcPr>
            <w:tcW w:w="3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所在县（区）</w:t>
            </w:r>
          </w:p>
        </w:tc>
        <w:tc>
          <w:tcPr>
            <w:tcW w:w="6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社会信用服务码</w:t>
            </w:r>
          </w:p>
        </w:tc>
        <w:tc>
          <w:tcPr>
            <w:tcW w:w="5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组织机构</w:t>
            </w:r>
          </w:p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  <w:jc w:val="center"/>
        </w:trPr>
        <w:tc>
          <w:tcPr>
            <w:tcW w:w="2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巴中市洁原固体废物处理有限公司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危险废物治理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91511900MA66LUQR6E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2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巴中威澳环保发电有限公司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6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生活垃圾发电</w:t>
            </w:r>
          </w:p>
        </w:tc>
        <w:tc>
          <w:tcPr>
            <w:tcW w:w="8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91511900054139075Q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atLeast"/>
          <w:jc w:val="center"/>
        </w:trPr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南江海创环境工程有限责任公司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城市生活垃圾处理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>91511900310599821E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>
      <w:pPr>
        <w:widowControl w:val="0"/>
        <w:overflowPunct w:val="0"/>
        <w:topLinePunct/>
        <w:spacing w:line="5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widowControl w:val="0"/>
        <w:overflowPunct w:val="0"/>
        <w:topLinePunct/>
        <w:spacing w:line="540" w:lineRule="exact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四、其他重点排污单位名录</w:t>
      </w:r>
    </w:p>
    <w:tbl>
      <w:tblPr>
        <w:tblStyle w:val="7"/>
        <w:tblW w:w="1474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3"/>
        <w:gridCol w:w="3878"/>
        <w:gridCol w:w="1305"/>
        <w:gridCol w:w="1425"/>
        <w:gridCol w:w="1689"/>
        <w:gridCol w:w="2520"/>
        <w:gridCol w:w="1605"/>
        <w:gridCol w:w="162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3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排污单位名称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所在市（州）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所在县（区）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社会信用服务码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组织机构</w:t>
            </w:r>
          </w:p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  <w:szCs w:val="22"/>
              </w:rPr>
              <w:t>代码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巴中市中心医院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12513700452439575H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1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巴州区人民医院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125137014524396201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恩阳区人民医院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12511901725522332F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恩阳区第一人民医院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52511900MJQ07046XA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通江县人民医院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12513721452408269T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通江县中医院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45240827-7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通江县新区医院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91511921MA62D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PT7N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南江县人民医院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12513722452425552D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南江县中医院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12513722452425616B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32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平昌县人民医院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45246476-2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hint="default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  <w:lang w:eastAsia="zh-CN"/>
              </w:rPr>
              <w:t>平昌县中医院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综合医院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hint="default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125137234524647545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overflowPunct w:val="0"/>
              <w:topLinePunct/>
              <w:spacing w:line="280" w:lineRule="exact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>
      <w:pPr>
        <w:widowControl w:val="0"/>
        <w:overflowPunct w:val="0"/>
        <w:topLinePunct/>
        <w:rPr>
          <w:rFonts w:hint="default" w:ascii="Times New Roman" w:hAnsi="Times New Roman" w:eastAsia="黑体"/>
          <w:lang w:val="en-US" w:eastAsia="zh-CN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6838" w:h="11906" w:orient="landscape"/>
          <w:pgMar w:top="1588" w:right="2098" w:bottom="1588" w:left="1985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435" w:charSpace="0"/>
        </w:sect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</w:p>
    <w:p>
      <w:pPr>
        <w:widowControl w:val="0"/>
        <w:overflowPunct w:val="0"/>
        <w:topLinePunct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</w:rPr>
        <w:t>信息公开选项：</w:t>
      </w:r>
      <w:r>
        <w:rPr>
          <w:rFonts w:hint="eastAsia" w:ascii="Times New Roman" w:hAnsi="Times New Roman"/>
        </w:rPr>
        <w:t>主动公开</w:t>
      </w:r>
    </w:p>
    <w:tbl>
      <w:tblPr>
        <w:tblStyle w:val="7"/>
        <w:tblW w:w="8522" w:type="dxa"/>
        <w:tblInd w:w="108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2" w:type="dxa"/>
            <w:shd w:val="clear" w:color="auto" w:fill="auto"/>
          </w:tcPr>
          <w:p>
            <w:pPr>
              <w:widowControl w:val="0"/>
              <w:overflowPunct w:val="0"/>
              <w:topLinePunct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巴中市生态环境局办公室      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日印</w:t>
            </w:r>
          </w:p>
        </w:tc>
      </w:tr>
    </w:tbl>
    <w:p>
      <w:pPr>
        <w:widowControl w:val="0"/>
        <w:overflowPunct w:val="0"/>
        <w:topLinePunct/>
        <w:spacing w:line="20" w:lineRule="exact"/>
        <w:ind w:left="1160" w:leftChars="100" w:right="320" w:rightChars="100" w:hanging="840" w:hangingChars="300"/>
        <w:rPr>
          <w:rFonts w:ascii="Times New Roman" w:hAnsi="Times New Roman" w:eastAsia="黑体"/>
          <w:sz w:val="28"/>
        </w:rPr>
      </w:pPr>
    </w:p>
    <w:sectPr>
      <w:headerReference r:id="rId10" w:type="default"/>
      <w:footerReference r:id="rId12" w:type="default"/>
      <w:headerReference r:id="rId11" w:type="even"/>
      <w:footerReference r:id="rId13" w:type="even"/>
      <w:pgSz w:w="11906" w:h="16838"/>
      <w:pgMar w:top="2098" w:right="1588" w:bottom="1985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 w:right="320" w:rightChars="100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-1068705</wp:posOffset>
              </wp:positionV>
              <wp:extent cx="421640" cy="1108710"/>
              <wp:effectExtent l="0" t="0" r="16510" b="15240"/>
              <wp:wrapNone/>
              <wp:docPr id="30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right="320" w:rightChars="10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-36.3pt;margin-top:-84.15pt;height:87.3pt;width:33.2pt;z-index:251658240;mso-width-relative:margin;mso-height-relative:margin;mso-width-percent:400;mso-height-percent:200;" fillcolor="#FFFFFF" filled="t" stroked="f" coordsize="21600,21600" o:gfxdata="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iv4yNkAAAAJAQAADwAAAAAAAAABACAAAAAiAAAAZHJzL2Rvd25yZXYueG1sUEsBAhQAFAAAAAgA&#10;h07iQKNunhskAgAAFQQAAA4AAAAAAAAAAQAgAAAAKAEAAGRycy9lMm9Eb2MueG1sUEsFBgAAAAAG&#10;AAYAWQEAAL4FAAAAAA==&#10;">
              <v:fill on="t" focussize="0,0"/>
              <v:stroke on="f" miterlimit="8" joinstyle="miter"/>
              <v:imagedata o:title=""/>
              <o:lock v:ext="edit" aspectratio="f"/>
              <v:textbox style="layout-flow:vertical;mso-fit-shape-to-text:t;">
                <w:txbxContent>
                  <w:p>
                    <w:pPr>
                      <w:pStyle w:val="4"/>
                      <w:ind w:right="320" w:rightChars="10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420370</wp:posOffset>
              </wp:positionV>
              <wp:extent cx="421640" cy="1574800"/>
              <wp:effectExtent l="0" t="0" r="16510" b="635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57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left="320" w:leftChars="100" w:right="320" w:rightChars="1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-34.95pt;margin-top:33.1pt;height:124pt;width:33.2pt;z-index:251659264;mso-width-relative:margin;mso-height-relative:page;mso-width-percent:400;" fillcolor="#FFFFFF" filled="t" stroked="f" coordsize="21600,21600" o:gfxdata="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a+b7h&#10;1wAAAAkBAAAPAAAAAAAAAAEAIAAAACIAAABkcnMvZG93bnJldi54bWxQSwECFAAUAAAACACHTuJA&#10;Ls2HgiICAAATBAAADgAAAAAAAAABACAAAAAmAQAAZHJzL2Uyb0RvYy54bWxQSwUGAAAAAAYABgBZ&#10;AQAAugUAAAAA&#10;">
              <v:fill on="t" focussize="0,0"/>
              <v:stroke on="f" miterlimit="8" joinstyle="miter"/>
              <v:imagedata o:title=""/>
              <o:lock v:ext="edit" aspectratio="f"/>
              <v:textbox style="layout-flow:vertical;mso-fit-shape-to-text:t;">
                <w:txbxContent>
                  <w:p>
                    <w:pPr>
                      <w:pStyle w:val="4"/>
                      <w:ind w:left="320" w:leftChars="100" w:right="320" w:rightChars="100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E3"/>
    <w:rsid w:val="0000183C"/>
    <w:rsid w:val="0000780C"/>
    <w:rsid w:val="000377A7"/>
    <w:rsid w:val="00080008"/>
    <w:rsid w:val="000C3EAA"/>
    <w:rsid w:val="0012185E"/>
    <w:rsid w:val="00132E5F"/>
    <w:rsid w:val="00161C1A"/>
    <w:rsid w:val="00194062"/>
    <w:rsid w:val="001A0C83"/>
    <w:rsid w:val="001A4680"/>
    <w:rsid w:val="001F4B0B"/>
    <w:rsid w:val="001F5413"/>
    <w:rsid w:val="0020565A"/>
    <w:rsid w:val="00222F4C"/>
    <w:rsid w:val="00243DF6"/>
    <w:rsid w:val="002543B1"/>
    <w:rsid w:val="002831C0"/>
    <w:rsid w:val="00293B7D"/>
    <w:rsid w:val="002C23A4"/>
    <w:rsid w:val="002F1EF4"/>
    <w:rsid w:val="00317264"/>
    <w:rsid w:val="00330608"/>
    <w:rsid w:val="00336E31"/>
    <w:rsid w:val="00340655"/>
    <w:rsid w:val="00347A88"/>
    <w:rsid w:val="00370E38"/>
    <w:rsid w:val="00393BA0"/>
    <w:rsid w:val="003A2430"/>
    <w:rsid w:val="003D689D"/>
    <w:rsid w:val="003E03B3"/>
    <w:rsid w:val="003E4395"/>
    <w:rsid w:val="003E74A9"/>
    <w:rsid w:val="003F0DA3"/>
    <w:rsid w:val="003F306D"/>
    <w:rsid w:val="00402BB4"/>
    <w:rsid w:val="00416FDB"/>
    <w:rsid w:val="00417CFC"/>
    <w:rsid w:val="004200CB"/>
    <w:rsid w:val="00427E11"/>
    <w:rsid w:val="00445A34"/>
    <w:rsid w:val="004A32F3"/>
    <w:rsid w:val="004A6D84"/>
    <w:rsid w:val="004B36E9"/>
    <w:rsid w:val="004D2D11"/>
    <w:rsid w:val="004D3208"/>
    <w:rsid w:val="00503EC0"/>
    <w:rsid w:val="005272E1"/>
    <w:rsid w:val="005936A5"/>
    <w:rsid w:val="005C0CED"/>
    <w:rsid w:val="005C7217"/>
    <w:rsid w:val="005C740F"/>
    <w:rsid w:val="005C7F68"/>
    <w:rsid w:val="005E54E7"/>
    <w:rsid w:val="005F7CA7"/>
    <w:rsid w:val="0062128E"/>
    <w:rsid w:val="00625244"/>
    <w:rsid w:val="0063077A"/>
    <w:rsid w:val="00633EE3"/>
    <w:rsid w:val="00660792"/>
    <w:rsid w:val="00666359"/>
    <w:rsid w:val="00672E23"/>
    <w:rsid w:val="0067524F"/>
    <w:rsid w:val="006B1759"/>
    <w:rsid w:val="006B59A4"/>
    <w:rsid w:val="006D192F"/>
    <w:rsid w:val="006D4824"/>
    <w:rsid w:val="006D591C"/>
    <w:rsid w:val="006E634A"/>
    <w:rsid w:val="006F020C"/>
    <w:rsid w:val="00700DAE"/>
    <w:rsid w:val="0070226E"/>
    <w:rsid w:val="0070467F"/>
    <w:rsid w:val="007177DB"/>
    <w:rsid w:val="00720198"/>
    <w:rsid w:val="007248C7"/>
    <w:rsid w:val="007433E5"/>
    <w:rsid w:val="00782872"/>
    <w:rsid w:val="00786A2B"/>
    <w:rsid w:val="007B323C"/>
    <w:rsid w:val="007D2197"/>
    <w:rsid w:val="007D335E"/>
    <w:rsid w:val="007E43D1"/>
    <w:rsid w:val="00802CC7"/>
    <w:rsid w:val="00812824"/>
    <w:rsid w:val="00837CC1"/>
    <w:rsid w:val="00864BF5"/>
    <w:rsid w:val="0089798A"/>
    <w:rsid w:val="008A7F5C"/>
    <w:rsid w:val="008C5FF8"/>
    <w:rsid w:val="009134C3"/>
    <w:rsid w:val="0093341D"/>
    <w:rsid w:val="00987100"/>
    <w:rsid w:val="009B1501"/>
    <w:rsid w:val="009D1C13"/>
    <w:rsid w:val="00A16B71"/>
    <w:rsid w:val="00A16BC7"/>
    <w:rsid w:val="00A37E53"/>
    <w:rsid w:val="00A62585"/>
    <w:rsid w:val="00A63AFF"/>
    <w:rsid w:val="00A87439"/>
    <w:rsid w:val="00A90072"/>
    <w:rsid w:val="00A94D73"/>
    <w:rsid w:val="00A95ED8"/>
    <w:rsid w:val="00AA720F"/>
    <w:rsid w:val="00AC58E4"/>
    <w:rsid w:val="00AE4DE3"/>
    <w:rsid w:val="00B21368"/>
    <w:rsid w:val="00B55F1A"/>
    <w:rsid w:val="00B96585"/>
    <w:rsid w:val="00BA0F05"/>
    <w:rsid w:val="00C07BC0"/>
    <w:rsid w:val="00C47489"/>
    <w:rsid w:val="00C62550"/>
    <w:rsid w:val="00C659F7"/>
    <w:rsid w:val="00C83EA1"/>
    <w:rsid w:val="00C8460F"/>
    <w:rsid w:val="00CA5A51"/>
    <w:rsid w:val="00CB4CC3"/>
    <w:rsid w:val="00CF4869"/>
    <w:rsid w:val="00D022EC"/>
    <w:rsid w:val="00D231B8"/>
    <w:rsid w:val="00D2707E"/>
    <w:rsid w:val="00D36DD2"/>
    <w:rsid w:val="00D45DBA"/>
    <w:rsid w:val="00D51FC8"/>
    <w:rsid w:val="00D52481"/>
    <w:rsid w:val="00DE05C9"/>
    <w:rsid w:val="00DE1606"/>
    <w:rsid w:val="00E1416E"/>
    <w:rsid w:val="00E256D7"/>
    <w:rsid w:val="00E448DE"/>
    <w:rsid w:val="00E744CA"/>
    <w:rsid w:val="00E86F30"/>
    <w:rsid w:val="00EA2FE4"/>
    <w:rsid w:val="00F01B70"/>
    <w:rsid w:val="00F220E0"/>
    <w:rsid w:val="00F40A26"/>
    <w:rsid w:val="00F44A3A"/>
    <w:rsid w:val="00F70899"/>
    <w:rsid w:val="00F7658C"/>
    <w:rsid w:val="00F76770"/>
    <w:rsid w:val="00FA3018"/>
    <w:rsid w:val="00FB3AF9"/>
    <w:rsid w:val="00FC7B4F"/>
    <w:rsid w:val="00FE7531"/>
    <w:rsid w:val="03465293"/>
    <w:rsid w:val="0FF24C7C"/>
    <w:rsid w:val="1CCB0DBF"/>
    <w:rsid w:val="282308C6"/>
    <w:rsid w:val="30F36BD6"/>
    <w:rsid w:val="34100A07"/>
    <w:rsid w:val="39ED1118"/>
    <w:rsid w:val="41475C0B"/>
    <w:rsid w:val="43164A85"/>
    <w:rsid w:val="446A32BC"/>
    <w:rsid w:val="4D5A2E3E"/>
    <w:rsid w:val="4FEB2648"/>
    <w:rsid w:val="5E9A18EB"/>
    <w:rsid w:val="5F602EAD"/>
    <w:rsid w:val="6BF545EE"/>
    <w:rsid w:val="79405DE8"/>
    <w:rsid w:val="7D3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semiHidden/>
    <w:unhideWhenUsed/>
    <w:qFormat/>
    <w:uiPriority w:val="99"/>
    <w:rPr>
      <w:color w:val="0563C1"/>
      <w:u w:val="single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link w:val="5"/>
    <w:qFormat/>
    <w:uiPriority w:val="99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character" w:customStyle="1" w:styleId="15">
    <w:name w:val="访问过的超链接"/>
    <w:semiHidden/>
    <w:unhideWhenUsed/>
    <w:qFormat/>
    <w:uiPriority w:val="99"/>
    <w:rPr>
      <w:color w:val="954F72"/>
      <w:u w:val="single"/>
    </w:rPr>
  </w:style>
  <w:style w:type="paragraph" w:customStyle="1" w:styleId="16">
    <w:name w:val="msonormal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5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8">
    <w:name w:val="font6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9">
    <w:name w:val="font7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20">
    <w:name w:val="font8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9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2">
    <w:name w:val="font10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仿宋" w:hAnsi="仿宋" w:eastAsia="仿宋" w:cs="宋体"/>
      <w:kern w:val="0"/>
      <w:sz w:val="22"/>
      <w:szCs w:val="22"/>
    </w:rPr>
  </w:style>
  <w:style w:type="paragraph" w:customStyle="1" w:styleId="23">
    <w:name w:val="font11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22"/>
      <w:szCs w:val="22"/>
    </w:rPr>
  </w:style>
  <w:style w:type="paragraph" w:customStyle="1" w:styleId="24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宋体"/>
      <w:b/>
      <w:bCs/>
      <w:kern w:val="0"/>
      <w:sz w:val="24"/>
      <w:szCs w:val="24"/>
    </w:rPr>
  </w:style>
  <w:style w:type="paragraph" w:customStyle="1" w:styleId="25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6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8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29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宋体"/>
      <w:b/>
      <w:bCs/>
      <w:kern w:val="0"/>
      <w:sz w:val="24"/>
      <w:szCs w:val="24"/>
    </w:rPr>
  </w:style>
  <w:style w:type="paragraph" w:customStyle="1" w:styleId="30">
    <w:name w:val="xl73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3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2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33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34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5">
    <w:name w:val="xl78"/>
    <w:basedOn w:val="1"/>
    <w:qFormat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36">
    <w:name w:val="font12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22"/>
      <w:szCs w:val="22"/>
    </w:rPr>
  </w:style>
  <w:style w:type="paragraph" w:customStyle="1" w:styleId="37">
    <w:name w:val="font13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2"/>
      <w:szCs w:val="22"/>
    </w:rPr>
  </w:style>
  <w:style w:type="paragraph" w:customStyle="1" w:styleId="38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39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40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24"/>
      <w:szCs w:val="24"/>
    </w:rPr>
  </w:style>
  <w:style w:type="paragraph" w:customStyle="1" w:styleId="41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784</Words>
  <Characters>4471</Characters>
  <Lines>37</Lines>
  <Paragraphs>10</Paragraphs>
  <TotalTime>0</TotalTime>
  <ScaleCrop>false</ScaleCrop>
  <LinksUpToDate>false</LinksUpToDate>
  <CharactersWithSpaces>5245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2019-04-11T09:40:00Z</dcterms:created>
  <dc:creator>谢义琴</dc:creator>
  <cp:lastModifiedBy>时间水煮鱼</cp:lastModifiedBy>
  <cp:lastPrinted>2019-04-12T07:04:00Z</cp:lastPrinted>
  <dcterms:modified xsi:type="dcterms:W3CDTF">2020-03-30T01:39:35Z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